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CCR9 Is Not Required for the Homing of Pro-inflammatory Effector T cells, but Is Crucial for Recruitment and Expansion of FoxP3</w:t>
      </w:r>
      <w:r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+ </w:t>
      </w:r>
      <w:r>
        <w:rPr>
          <w:rFonts w:ascii="Arial-BoldMT" w:hAnsi="Arial-BoldMT" w:cs="Arial-BoldMT"/>
          <w:b/>
          <w:bCs/>
          <w:sz w:val="21"/>
          <w:szCs w:val="21"/>
          <w:lang w:val="en-US"/>
        </w:rPr>
        <w:t>CD8</w:t>
      </w:r>
      <w:r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+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  <w:lang w:val="en-US"/>
        </w:rPr>
        <w:t>Tregs</w:t>
      </w:r>
      <w:proofErr w:type="spellEnd"/>
      <w:r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in the Small Intestine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Cristina Gomez-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  <w:lang w:val="en-US"/>
        </w:rPr>
        <w:t>Casado</w:t>
      </w:r>
      <w:proofErr w:type="spellEnd"/>
      <w:r>
        <w:rPr>
          <w:rFonts w:ascii="Arial-BoldMT" w:hAnsi="Arial-BoldMT" w:cs="Arial-BoldMT"/>
          <w:b/>
          <w:bCs/>
          <w:sz w:val="21"/>
          <w:szCs w:val="21"/>
          <w:lang w:val="en-US"/>
        </w:rPr>
        <w:t>, PhD</w:t>
      </w:r>
      <w:r>
        <w:rPr>
          <w:rFonts w:ascii="Arial-BoldMT" w:hAnsi="Arial-BoldMT" w:cs="Arial-BoldMT"/>
          <w:sz w:val="18"/>
          <w:szCs w:val="18"/>
          <w:lang w:val="en-US"/>
        </w:rPr>
        <w:t>1</w:t>
      </w:r>
      <w:r>
        <w:rPr>
          <w:rFonts w:ascii="Arial-BoldMT" w:hAnsi="Arial-BoldMT" w:cs="Arial-BoldMT"/>
          <w:sz w:val="21"/>
          <w:szCs w:val="21"/>
          <w:lang w:val="en-US"/>
        </w:rPr>
        <w:t xml:space="preserve">, Thorsten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Joeris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>, PhD</w:t>
      </w:r>
      <w:r>
        <w:rPr>
          <w:rFonts w:ascii="Arial-BoldMT" w:hAnsi="Arial-BoldMT" w:cs="Arial-BoldMT"/>
          <w:sz w:val="18"/>
          <w:szCs w:val="18"/>
          <w:lang w:val="en-US"/>
        </w:rPr>
        <w:t>1,2</w:t>
      </w:r>
      <w:r>
        <w:rPr>
          <w:rFonts w:ascii="Arial-BoldMT" w:hAnsi="Arial-BoldMT" w:cs="Arial-BoldMT"/>
          <w:sz w:val="21"/>
          <w:szCs w:val="21"/>
          <w:lang w:val="en-US"/>
        </w:rPr>
        <w:t xml:space="preserve">, Petra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Holmkvist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>, PhD</w:t>
      </w:r>
      <w:r>
        <w:rPr>
          <w:rFonts w:ascii="Arial-BoldMT" w:hAnsi="Arial-BoldMT" w:cs="Arial-BoldMT"/>
          <w:sz w:val="18"/>
          <w:szCs w:val="18"/>
          <w:lang w:val="en-US"/>
        </w:rPr>
        <w:t xml:space="preserve">1 </w:t>
      </w:r>
      <w:r>
        <w:rPr>
          <w:rFonts w:ascii="Arial-BoldMT" w:hAnsi="Arial-BoldMT" w:cs="Arial-BoldMT"/>
          <w:sz w:val="21"/>
          <w:szCs w:val="21"/>
          <w:lang w:val="en-US"/>
        </w:rPr>
        <w:t xml:space="preserve">and </w:t>
      </w:r>
      <w:bookmarkStart w:id="0" w:name="_GoBack"/>
      <w:r>
        <w:rPr>
          <w:rFonts w:ascii="Arial-BoldMT" w:hAnsi="Arial-BoldMT" w:cs="Arial-BoldMT"/>
          <w:sz w:val="21"/>
          <w:szCs w:val="21"/>
          <w:lang w:val="en-US"/>
        </w:rPr>
        <w:t>William Agace, PhD</w:t>
      </w:r>
      <w:r>
        <w:rPr>
          <w:rFonts w:ascii="Arial-BoldMT" w:hAnsi="Arial-BoldMT" w:cs="Arial-BoldMT"/>
          <w:sz w:val="18"/>
          <w:szCs w:val="18"/>
          <w:lang w:val="en-US"/>
        </w:rPr>
        <w:t>1,2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1"/>
          <w:szCs w:val="21"/>
          <w:lang w:val="en-US"/>
        </w:rPr>
      </w:pPr>
    </w:p>
    <w:bookmarkEnd w:id="0"/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1"/>
          <w:szCs w:val="21"/>
          <w:lang w:val="en-US"/>
        </w:rPr>
      </w:pPr>
      <w:r>
        <w:rPr>
          <w:rFonts w:ascii="Arial-BoldMT" w:hAnsi="Arial-BoldMT" w:cs="Arial-BoldMT"/>
          <w:sz w:val="21"/>
          <w:szCs w:val="21"/>
          <w:lang w:val="en-US"/>
        </w:rPr>
        <w:t xml:space="preserve">(1)Department of Immunology, Lund University, Lund, Sweden, 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1"/>
          <w:szCs w:val="21"/>
          <w:lang w:val="en-US"/>
        </w:rPr>
      </w:pPr>
      <w:r>
        <w:rPr>
          <w:rFonts w:ascii="Arial-BoldMT" w:hAnsi="Arial-BoldMT" w:cs="Arial-BoldMT"/>
          <w:sz w:val="21"/>
          <w:szCs w:val="21"/>
          <w:lang w:val="en-US"/>
        </w:rPr>
        <w:t>(2)Section of Immunology and Vaccinology, National Veterinary Institute, Technical University of Denmark, Copenhagen, Denmark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Abstract Text: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1"/>
          <w:szCs w:val="21"/>
          <w:lang w:val="en-US"/>
        </w:rPr>
      </w:pPr>
      <w:r>
        <w:rPr>
          <w:rFonts w:ascii="Arial-BoldMT" w:hAnsi="Arial-BoldMT" w:cs="Arial-BoldMT"/>
          <w:sz w:val="21"/>
          <w:szCs w:val="21"/>
          <w:lang w:val="en-US"/>
        </w:rPr>
        <w:t xml:space="preserve">Chemokine receptor 9 (CCR9) is required for the homeostatic recruitment of T cells to the mucosa of the small intestine. Accordingly, CCR9 has been suggested as a potential target to inhibit the recruitment of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proinflammatory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 effector T cells (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) in inflammatory bowel disease (IBD). Since the contribution of CCR9 to the recruitment of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18"/>
          <w:szCs w:val="18"/>
          <w:lang w:val="en-US"/>
        </w:rPr>
        <w:t xml:space="preserve"> </w:t>
      </w:r>
      <w:r>
        <w:rPr>
          <w:rFonts w:ascii="Arial-BoldMT" w:hAnsi="Arial-BoldMT" w:cs="Arial-BoldMT"/>
          <w:sz w:val="21"/>
          <w:szCs w:val="21"/>
          <w:lang w:val="en-US"/>
        </w:rPr>
        <w:t xml:space="preserve">in inflammation is not entirely clear, we aimed to address this question using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IFABPtOva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 mice. These mice express Ovalbumin (Ova) specifically in small intestinal epithelial cells, which allows triggering of acute inflammation following transfer of Ova-specific CD8</w:t>
      </w:r>
      <w:r>
        <w:rPr>
          <w:rFonts w:ascii="Arial-BoldMT" w:hAnsi="Arial-BoldMT" w:cs="Arial-BoldMT"/>
          <w:sz w:val="18"/>
          <w:szCs w:val="18"/>
          <w:lang w:val="en-US"/>
        </w:rPr>
        <w:t xml:space="preserve">+ </w:t>
      </w:r>
      <w:r>
        <w:rPr>
          <w:rFonts w:ascii="Arial-BoldMT" w:hAnsi="Arial-BoldMT" w:cs="Arial-BoldMT"/>
          <w:sz w:val="21"/>
          <w:szCs w:val="21"/>
          <w:lang w:val="en-US"/>
        </w:rPr>
        <w:t>T cells (OT-I cells) and adjuvant treatment. Strikingly, intestinal inflammation in IFABP-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tOva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 mice could also be triggered following transfer of CCR9-deficient OT-I cells, demonstrating that CCR9 is not required for homing of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18"/>
          <w:szCs w:val="18"/>
          <w:lang w:val="en-US"/>
        </w:rPr>
        <w:t xml:space="preserve"> </w:t>
      </w:r>
      <w:r>
        <w:rPr>
          <w:rFonts w:ascii="Arial-BoldMT" w:hAnsi="Arial-BoldMT" w:cs="Arial-BoldMT"/>
          <w:sz w:val="21"/>
          <w:szCs w:val="21"/>
          <w:lang w:val="en-US"/>
        </w:rPr>
        <w:t>cells. Interestingly, OTI cells transferred to IFABP-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tOva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 mice did not only differentiate into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>, but also into FoxP3</w:t>
      </w:r>
      <w:r>
        <w:rPr>
          <w:rFonts w:ascii="Arial-BoldMT" w:hAnsi="Arial-BoldMT" w:cs="Arial-BoldMT"/>
          <w:sz w:val="18"/>
          <w:szCs w:val="18"/>
          <w:lang w:val="en-US"/>
        </w:rPr>
        <w:t xml:space="preserve">+ </w:t>
      </w:r>
      <w:r>
        <w:rPr>
          <w:rFonts w:ascii="Arial-BoldMT" w:hAnsi="Arial-BoldMT" w:cs="Arial-BoldMT"/>
          <w:sz w:val="21"/>
          <w:szCs w:val="21"/>
          <w:lang w:val="en-US"/>
        </w:rPr>
        <w:t>CD8</w:t>
      </w:r>
      <w:r>
        <w:rPr>
          <w:rFonts w:ascii="Arial-BoldMT" w:hAnsi="Arial-BoldMT" w:cs="Arial-BoldMT"/>
          <w:sz w:val="18"/>
          <w:szCs w:val="18"/>
          <w:lang w:val="en-US"/>
        </w:rPr>
        <w:t xml:space="preserve">+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Tregs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, which in contrast to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18"/>
          <w:szCs w:val="18"/>
          <w:lang w:val="en-US"/>
        </w:rPr>
        <w:t xml:space="preserve"> </w:t>
      </w:r>
      <w:r>
        <w:rPr>
          <w:rFonts w:ascii="Arial-BoldMT" w:hAnsi="Arial-BoldMT" w:cs="Arial-BoldMT"/>
          <w:sz w:val="21"/>
          <w:szCs w:val="21"/>
          <w:lang w:val="en-US"/>
        </w:rPr>
        <w:t xml:space="preserve">cells expressed high levels of CCR9. Indeed, recruitment and expansion of this regulatory subset in the small intestine was strongly dependent on CCR9. Hence, our data show that </w:t>
      </w:r>
      <w:proofErr w:type="spellStart"/>
      <w:r>
        <w:rPr>
          <w:rFonts w:ascii="Arial-BoldMT" w:hAnsi="Arial-BoldMT" w:cs="Arial-BoldMT"/>
          <w:sz w:val="21"/>
          <w:szCs w:val="21"/>
          <w:lang w:val="en-US"/>
        </w:rPr>
        <w:t>T</w:t>
      </w:r>
      <w:r>
        <w:rPr>
          <w:rFonts w:ascii="Arial-BoldMT" w:hAnsi="Arial-BoldMT" w:cs="Arial-BoldMT"/>
          <w:sz w:val="18"/>
          <w:szCs w:val="18"/>
          <w:lang w:val="en-US"/>
        </w:rPr>
        <w:t>eff</w:t>
      </w:r>
      <w:proofErr w:type="spellEnd"/>
      <w:r>
        <w:rPr>
          <w:rFonts w:ascii="Arial-BoldMT" w:hAnsi="Arial-BoldMT" w:cs="Arial-BoldMT"/>
          <w:sz w:val="21"/>
          <w:szCs w:val="21"/>
          <w:lang w:val="en-US"/>
        </w:rPr>
        <w:t xml:space="preserve"> and regulatory T cell subsets use distinct mechanisms for migration to the small intestine and suggest that inhibition of CCR9 in IBD could be more harmful than useful.</w:t>
      </w:r>
    </w:p>
    <w:p w:rsidR="00CD5F09" w:rsidRDefault="00CD5F09" w:rsidP="00CD5F0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</w:p>
    <w:p w:rsidR="002D74B5" w:rsidRDefault="00CD5F09" w:rsidP="00CD5F09">
      <w:pPr>
        <w:jc w:val="both"/>
        <w:rPr>
          <w:rFonts w:ascii="Arial-BoldMT" w:hAnsi="Arial-BoldMT" w:cs="Arial-BoldMT"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Presentation Format: </w:t>
      </w:r>
      <w:r>
        <w:rPr>
          <w:rFonts w:ascii="Arial-BoldMT" w:hAnsi="Arial-BoldMT" w:cs="Arial-BoldMT"/>
          <w:sz w:val="21"/>
          <w:szCs w:val="21"/>
          <w:lang w:val="en-US"/>
        </w:rPr>
        <w:t>Poster</w:t>
      </w:r>
    </w:p>
    <w:p w:rsidR="00CD5F09" w:rsidRDefault="00CD5F09" w:rsidP="00CD5F09">
      <w:pPr>
        <w:jc w:val="both"/>
        <w:rPr>
          <w:rFonts w:ascii="Arial-BoldMT" w:hAnsi="Arial-BoldMT" w:cs="Arial-BoldMT"/>
          <w:sz w:val="21"/>
          <w:szCs w:val="21"/>
          <w:lang w:val="en-US"/>
        </w:rPr>
      </w:pPr>
    </w:p>
    <w:p w:rsidR="00CD5F09" w:rsidRDefault="00CD5F09" w:rsidP="00CD5F09">
      <w:pPr>
        <w:jc w:val="both"/>
      </w:pPr>
      <w:r>
        <w:rPr>
          <w:rFonts w:ascii="Arial-BoldMT" w:hAnsi="Arial-BoldMT" w:cs="Arial-BoldMT"/>
          <w:b/>
          <w:bCs/>
          <w:sz w:val="21"/>
          <w:szCs w:val="21"/>
          <w:lang w:val="en-US"/>
        </w:rPr>
        <w:t>17th International Congress of Mucosal Immunology (ICMI 2015), 14-18 July, Berlin (Germany)</w:t>
      </w:r>
    </w:p>
    <w:sectPr w:rsidR="00CD5F09" w:rsidSect="002D74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09"/>
    <w:rsid w:val="002C6CB2"/>
    <w:rsid w:val="002D74B5"/>
    <w:rsid w:val="00564DE8"/>
    <w:rsid w:val="00604ACA"/>
    <w:rsid w:val="009911E9"/>
    <w:rsid w:val="00CD5F09"/>
    <w:rsid w:val="00CE7D02"/>
    <w:rsid w:val="00F9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 Ravnkilde Christensen</cp:lastModifiedBy>
  <cp:revision>2</cp:revision>
  <dcterms:created xsi:type="dcterms:W3CDTF">2015-08-14T12:54:00Z</dcterms:created>
  <dcterms:modified xsi:type="dcterms:W3CDTF">2015-08-14T12:54:00Z</dcterms:modified>
</cp:coreProperties>
</file>