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03" w:rsidRDefault="003623B5" w:rsidP="0091342C">
      <w:pPr>
        <w:spacing w:line="360" w:lineRule="auto"/>
        <w:ind w:right="-1"/>
        <w:jc w:val="center"/>
        <w:rPr>
          <w:rFonts w:ascii="Times New Roman" w:hAnsi="Times New Roman"/>
          <w:b/>
          <w:bCs/>
          <w:color w:val="000000" w:themeColor="text1"/>
        </w:rPr>
      </w:pPr>
      <w:proofErr w:type="spellStart"/>
      <w:r w:rsidRPr="005E2DBB">
        <w:rPr>
          <w:rFonts w:ascii="Times New Roman" w:hAnsi="Times New Roman"/>
          <w:b/>
          <w:bCs/>
          <w:color w:val="000000" w:themeColor="text1"/>
        </w:rPr>
        <w:t>Thymic</w:t>
      </w:r>
      <w:proofErr w:type="spellEnd"/>
      <w:r w:rsidRPr="005E2DBB">
        <w:rPr>
          <w:rFonts w:ascii="Times New Roman" w:hAnsi="Times New Roman"/>
          <w:b/>
          <w:bCs/>
          <w:color w:val="000000" w:themeColor="text1"/>
        </w:rPr>
        <w:t xml:space="preserve"> and lymph node mesenchymal subsets </w:t>
      </w:r>
      <w:r>
        <w:rPr>
          <w:rFonts w:ascii="Times New Roman" w:hAnsi="Times New Roman"/>
          <w:b/>
          <w:bCs/>
          <w:color w:val="000000" w:themeColor="text1"/>
        </w:rPr>
        <w:t xml:space="preserve">can be </w:t>
      </w:r>
      <w:r w:rsidRPr="005E2DBB">
        <w:rPr>
          <w:rFonts w:ascii="Times New Roman" w:hAnsi="Times New Roman"/>
          <w:b/>
          <w:bCs/>
          <w:color w:val="000000" w:themeColor="text1"/>
        </w:rPr>
        <w:t>derive</w:t>
      </w:r>
      <w:r>
        <w:rPr>
          <w:rFonts w:ascii="Times New Roman" w:hAnsi="Times New Roman"/>
          <w:b/>
          <w:bCs/>
          <w:color w:val="000000" w:themeColor="text1"/>
        </w:rPr>
        <w:t>d</w:t>
      </w:r>
      <w:r w:rsidR="0091342C">
        <w:rPr>
          <w:rFonts w:ascii="Times New Roman" w:hAnsi="Times New Roman"/>
          <w:b/>
          <w:bCs/>
          <w:color w:val="000000" w:themeColor="text1"/>
        </w:rPr>
        <w:t xml:space="preserve"> from </w:t>
      </w:r>
    </w:p>
    <w:p w:rsidR="003623B5" w:rsidRDefault="003623B5" w:rsidP="0091342C">
      <w:pPr>
        <w:spacing w:line="360" w:lineRule="auto"/>
        <w:ind w:right="-1"/>
        <w:jc w:val="center"/>
        <w:rPr>
          <w:rFonts w:ascii="Times New Roman" w:hAnsi="Times New Roman"/>
          <w:b/>
          <w:bCs/>
          <w:color w:val="000000" w:themeColor="text1"/>
        </w:rPr>
      </w:pPr>
      <w:r w:rsidRPr="00E164C8">
        <w:rPr>
          <w:rFonts w:ascii="Times New Roman" w:hAnsi="Times New Roman"/>
          <w:b/>
          <w:bCs/>
          <w:color w:val="000000" w:themeColor="text1"/>
        </w:rPr>
        <w:t>P</w:t>
      </w:r>
      <w:r>
        <w:rPr>
          <w:rFonts w:ascii="Times New Roman" w:hAnsi="Times New Roman"/>
          <w:b/>
          <w:bCs/>
          <w:color w:val="000000" w:themeColor="text1"/>
        </w:rPr>
        <w:t>DGFR</w:t>
      </w:r>
      <w:r w:rsidRPr="00E164C8">
        <w:rPr>
          <w:rFonts w:ascii="Symbol" w:hAnsi="Symbol"/>
          <w:b/>
          <w:bCs/>
          <w:color w:val="000000" w:themeColor="text1"/>
        </w:rPr>
        <w:t></w:t>
      </w:r>
      <w:r>
        <w:rPr>
          <w:rFonts w:ascii="Times New Roman" w:hAnsi="Times New Roman"/>
          <w:b/>
          <w:bCs/>
          <w:color w:val="000000" w:themeColor="text1"/>
        </w:rPr>
        <w:t>/</w:t>
      </w:r>
      <w:r w:rsidRPr="00E164C8">
        <w:rPr>
          <w:rFonts w:ascii="Symbol" w:hAnsi="Symbol"/>
          <w:b/>
          <w:bCs/>
          <w:color w:val="000000" w:themeColor="text1"/>
        </w:rPr>
        <w:t></w:t>
      </w:r>
      <w:r w:rsidRPr="00E27F07">
        <w:rPr>
          <w:rFonts w:ascii="Times New Roman" w:hAnsi="Times New Roman"/>
          <w:b/>
          <w:bCs/>
          <w:color w:val="000000" w:themeColor="text1"/>
          <w:vertAlign w:val="superscript"/>
        </w:rPr>
        <w:t>+</w:t>
      </w:r>
      <w:r w:rsidR="002C6303">
        <w:rPr>
          <w:rFonts w:ascii="Times New Roman" w:hAnsi="Times New Roman"/>
          <w:b/>
          <w:bCs/>
          <w:color w:val="000000" w:themeColor="text1"/>
        </w:rPr>
        <w:t>Gp38</w:t>
      </w:r>
      <w:r w:rsidR="002C6303">
        <w:rPr>
          <w:rFonts w:ascii="Times New Roman" w:hAnsi="Times New Roman"/>
          <w:b/>
          <w:bCs/>
          <w:color w:val="000000" w:themeColor="text1"/>
          <w:vertAlign w:val="superscript"/>
        </w:rPr>
        <w:t>+</w:t>
      </w:r>
      <w:r>
        <w:rPr>
          <w:rFonts w:ascii="Times New Roman" w:hAnsi="Times New Roman"/>
          <w:b/>
          <w:bCs/>
          <w:color w:val="000000" w:themeColor="text1"/>
        </w:rPr>
        <w:t>CD</w:t>
      </w:r>
      <w:r w:rsidRPr="005E2DBB">
        <w:rPr>
          <w:rFonts w:ascii="Times New Roman" w:hAnsi="Times New Roman"/>
          <w:b/>
          <w:bCs/>
          <w:color w:val="000000" w:themeColor="text1"/>
        </w:rPr>
        <w:t>34</w:t>
      </w:r>
      <w:r w:rsidRPr="00E27F07">
        <w:rPr>
          <w:rFonts w:ascii="Times New Roman" w:hAnsi="Times New Roman"/>
          <w:b/>
          <w:bCs/>
          <w:color w:val="000000" w:themeColor="text1"/>
          <w:vertAlign w:val="superscript"/>
        </w:rPr>
        <w:t>+</w:t>
      </w:r>
      <w:r w:rsidR="0091342C">
        <w:rPr>
          <w:rFonts w:ascii="Times New Roman" w:hAnsi="Times New Roman"/>
          <w:b/>
          <w:bCs/>
          <w:color w:val="000000" w:themeColor="text1"/>
        </w:rPr>
        <w:t>ICAM1</w:t>
      </w:r>
      <w:r w:rsidR="007133C2">
        <w:rPr>
          <w:rFonts w:ascii="Times New Roman" w:hAnsi="Times New Roman"/>
          <w:b/>
          <w:bCs/>
          <w:color w:val="000000" w:themeColor="text1"/>
          <w:vertAlign w:val="superscript"/>
        </w:rPr>
        <w:t>-</w:t>
      </w:r>
      <w:r>
        <w:rPr>
          <w:rFonts w:ascii="Times New Roman" w:hAnsi="Times New Roman"/>
          <w:b/>
          <w:bCs/>
          <w:color w:val="000000" w:themeColor="text1"/>
        </w:rPr>
        <w:t xml:space="preserve"> vascular </w:t>
      </w:r>
      <w:r w:rsidR="0091342C">
        <w:rPr>
          <w:rFonts w:ascii="Times New Roman" w:hAnsi="Times New Roman"/>
          <w:b/>
          <w:bCs/>
          <w:color w:val="000000" w:themeColor="text1"/>
        </w:rPr>
        <w:t>adventitial precursors</w:t>
      </w:r>
    </w:p>
    <w:p w:rsidR="003623B5" w:rsidRDefault="003623B5" w:rsidP="003623B5">
      <w:pPr>
        <w:spacing w:line="360" w:lineRule="auto"/>
        <w:rPr>
          <w:rFonts w:ascii="Times New Roman" w:hAnsi="Times New Roman"/>
        </w:rPr>
      </w:pPr>
    </w:p>
    <w:p w:rsidR="003623B5" w:rsidRPr="0091342C" w:rsidRDefault="003623B5" w:rsidP="003623B5">
      <w:pPr>
        <w:spacing w:line="360" w:lineRule="auto"/>
        <w:rPr>
          <w:rFonts w:ascii="Times New Roman" w:hAnsi="Times New Roman"/>
          <w:sz w:val="22"/>
        </w:rPr>
      </w:pPr>
      <w:proofErr w:type="spellStart"/>
      <w:r w:rsidRPr="0091342C">
        <w:rPr>
          <w:rFonts w:ascii="Times New Roman" w:hAnsi="Times New Roman"/>
          <w:sz w:val="22"/>
        </w:rPr>
        <w:t>Katarzyna</w:t>
      </w:r>
      <w:proofErr w:type="spellEnd"/>
      <w:r w:rsidRPr="0091342C">
        <w:rPr>
          <w:rFonts w:ascii="Times New Roman" w:hAnsi="Times New Roman"/>
          <w:sz w:val="22"/>
        </w:rPr>
        <w:t xml:space="preserve"> M. Sitnik</w:t>
      </w:r>
      <w:r w:rsidRPr="0091342C">
        <w:rPr>
          <w:rFonts w:ascii="Times New Roman" w:hAnsi="Times New Roman"/>
          <w:sz w:val="22"/>
          <w:vertAlign w:val="superscript"/>
        </w:rPr>
        <w:t>1, 2</w:t>
      </w:r>
      <w:r w:rsidRPr="0091342C">
        <w:rPr>
          <w:rFonts w:ascii="Times New Roman" w:hAnsi="Times New Roman"/>
          <w:sz w:val="22"/>
        </w:rPr>
        <w:t>, Kerstin Wendland</w:t>
      </w:r>
      <w:r w:rsidRPr="0091342C">
        <w:rPr>
          <w:rFonts w:ascii="Times New Roman" w:hAnsi="Times New Roman"/>
          <w:sz w:val="22"/>
          <w:vertAlign w:val="superscript"/>
        </w:rPr>
        <w:t>1</w:t>
      </w:r>
      <w:r w:rsidRPr="0091342C">
        <w:rPr>
          <w:rFonts w:ascii="Times New Roman" w:hAnsi="Times New Roman"/>
          <w:sz w:val="22"/>
        </w:rPr>
        <w:t>, Holger Weishaupt</w:t>
      </w:r>
      <w:r w:rsidRPr="0091342C">
        <w:rPr>
          <w:rFonts w:ascii="Times New Roman" w:hAnsi="Times New Roman"/>
          <w:sz w:val="22"/>
          <w:vertAlign w:val="superscript"/>
        </w:rPr>
        <w:t>1</w:t>
      </w:r>
      <w:r w:rsidRPr="0091342C">
        <w:rPr>
          <w:rFonts w:ascii="Times New Roman" w:hAnsi="Times New Roman"/>
          <w:sz w:val="22"/>
        </w:rPr>
        <w:t xml:space="preserve">, </w:t>
      </w:r>
      <w:proofErr w:type="spellStart"/>
      <w:r w:rsidRPr="0091342C">
        <w:rPr>
          <w:rFonts w:ascii="Times New Roman" w:hAnsi="Times New Roman"/>
          <w:sz w:val="22"/>
        </w:rPr>
        <w:t>Heli</w:t>
      </w:r>
      <w:proofErr w:type="spellEnd"/>
      <w:r w:rsidRPr="0091342C">
        <w:rPr>
          <w:rFonts w:ascii="Times New Roman" w:hAnsi="Times New Roman"/>
          <w:sz w:val="22"/>
        </w:rPr>
        <w:t xml:space="preserve"> Uronen-Hansson</w:t>
      </w:r>
      <w:r w:rsidRPr="0091342C">
        <w:rPr>
          <w:rFonts w:ascii="Times New Roman" w:hAnsi="Times New Roman"/>
          <w:sz w:val="22"/>
          <w:vertAlign w:val="superscript"/>
        </w:rPr>
        <w:t>1</w:t>
      </w:r>
      <w:r w:rsidR="0091342C">
        <w:rPr>
          <w:rFonts w:ascii="Times New Roman" w:hAnsi="Times New Roman"/>
          <w:sz w:val="22"/>
        </w:rPr>
        <w:t>, William Jenkinson</w:t>
      </w:r>
      <w:r w:rsidRPr="0091342C">
        <w:rPr>
          <w:rFonts w:ascii="Times New Roman" w:hAnsi="Times New Roman"/>
          <w:sz w:val="22"/>
          <w:vertAlign w:val="superscript"/>
        </w:rPr>
        <w:t>3</w:t>
      </w:r>
      <w:r w:rsidRPr="0091342C">
        <w:rPr>
          <w:rFonts w:ascii="Times New Roman" w:hAnsi="Times New Roman"/>
          <w:sz w:val="22"/>
        </w:rPr>
        <w:t>, Graham Anderson</w:t>
      </w:r>
      <w:r w:rsidRPr="0091342C">
        <w:rPr>
          <w:rFonts w:ascii="Times New Roman" w:hAnsi="Times New Roman"/>
          <w:sz w:val="22"/>
          <w:vertAlign w:val="superscript"/>
        </w:rPr>
        <w:t>3</w:t>
      </w:r>
      <w:r w:rsidR="0091342C">
        <w:rPr>
          <w:rFonts w:ascii="Times New Roman" w:hAnsi="Times New Roman"/>
          <w:sz w:val="22"/>
        </w:rPr>
        <w:t xml:space="preserve">, </w:t>
      </w:r>
      <w:r w:rsidR="0091342C" w:rsidRPr="0091342C">
        <w:rPr>
          <w:rFonts w:ascii="Times New Roman" w:hAnsi="Times New Roman"/>
          <w:sz w:val="22"/>
        </w:rPr>
        <w:t>Knut Kotarsky</w:t>
      </w:r>
      <w:r w:rsidR="0091342C" w:rsidRPr="0091342C">
        <w:rPr>
          <w:rFonts w:ascii="Times New Roman" w:hAnsi="Times New Roman"/>
          <w:sz w:val="22"/>
          <w:vertAlign w:val="superscript"/>
        </w:rPr>
        <w:t>1</w:t>
      </w:r>
      <w:r w:rsidR="0091342C">
        <w:rPr>
          <w:rFonts w:ascii="Times New Roman" w:hAnsi="Times New Roman"/>
          <w:sz w:val="22"/>
        </w:rPr>
        <w:t xml:space="preserve">, </w:t>
      </w:r>
      <w:r w:rsidRPr="0091342C">
        <w:rPr>
          <w:rFonts w:ascii="Times New Roman" w:hAnsi="Times New Roman"/>
          <w:sz w:val="22"/>
        </w:rPr>
        <w:t>William W. Agace</w:t>
      </w:r>
      <w:r w:rsidRPr="0091342C">
        <w:rPr>
          <w:rFonts w:ascii="Times New Roman" w:hAnsi="Times New Roman"/>
          <w:sz w:val="22"/>
          <w:vertAlign w:val="superscript"/>
        </w:rPr>
        <w:t xml:space="preserve">1, 2 </w:t>
      </w:r>
    </w:p>
    <w:p w:rsidR="003623B5" w:rsidRPr="0091342C" w:rsidRDefault="003623B5" w:rsidP="003623B5">
      <w:pPr>
        <w:rPr>
          <w:rFonts w:ascii="Times New Roman" w:hAnsi="Times New Roman"/>
          <w:sz w:val="18"/>
        </w:rPr>
      </w:pPr>
      <w:r w:rsidRPr="0091342C">
        <w:rPr>
          <w:rFonts w:ascii="Times New Roman" w:hAnsi="Times New Roman"/>
          <w:sz w:val="18"/>
          <w:vertAlign w:val="superscript"/>
        </w:rPr>
        <w:t>1</w:t>
      </w:r>
      <w:r w:rsidRPr="0091342C">
        <w:rPr>
          <w:rFonts w:ascii="Times New Roman" w:hAnsi="Times New Roman"/>
          <w:sz w:val="18"/>
        </w:rPr>
        <w:t xml:space="preserve"> Immunology Section, Lund University, BMC D14, Lund, 221-84, Sweden</w:t>
      </w:r>
    </w:p>
    <w:p w:rsidR="003623B5" w:rsidRPr="0091342C" w:rsidRDefault="003623B5" w:rsidP="003623B5">
      <w:pPr>
        <w:rPr>
          <w:rFonts w:ascii="Times New Roman" w:hAnsi="Times New Roman"/>
          <w:sz w:val="18"/>
        </w:rPr>
      </w:pPr>
      <w:r w:rsidRPr="0091342C">
        <w:rPr>
          <w:rFonts w:ascii="Times New Roman" w:hAnsi="Times New Roman"/>
          <w:sz w:val="18"/>
          <w:vertAlign w:val="superscript"/>
        </w:rPr>
        <w:t>2</w:t>
      </w:r>
      <w:r w:rsidRPr="0091342C">
        <w:rPr>
          <w:rFonts w:ascii="Times New Roman" w:hAnsi="Times New Roman"/>
          <w:sz w:val="18"/>
        </w:rPr>
        <w:t xml:space="preserve"> </w:t>
      </w:r>
      <w:proofErr w:type="gramStart"/>
      <w:r w:rsidRPr="0091342C">
        <w:rPr>
          <w:rFonts w:ascii="Times New Roman" w:hAnsi="Times New Roman"/>
          <w:sz w:val="18"/>
        </w:rPr>
        <w:t>Section</w:t>
      </w:r>
      <w:proofErr w:type="gramEnd"/>
      <w:r w:rsidRPr="0091342C">
        <w:rPr>
          <w:rFonts w:ascii="Times New Roman" w:hAnsi="Times New Roman"/>
          <w:sz w:val="18"/>
        </w:rPr>
        <w:t xml:space="preserve"> of Immunology and Vaccinology, Danish Technical University, Veterinary Institute, Copenhagen DK-1870, Denmark</w:t>
      </w:r>
    </w:p>
    <w:p w:rsidR="003623B5" w:rsidRPr="0091342C" w:rsidRDefault="003623B5" w:rsidP="003623B5">
      <w:pPr>
        <w:rPr>
          <w:rFonts w:ascii="Times New Roman" w:hAnsi="Times New Roman"/>
          <w:sz w:val="18"/>
        </w:rPr>
      </w:pPr>
      <w:r w:rsidRPr="0091342C">
        <w:rPr>
          <w:rFonts w:ascii="Times New Roman" w:hAnsi="Times New Roman"/>
          <w:sz w:val="18"/>
          <w:vertAlign w:val="superscript"/>
        </w:rPr>
        <w:t>3</w:t>
      </w:r>
      <w:r w:rsidRPr="0091342C">
        <w:rPr>
          <w:rFonts w:ascii="Times New Roman" w:hAnsi="Times New Roman"/>
          <w:sz w:val="18"/>
        </w:rPr>
        <w:t xml:space="preserve"> </w:t>
      </w:r>
      <w:r w:rsidR="0091342C">
        <w:rPr>
          <w:rFonts w:ascii="Times New Roman" w:hAnsi="Times New Roman"/>
          <w:sz w:val="18"/>
        </w:rPr>
        <w:t>MRC</w:t>
      </w:r>
      <w:r w:rsidRPr="0091342C">
        <w:rPr>
          <w:rFonts w:ascii="Times New Roman" w:hAnsi="Times New Roman"/>
          <w:sz w:val="18"/>
        </w:rPr>
        <w:t xml:space="preserve"> Centre for Immune Regulation, Institute for Biomedical Research, University of Birmingham, Birmingham B15 2TT, UK</w:t>
      </w:r>
    </w:p>
    <w:p w:rsidR="003623B5" w:rsidRPr="003623B5" w:rsidRDefault="003623B5" w:rsidP="003623B5">
      <w:pPr>
        <w:spacing w:line="480" w:lineRule="auto"/>
        <w:ind w:right="-1" w:firstLine="567"/>
        <w:jc w:val="center"/>
        <w:rPr>
          <w:rFonts w:ascii="Times" w:hAnsi="Times"/>
        </w:rPr>
      </w:pPr>
    </w:p>
    <w:p w:rsidR="009F17E5" w:rsidRPr="00D121F6" w:rsidRDefault="003623B5" w:rsidP="003623B5">
      <w:pPr>
        <w:spacing w:line="360" w:lineRule="auto"/>
        <w:ind w:right="-1" w:firstLine="567"/>
        <w:jc w:val="both"/>
        <w:rPr>
          <w:rFonts w:ascii="Times New Roman" w:hAnsi="Times New Roman"/>
        </w:rPr>
      </w:pPr>
      <w:bookmarkStart w:id="0" w:name="_GoBack"/>
      <w:proofErr w:type="gramStart"/>
      <w:r>
        <w:rPr>
          <w:rFonts w:ascii="Times" w:hAnsi="Times"/>
        </w:rPr>
        <w:t>While discrete G</w:t>
      </w:r>
      <w:r w:rsidRPr="007415B9">
        <w:rPr>
          <w:rFonts w:ascii="Times" w:hAnsi="Times"/>
        </w:rPr>
        <w:t>p38</w:t>
      </w:r>
      <w:r w:rsidR="003535CC">
        <w:rPr>
          <w:rFonts w:ascii="Times" w:hAnsi="Times"/>
          <w:vertAlign w:val="superscript"/>
        </w:rPr>
        <w:t>-</w:t>
      </w:r>
      <w:r w:rsidRPr="007415B9">
        <w:rPr>
          <w:rFonts w:ascii="Times" w:hAnsi="Times"/>
        </w:rPr>
        <w:t xml:space="preserve"> </w:t>
      </w:r>
      <w:r>
        <w:rPr>
          <w:rFonts w:ascii="Times" w:hAnsi="Times"/>
        </w:rPr>
        <w:t>and G</w:t>
      </w:r>
      <w:r w:rsidRPr="007415B9">
        <w:rPr>
          <w:rFonts w:ascii="Times" w:hAnsi="Times"/>
        </w:rPr>
        <w:t>p38</w:t>
      </w:r>
      <w:r w:rsidR="003535CC">
        <w:rPr>
          <w:rFonts w:ascii="Times" w:hAnsi="Times"/>
          <w:vertAlign w:val="superscript"/>
        </w:rPr>
        <w:t>+</w:t>
      </w:r>
      <w:r w:rsidRPr="007415B9">
        <w:rPr>
          <w:rFonts w:ascii="Times" w:hAnsi="Times"/>
        </w:rPr>
        <w:t xml:space="preserve"> </w:t>
      </w:r>
      <w:r>
        <w:rPr>
          <w:rFonts w:ascii="Times" w:hAnsi="Times"/>
        </w:rPr>
        <w:t>mesenchymal populations</w:t>
      </w:r>
      <w:r w:rsidRPr="007415B9">
        <w:rPr>
          <w:rFonts w:ascii="Times" w:hAnsi="Times"/>
        </w:rPr>
        <w:t xml:space="preserve"> have </w:t>
      </w:r>
      <w:r>
        <w:rPr>
          <w:rFonts w:ascii="Times" w:hAnsi="Times"/>
        </w:rPr>
        <w:t>previously</w:t>
      </w:r>
      <w:r w:rsidRPr="007415B9">
        <w:rPr>
          <w:rFonts w:ascii="Times" w:hAnsi="Times"/>
        </w:rPr>
        <w:t xml:space="preserve"> </w:t>
      </w:r>
      <w:r>
        <w:rPr>
          <w:rFonts w:ascii="Times" w:hAnsi="Times"/>
        </w:rPr>
        <w:t xml:space="preserve">been </w:t>
      </w:r>
      <w:r w:rsidR="009F17E5">
        <w:rPr>
          <w:rFonts w:ascii="Times" w:hAnsi="Times"/>
        </w:rPr>
        <w:t>described</w:t>
      </w:r>
      <w:r w:rsidR="003535CC">
        <w:rPr>
          <w:rFonts w:ascii="Times" w:hAnsi="Times"/>
        </w:rPr>
        <w:t xml:space="preserve"> in the lymph nodes (LNs)</w:t>
      </w:r>
      <w:r>
        <w:rPr>
          <w:rFonts w:ascii="Times" w:hAnsi="Times"/>
        </w:rPr>
        <w:t xml:space="preserve"> and in the thymus the putative relationship between LN and </w:t>
      </w:r>
      <w:proofErr w:type="spellStart"/>
      <w:r>
        <w:rPr>
          <w:rFonts w:ascii="Times" w:hAnsi="Times"/>
        </w:rPr>
        <w:t>thymic</w:t>
      </w:r>
      <w:proofErr w:type="spellEnd"/>
      <w:r>
        <w:rPr>
          <w:rFonts w:ascii="Times" w:hAnsi="Times"/>
        </w:rPr>
        <w:t xml:space="preserve"> mesenchymal cells remains unclear.</w:t>
      </w:r>
      <w:proofErr w:type="gramEnd"/>
      <w:r>
        <w:rPr>
          <w:rFonts w:ascii="Times" w:hAnsi="Times"/>
        </w:rPr>
        <w:t xml:space="preserve"> </w:t>
      </w:r>
      <w:r>
        <w:rPr>
          <w:rFonts w:ascii="Times New Roman" w:hAnsi="Times New Roman"/>
        </w:rPr>
        <w:t>Here, using transcriptome profiling as well as phenotypic and lo</w:t>
      </w:r>
      <w:r w:rsidR="00D121F6">
        <w:rPr>
          <w:rFonts w:ascii="Times New Roman" w:hAnsi="Times New Roman"/>
        </w:rPr>
        <w:t>calization studies we comprehensively assess</w:t>
      </w:r>
      <w:r>
        <w:rPr>
          <w:rFonts w:ascii="Times New Roman" w:hAnsi="Times New Roman"/>
        </w:rPr>
        <w:t xml:space="preserve">ed </w:t>
      </w:r>
      <w:r w:rsidR="00D121F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mesenchymal </w:t>
      </w:r>
      <w:r w:rsidR="00D121F6">
        <w:rPr>
          <w:rFonts w:ascii="Times New Roman" w:hAnsi="Times New Roman"/>
        </w:rPr>
        <w:t xml:space="preserve">cell </w:t>
      </w:r>
      <w:r>
        <w:rPr>
          <w:rFonts w:ascii="Times New Roman" w:hAnsi="Times New Roman"/>
        </w:rPr>
        <w:t>subset composition of th</w:t>
      </w:r>
      <w:r w:rsidR="007A2F16">
        <w:rPr>
          <w:rFonts w:ascii="Times New Roman" w:hAnsi="Times New Roman"/>
        </w:rPr>
        <w:t>e LNs and the thymus</w:t>
      </w:r>
      <w:r w:rsidR="003535CC">
        <w:rPr>
          <w:rFonts w:ascii="Times New Roman" w:hAnsi="Times New Roman"/>
        </w:rPr>
        <w:t>. We find</w:t>
      </w:r>
      <w:r>
        <w:rPr>
          <w:rFonts w:ascii="Times New Roman" w:hAnsi="Times New Roman"/>
        </w:rPr>
        <w:t xml:space="preserve"> that while LNs selectively harbored a </w:t>
      </w:r>
      <w:r w:rsidRPr="007B318F">
        <w:rPr>
          <w:rFonts w:ascii="Times New Roman" w:hAnsi="Times New Roman"/>
        </w:rPr>
        <w:t>BP3</w:t>
      </w:r>
      <w:r w:rsidRPr="007B318F">
        <w:rPr>
          <w:rFonts w:ascii="Times New Roman" w:hAnsi="Times New Roman"/>
          <w:vertAlign w:val="superscript"/>
        </w:rPr>
        <w:t>+</w:t>
      </w:r>
      <w:r w:rsidR="007A2F16">
        <w:rPr>
          <w:rFonts w:ascii="Times New Roman" w:hAnsi="Times New Roman"/>
        </w:rPr>
        <w:t xml:space="preserve"> </w:t>
      </w:r>
      <w:r w:rsidR="007A2F16" w:rsidRPr="001E3B95">
        <w:rPr>
          <w:rFonts w:ascii="Times New Roman" w:hAnsi="Times New Roman"/>
        </w:rPr>
        <w:t>PDGFR</w:t>
      </w:r>
      <w:r w:rsidR="007A2F16" w:rsidRPr="001E3B95">
        <w:rPr>
          <w:rFonts w:ascii="Symbol" w:hAnsi="Symbol"/>
        </w:rPr>
        <w:t></w:t>
      </w:r>
      <w:r w:rsidR="007A2F16"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Gp38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 xml:space="preserve"> compartment</w:t>
      </w:r>
      <w:r w:rsidR="00D121F6">
        <w:rPr>
          <w:rFonts w:ascii="Times New Roman" w:hAnsi="Times New Roman"/>
        </w:rPr>
        <w:t xml:space="preserve"> consisting of </w:t>
      </w:r>
      <w:r w:rsidR="004D4FE1">
        <w:rPr>
          <w:rFonts w:ascii="Times New Roman" w:hAnsi="Times New Roman"/>
        </w:rPr>
        <w:t xml:space="preserve">CCL21-producing </w:t>
      </w:r>
      <w:r w:rsidR="004D4FE1" w:rsidRPr="004D4FE1">
        <w:rPr>
          <w:rFonts w:ascii="Times New Roman" w:hAnsi="Times New Roman"/>
        </w:rPr>
        <w:t>fibroblastic reticular cells</w:t>
      </w:r>
      <w:r w:rsidR="004D4FE1">
        <w:rPr>
          <w:rFonts w:ascii="Times New Roman" w:hAnsi="Times New Roman"/>
        </w:rPr>
        <w:t xml:space="preserve"> (F</w:t>
      </w:r>
      <w:r w:rsidR="004D4FE1" w:rsidRPr="004D4FE1">
        <w:rPr>
          <w:rFonts w:ascii="Times New Roman" w:hAnsi="Times New Roman"/>
        </w:rPr>
        <w:t xml:space="preserve">RC), </w:t>
      </w:r>
      <w:proofErr w:type="spellStart"/>
      <w:r w:rsidR="004D4FE1" w:rsidRPr="004D4FE1">
        <w:rPr>
          <w:rFonts w:ascii="Times New Roman" w:hAnsi="Times New Roman"/>
        </w:rPr>
        <w:t>MAdCAM</w:t>
      </w:r>
      <w:proofErr w:type="spellEnd"/>
      <w:r w:rsidR="004D4FE1" w:rsidRPr="004D4FE1">
        <w:rPr>
          <w:rFonts w:ascii="Times New Roman" w:hAnsi="Times New Roman"/>
          <w:vertAlign w:val="superscript"/>
        </w:rPr>
        <w:t xml:space="preserve">+ </w:t>
      </w:r>
      <w:r w:rsidR="004D4FE1" w:rsidRPr="004D4FE1">
        <w:rPr>
          <w:rFonts w:ascii="Times New Roman" w:hAnsi="Times New Roman"/>
        </w:rPr>
        <w:t>marginal reticular cells (MRC) and CR1_2</w:t>
      </w:r>
      <w:r w:rsidR="004D4FE1" w:rsidRPr="004D4FE1">
        <w:rPr>
          <w:rFonts w:ascii="Times New Roman" w:hAnsi="Times New Roman"/>
          <w:vertAlign w:val="superscript"/>
        </w:rPr>
        <w:t>+</w:t>
      </w:r>
      <w:r w:rsidR="004D4FE1" w:rsidRPr="004D4FE1">
        <w:rPr>
          <w:rFonts w:ascii="Times New Roman" w:hAnsi="Times New Roman"/>
        </w:rPr>
        <w:t xml:space="preserve"> follicular dendritic cells (FDC)</w:t>
      </w:r>
      <w:r>
        <w:rPr>
          <w:rFonts w:ascii="Times New Roman" w:hAnsi="Times New Roman"/>
        </w:rPr>
        <w:t>, both organs</w:t>
      </w:r>
      <w:r w:rsidR="00D51B80">
        <w:rPr>
          <w:rFonts w:ascii="Times New Roman" w:hAnsi="Times New Roman"/>
        </w:rPr>
        <w:t xml:space="preserve"> were populated by two corresponding </w:t>
      </w:r>
      <w:r>
        <w:rPr>
          <w:rFonts w:ascii="Times New Roman" w:hAnsi="Times New Roman"/>
        </w:rPr>
        <w:t>subsets</w:t>
      </w:r>
      <w:r w:rsidRPr="001E3B95">
        <w:rPr>
          <w:rFonts w:ascii="Times New Roman" w:hAnsi="Times New Roman"/>
        </w:rPr>
        <w:t xml:space="preserve"> of </w:t>
      </w:r>
      <w:r w:rsidR="00D51B80">
        <w:rPr>
          <w:rFonts w:ascii="Times New Roman" w:hAnsi="Times New Roman"/>
        </w:rPr>
        <w:t>BP3</w:t>
      </w:r>
      <w:r w:rsidR="00D51B80">
        <w:rPr>
          <w:rFonts w:ascii="Times New Roman" w:hAnsi="Times New Roman"/>
          <w:vertAlign w:val="superscript"/>
        </w:rPr>
        <w:t>-</w:t>
      </w:r>
      <w:r w:rsidR="00D51B80">
        <w:rPr>
          <w:rFonts w:ascii="Times New Roman" w:hAnsi="Times New Roman"/>
        </w:rPr>
        <w:t xml:space="preserve"> </w:t>
      </w:r>
      <w:r w:rsidR="00DB19DA">
        <w:rPr>
          <w:rFonts w:ascii="Times New Roman" w:hAnsi="Times New Roman"/>
        </w:rPr>
        <w:t>PDGFR</w:t>
      </w:r>
      <w:r w:rsidR="00DB19DA" w:rsidRPr="00DB5BC1">
        <w:rPr>
          <w:rFonts w:ascii="Symbol" w:hAnsi="Symbol"/>
        </w:rPr>
        <w:t></w:t>
      </w:r>
      <w:r w:rsidR="00DB19DA">
        <w:rPr>
          <w:rFonts w:ascii="Times New Roman" w:hAnsi="Times New Roman"/>
          <w:vertAlign w:val="superscript"/>
        </w:rPr>
        <w:t>+</w:t>
      </w:r>
      <w:r w:rsidR="00DB19DA">
        <w:rPr>
          <w:rFonts w:ascii="Times New Roman" w:hAnsi="Times New Roman"/>
        </w:rPr>
        <w:t xml:space="preserve"> cells, </w:t>
      </w:r>
      <w:r w:rsidR="00F450EF" w:rsidRPr="007A2F16">
        <w:rPr>
          <w:rFonts w:ascii="Times New Roman" w:hAnsi="Times New Roman"/>
          <w:bCs/>
          <w:color w:val="000000" w:themeColor="text1"/>
        </w:rPr>
        <w:t>PDGFR</w:t>
      </w:r>
      <w:r w:rsidR="00F450EF" w:rsidRPr="007A2F16">
        <w:rPr>
          <w:rFonts w:ascii="Symbol" w:hAnsi="Symbol"/>
          <w:bCs/>
          <w:color w:val="000000" w:themeColor="text1"/>
        </w:rPr>
        <w:t></w:t>
      </w:r>
      <w:r w:rsidR="00F450EF">
        <w:rPr>
          <w:rFonts w:ascii="Times New Roman" w:hAnsi="Times New Roman"/>
          <w:bCs/>
          <w:color w:val="000000" w:themeColor="text1"/>
          <w:vertAlign w:val="superscript"/>
        </w:rPr>
        <w:t>-</w:t>
      </w:r>
      <w:r w:rsidR="00F450EF" w:rsidRPr="007A2F16">
        <w:rPr>
          <w:rFonts w:ascii="Times New Roman" w:hAnsi="Times New Roman"/>
          <w:bCs/>
          <w:color w:val="000000" w:themeColor="text1"/>
        </w:rPr>
        <w:t>Gp38</w:t>
      </w:r>
      <w:r w:rsidR="00F450EF">
        <w:rPr>
          <w:rFonts w:ascii="Times New Roman" w:hAnsi="Times New Roman"/>
          <w:bCs/>
          <w:color w:val="000000" w:themeColor="text1"/>
          <w:vertAlign w:val="superscript"/>
        </w:rPr>
        <w:t>-</w:t>
      </w:r>
      <w:r w:rsidR="00F450EF">
        <w:rPr>
          <w:rFonts w:ascii="Times New Roman" w:hAnsi="Times New Roman"/>
          <w:bCs/>
          <w:color w:val="000000" w:themeColor="text1"/>
        </w:rPr>
        <w:t>ITGA7</w:t>
      </w:r>
      <w:r w:rsidR="00F450EF">
        <w:rPr>
          <w:rFonts w:ascii="Times New Roman" w:hAnsi="Times New Roman"/>
          <w:bCs/>
          <w:color w:val="000000" w:themeColor="text1"/>
          <w:vertAlign w:val="superscript"/>
        </w:rPr>
        <w:t>+</w:t>
      </w:r>
      <w:r w:rsidR="00F450EF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F450EF">
        <w:rPr>
          <w:rFonts w:ascii="Times New Roman" w:hAnsi="Times New Roman"/>
          <w:bCs/>
          <w:color w:val="000000" w:themeColor="text1"/>
        </w:rPr>
        <w:t>pericytes</w:t>
      </w:r>
      <w:proofErr w:type="spellEnd"/>
      <w:r w:rsidR="00F450EF">
        <w:rPr>
          <w:rFonts w:ascii="Times New Roman" w:hAnsi="Times New Roman"/>
          <w:bCs/>
          <w:color w:val="000000" w:themeColor="text1"/>
        </w:rPr>
        <w:t xml:space="preserve"> and </w:t>
      </w:r>
      <w:r w:rsidR="00D51B80" w:rsidRPr="001E3B95">
        <w:rPr>
          <w:rFonts w:ascii="Times New Roman" w:hAnsi="Times New Roman"/>
        </w:rPr>
        <w:t>PDGFR</w:t>
      </w:r>
      <w:r w:rsidR="00D51B80" w:rsidRPr="001E3B95">
        <w:rPr>
          <w:rFonts w:ascii="Symbol" w:hAnsi="Symbol"/>
        </w:rPr>
        <w:t></w:t>
      </w:r>
      <w:r w:rsidR="00D51B80" w:rsidRPr="001E3B95">
        <w:rPr>
          <w:rFonts w:ascii="Times New Roman" w:hAnsi="Times New Roman"/>
          <w:vertAlign w:val="superscript"/>
        </w:rPr>
        <w:t>+</w:t>
      </w:r>
      <w:r w:rsidR="00DB19DA">
        <w:rPr>
          <w:rFonts w:ascii="Times New Roman" w:hAnsi="Times New Roman"/>
        </w:rPr>
        <w:t>G</w:t>
      </w:r>
      <w:r w:rsidR="00DB19DA" w:rsidRPr="001E3B95">
        <w:rPr>
          <w:rFonts w:ascii="Times New Roman" w:hAnsi="Times New Roman"/>
        </w:rPr>
        <w:t>p38</w:t>
      </w:r>
      <w:r w:rsidR="00DB19DA">
        <w:rPr>
          <w:rFonts w:ascii="Times New Roman" w:hAnsi="Times New Roman"/>
          <w:vertAlign w:val="superscript"/>
        </w:rPr>
        <w:t>+</w:t>
      </w:r>
      <w:r w:rsidR="00F450EF">
        <w:rPr>
          <w:rFonts w:ascii="Times New Roman" w:hAnsi="Times New Roman"/>
        </w:rPr>
        <w:t>CD34</w:t>
      </w:r>
      <w:r w:rsidR="00F450EF">
        <w:rPr>
          <w:rFonts w:ascii="Times New Roman" w:hAnsi="Times New Roman"/>
          <w:vertAlign w:val="superscript"/>
        </w:rPr>
        <w:t>+</w:t>
      </w:r>
      <w:r w:rsidR="00D51B80">
        <w:rPr>
          <w:rFonts w:ascii="Times New Roman" w:hAnsi="Times New Roman"/>
        </w:rPr>
        <w:t xml:space="preserve"> </w:t>
      </w:r>
      <w:r w:rsidR="00F450EF">
        <w:rPr>
          <w:rFonts w:ascii="Times New Roman" w:hAnsi="Times New Roman"/>
        </w:rPr>
        <w:t xml:space="preserve">cells localized in the </w:t>
      </w:r>
      <w:r w:rsidR="00C16585">
        <w:rPr>
          <w:rFonts w:ascii="Times New Roman" w:hAnsi="Times New Roman"/>
        </w:rPr>
        <w:t xml:space="preserve">vascular adventitia </w:t>
      </w:r>
      <w:r w:rsidR="00F450EF">
        <w:rPr>
          <w:rFonts w:ascii="Times New Roman" w:hAnsi="Times New Roman"/>
        </w:rPr>
        <w:t>and in the capsule</w:t>
      </w:r>
      <w:r>
        <w:rPr>
          <w:rFonts w:ascii="Times New Roman" w:hAnsi="Times New Roman"/>
        </w:rPr>
        <w:t xml:space="preserve">. </w:t>
      </w:r>
      <w:r w:rsidR="007133C2">
        <w:rPr>
          <w:rFonts w:ascii="Times New Roman" w:hAnsi="Times New Roman"/>
        </w:rPr>
        <w:t xml:space="preserve">Focusing on the thymus as a model organ we obtain evidence that the </w:t>
      </w:r>
      <w:r w:rsidR="00C33D06">
        <w:rPr>
          <w:rFonts w:ascii="Times New Roman" w:hAnsi="Times New Roman"/>
        </w:rPr>
        <w:t>latter two subsets</w:t>
      </w:r>
      <w:r>
        <w:rPr>
          <w:rFonts w:ascii="Times New Roman" w:hAnsi="Times New Roman"/>
        </w:rPr>
        <w:t xml:space="preserve"> </w:t>
      </w:r>
      <w:r w:rsidR="003535CC">
        <w:rPr>
          <w:rFonts w:ascii="Times New Roman" w:hAnsi="Times New Roman"/>
        </w:rPr>
        <w:t xml:space="preserve">initially </w:t>
      </w:r>
      <w:r w:rsidR="00C16585">
        <w:rPr>
          <w:rFonts w:ascii="Times New Roman" w:hAnsi="Times New Roman"/>
        </w:rPr>
        <w:t>develop</w:t>
      </w:r>
      <w:r w:rsidR="00DD3544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from </w:t>
      </w:r>
      <w:r w:rsidR="00C33D06">
        <w:rPr>
          <w:rFonts w:ascii="Times New Roman" w:hAnsi="Times New Roman"/>
        </w:rPr>
        <w:t>a</w:t>
      </w:r>
      <w:r w:rsidR="00264618">
        <w:rPr>
          <w:rFonts w:ascii="Times New Roman" w:hAnsi="Times New Roman"/>
        </w:rPr>
        <w:t xml:space="preserve"> </w:t>
      </w:r>
      <w:r w:rsidR="00DD3544">
        <w:rPr>
          <w:rFonts w:ascii="Times New Roman" w:hAnsi="Times New Roman"/>
        </w:rPr>
        <w:t>common</w:t>
      </w:r>
      <w:r w:rsidR="007133C2">
        <w:rPr>
          <w:rFonts w:ascii="Times New Roman" w:hAnsi="Times New Roman"/>
        </w:rPr>
        <w:t xml:space="preserve"> </w:t>
      </w:r>
      <w:r w:rsidR="00DA1BDF" w:rsidRPr="00DA1BDF">
        <w:rPr>
          <w:rFonts w:ascii="Times New Roman" w:hAnsi="Times New Roman"/>
          <w:bCs/>
          <w:color w:val="000000" w:themeColor="text1"/>
        </w:rPr>
        <w:t>PDGFR</w:t>
      </w:r>
      <w:r w:rsidR="00DA1BDF" w:rsidRPr="00DA1BDF">
        <w:rPr>
          <w:rFonts w:ascii="Symbol" w:hAnsi="Symbol"/>
          <w:bCs/>
          <w:color w:val="000000" w:themeColor="text1"/>
        </w:rPr>
        <w:t></w:t>
      </w:r>
      <w:r w:rsidR="00DA1BDF" w:rsidRPr="00DA1BDF">
        <w:rPr>
          <w:rFonts w:ascii="Times New Roman" w:hAnsi="Times New Roman"/>
          <w:bCs/>
          <w:color w:val="000000" w:themeColor="text1"/>
        </w:rPr>
        <w:t>/</w:t>
      </w:r>
      <w:r w:rsidR="00DA1BDF" w:rsidRPr="00DA1BDF">
        <w:rPr>
          <w:rFonts w:ascii="Symbol" w:hAnsi="Symbol"/>
          <w:bCs/>
          <w:color w:val="000000" w:themeColor="text1"/>
        </w:rPr>
        <w:t></w:t>
      </w:r>
      <w:r w:rsidR="00DA1BDF" w:rsidRPr="00DA1BDF">
        <w:rPr>
          <w:rFonts w:ascii="Times New Roman" w:hAnsi="Times New Roman"/>
          <w:bCs/>
          <w:color w:val="000000" w:themeColor="text1"/>
          <w:vertAlign w:val="superscript"/>
        </w:rPr>
        <w:t>+</w:t>
      </w:r>
      <w:r w:rsidR="00DA1BDF" w:rsidRPr="00DA1BDF">
        <w:rPr>
          <w:rFonts w:ascii="Times New Roman" w:hAnsi="Times New Roman"/>
          <w:bCs/>
          <w:color w:val="000000" w:themeColor="text1"/>
        </w:rPr>
        <w:t>Gp38</w:t>
      </w:r>
      <w:r w:rsidR="00DA1BDF" w:rsidRPr="00DA1BDF">
        <w:rPr>
          <w:rFonts w:ascii="Times New Roman" w:hAnsi="Times New Roman"/>
          <w:bCs/>
          <w:color w:val="000000" w:themeColor="text1"/>
          <w:vertAlign w:val="superscript"/>
        </w:rPr>
        <w:t>+</w:t>
      </w:r>
      <w:r w:rsidR="00DA1BDF" w:rsidRPr="00DA1BDF">
        <w:rPr>
          <w:rFonts w:ascii="Times New Roman" w:hAnsi="Times New Roman"/>
          <w:bCs/>
          <w:color w:val="000000" w:themeColor="text1"/>
        </w:rPr>
        <w:t>CD34</w:t>
      </w:r>
      <w:r w:rsidR="00DA1BDF">
        <w:rPr>
          <w:rFonts w:ascii="Times New Roman" w:hAnsi="Times New Roman"/>
          <w:bCs/>
          <w:color w:val="000000" w:themeColor="text1"/>
          <w:vertAlign w:val="superscript"/>
        </w:rPr>
        <w:t>-</w:t>
      </w:r>
      <w:r w:rsidR="00DA1BDF" w:rsidRPr="00DA1BDF">
        <w:rPr>
          <w:rFonts w:ascii="Times New Roman" w:hAnsi="Times New Roman"/>
          <w:bCs/>
          <w:color w:val="000000" w:themeColor="text1"/>
        </w:rPr>
        <w:t>ICAM1</w:t>
      </w:r>
      <w:r w:rsidR="00DA1BDF">
        <w:rPr>
          <w:rFonts w:ascii="Times New Roman" w:hAnsi="Times New Roman"/>
          <w:bCs/>
          <w:color w:val="000000" w:themeColor="text1"/>
          <w:vertAlign w:val="superscript"/>
        </w:rPr>
        <w:t>-</w:t>
      </w:r>
      <w:r>
        <w:rPr>
          <w:rFonts w:ascii="Times New Roman" w:hAnsi="Times New Roman"/>
        </w:rPr>
        <w:t xml:space="preserve"> </w:t>
      </w:r>
      <w:r w:rsidR="00DD3544">
        <w:rPr>
          <w:rFonts w:ascii="Times New Roman" w:hAnsi="Times New Roman"/>
        </w:rPr>
        <w:t xml:space="preserve">embryonic </w:t>
      </w:r>
      <w:r w:rsidR="00264618">
        <w:rPr>
          <w:rFonts w:ascii="Times New Roman" w:hAnsi="Times New Roman"/>
        </w:rPr>
        <w:t>precursor population</w:t>
      </w:r>
      <w:r w:rsidR="00DF0528">
        <w:rPr>
          <w:rFonts w:ascii="Times New Roman" w:hAnsi="Times New Roman"/>
        </w:rPr>
        <w:t xml:space="preserve">. Notably, </w:t>
      </w:r>
      <w:r w:rsidR="00D121F6">
        <w:rPr>
          <w:rFonts w:ascii="Times New Roman" w:hAnsi="Times New Roman"/>
        </w:rPr>
        <w:t>p</w:t>
      </w:r>
      <w:r w:rsidR="003535CC">
        <w:rPr>
          <w:rFonts w:ascii="Times New Roman" w:hAnsi="Times New Roman"/>
        </w:rPr>
        <w:t xml:space="preserve">recursor-progeny studies involving </w:t>
      </w:r>
      <w:r w:rsidR="00D121F6">
        <w:rPr>
          <w:rFonts w:ascii="Times New Roman" w:hAnsi="Times New Roman"/>
        </w:rPr>
        <w:t xml:space="preserve">transfer of </w:t>
      </w:r>
      <w:r w:rsidR="00FB19E6">
        <w:rPr>
          <w:rFonts w:ascii="Times New Roman" w:hAnsi="Times New Roman"/>
        </w:rPr>
        <w:t xml:space="preserve">adult </w:t>
      </w:r>
      <w:r w:rsidR="00250F80">
        <w:rPr>
          <w:rFonts w:ascii="Times New Roman" w:hAnsi="Times New Roman"/>
        </w:rPr>
        <w:t>thymus-</w:t>
      </w:r>
      <w:r w:rsidR="00DD3544">
        <w:rPr>
          <w:rFonts w:ascii="Times New Roman" w:hAnsi="Times New Roman"/>
        </w:rPr>
        <w:t xml:space="preserve"> and adipose tissue-</w:t>
      </w:r>
      <w:r w:rsidR="00250F80">
        <w:rPr>
          <w:rFonts w:ascii="Times New Roman" w:hAnsi="Times New Roman"/>
        </w:rPr>
        <w:t xml:space="preserve">derived </w:t>
      </w:r>
      <w:r w:rsidR="00D121F6">
        <w:rPr>
          <w:rFonts w:ascii="Times New Roman" w:hAnsi="Times New Roman"/>
        </w:rPr>
        <w:t>BP3</w:t>
      </w:r>
      <w:r w:rsidR="00D121F6">
        <w:rPr>
          <w:rFonts w:ascii="Times New Roman" w:hAnsi="Times New Roman"/>
          <w:vertAlign w:val="superscript"/>
        </w:rPr>
        <w:t>-</w:t>
      </w:r>
      <w:r w:rsidR="00D121F6">
        <w:rPr>
          <w:rFonts w:ascii="Times New Roman" w:hAnsi="Times New Roman"/>
        </w:rPr>
        <w:t>G</w:t>
      </w:r>
      <w:r w:rsidR="00D121F6" w:rsidRPr="001E3B95">
        <w:rPr>
          <w:rFonts w:ascii="Times New Roman" w:hAnsi="Times New Roman"/>
        </w:rPr>
        <w:t>p38</w:t>
      </w:r>
      <w:r w:rsidR="00D121F6">
        <w:rPr>
          <w:rFonts w:ascii="Times New Roman" w:hAnsi="Times New Roman"/>
          <w:vertAlign w:val="superscript"/>
        </w:rPr>
        <w:t>+</w:t>
      </w:r>
      <w:r w:rsidR="00D121F6" w:rsidRPr="001E3B95">
        <w:rPr>
          <w:rFonts w:ascii="Times New Roman" w:hAnsi="Times New Roman"/>
        </w:rPr>
        <w:t>PDGFR</w:t>
      </w:r>
      <w:r w:rsidR="00D121F6" w:rsidRPr="001E3B95">
        <w:rPr>
          <w:rFonts w:ascii="Symbol" w:hAnsi="Symbol"/>
        </w:rPr>
        <w:t></w:t>
      </w:r>
      <w:r w:rsidR="00D121F6" w:rsidRPr="001E3B95">
        <w:rPr>
          <w:rFonts w:ascii="Times New Roman" w:hAnsi="Times New Roman"/>
          <w:vertAlign w:val="superscript"/>
        </w:rPr>
        <w:t>+</w:t>
      </w:r>
      <w:r w:rsidR="00D121F6">
        <w:rPr>
          <w:rFonts w:ascii="Times New Roman" w:hAnsi="Times New Roman"/>
        </w:rPr>
        <w:t>CD34</w:t>
      </w:r>
      <w:r w:rsidR="00D121F6">
        <w:rPr>
          <w:rFonts w:ascii="Times New Roman" w:hAnsi="Times New Roman"/>
          <w:vertAlign w:val="superscript"/>
        </w:rPr>
        <w:t>+</w:t>
      </w:r>
      <w:r w:rsidR="00EA1B94">
        <w:rPr>
          <w:rFonts w:ascii="Times New Roman" w:hAnsi="Times New Roman"/>
        </w:rPr>
        <w:t>ICAM1</w:t>
      </w:r>
      <w:r w:rsidR="00EA1B94">
        <w:rPr>
          <w:rFonts w:ascii="Times New Roman" w:hAnsi="Times New Roman"/>
          <w:vertAlign w:val="superscript"/>
        </w:rPr>
        <w:t>-</w:t>
      </w:r>
      <w:r w:rsidR="00D121F6" w:rsidRPr="00DB5BC1">
        <w:rPr>
          <w:rFonts w:ascii="Times New Roman" w:hAnsi="Times New Roman"/>
        </w:rPr>
        <w:t xml:space="preserve"> </w:t>
      </w:r>
      <w:r w:rsidR="00D121F6">
        <w:rPr>
          <w:rFonts w:ascii="Times New Roman" w:hAnsi="Times New Roman"/>
        </w:rPr>
        <w:t xml:space="preserve">cells into </w:t>
      </w:r>
      <w:proofErr w:type="spellStart"/>
      <w:r w:rsidR="00EA1B94">
        <w:rPr>
          <w:rFonts w:ascii="Times New Roman" w:hAnsi="Times New Roman"/>
        </w:rPr>
        <w:t>thymic</w:t>
      </w:r>
      <w:proofErr w:type="spellEnd"/>
      <w:r w:rsidR="003535CC">
        <w:rPr>
          <w:rFonts w:ascii="Times New Roman" w:hAnsi="Times New Roman"/>
        </w:rPr>
        <w:t xml:space="preserve"> and </w:t>
      </w:r>
      <w:r w:rsidR="00D121F6">
        <w:rPr>
          <w:rFonts w:ascii="Times New Roman" w:hAnsi="Times New Roman"/>
        </w:rPr>
        <w:t>LN re-aggregate organ grafts</w:t>
      </w:r>
      <w:r w:rsidR="003535CC">
        <w:rPr>
          <w:rFonts w:ascii="Times New Roman" w:hAnsi="Times New Roman"/>
        </w:rPr>
        <w:t xml:space="preserve"> </w:t>
      </w:r>
      <w:r w:rsidR="00DD3544">
        <w:rPr>
          <w:rFonts w:ascii="Times New Roman" w:hAnsi="Times New Roman"/>
        </w:rPr>
        <w:t>uncover</w:t>
      </w:r>
      <w:r w:rsidR="009E6244">
        <w:rPr>
          <w:rFonts w:ascii="Times New Roman" w:hAnsi="Times New Roman"/>
        </w:rPr>
        <w:t xml:space="preserve">ed </w:t>
      </w:r>
      <w:r w:rsidR="00EA1B94">
        <w:rPr>
          <w:rFonts w:ascii="Times New Roman" w:hAnsi="Times New Roman"/>
        </w:rPr>
        <w:t xml:space="preserve">a precursor activity towards not only </w:t>
      </w:r>
      <w:proofErr w:type="spellStart"/>
      <w:r>
        <w:rPr>
          <w:rFonts w:ascii="Times New Roman" w:hAnsi="Times New Roman"/>
        </w:rPr>
        <w:t>pericytes</w:t>
      </w:r>
      <w:proofErr w:type="spellEnd"/>
      <w:r>
        <w:rPr>
          <w:rFonts w:ascii="Times New Roman" w:hAnsi="Times New Roman"/>
        </w:rPr>
        <w:t xml:space="preserve"> </w:t>
      </w:r>
      <w:r w:rsidR="00EA1B94">
        <w:rPr>
          <w:rFonts w:ascii="Times New Roman" w:hAnsi="Times New Roman"/>
        </w:rPr>
        <w:t>but also</w:t>
      </w:r>
      <w:r>
        <w:rPr>
          <w:rFonts w:ascii="Times New Roman" w:hAnsi="Times New Roman"/>
        </w:rPr>
        <w:t xml:space="preserve"> </w:t>
      </w:r>
      <w:r w:rsidR="007B306A">
        <w:rPr>
          <w:rFonts w:ascii="Times New Roman" w:hAnsi="Times New Roman"/>
        </w:rPr>
        <w:t>BP3</w:t>
      </w:r>
      <w:r w:rsidR="007B306A">
        <w:rPr>
          <w:rFonts w:ascii="Times New Roman" w:hAnsi="Times New Roman"/>
          <w:vertAlign w:val="superscript"/>
        </w:rPr>
        <w:t>+</w:t>
      </w:r>
      <w:r w:rsidR="007B306A">
        <w:rPr>
          <w:rFonts w:ascii="Times New Roman" w:hAnsi="Times New Roman"/>
        </w:rPr>
        <w:t xml:space="preserve"> </w:t>
      </w:r>
      <w:r w:rsidRPr="0067478D">
        <w:rPr>
          <w:rFonts w:ascii="Times New Roman" w:hAnsi="Times New Roman"/>
        </w:rPr>
        <w:t>FRC, MRC and FDC</w:t>
      </w:r>
      <w:r w:rsidR="007B306A">
        <w:rPr>
          <w:rFonts w:ascii="Times New Roman" w:hAnsi="Times New Roman"/>
        </w:rPr>
        <w:t xml:space="preserve"> </w:t>
      </w:r>
      <w:r w:rsidR="00B35A53">
        <w:rPr>
          <w:rFonts w:ascii="Times New Roman" w:hAnsi="Times New Roman"/>
        </w:rPr>
        <w:t>and</w:t>
      </w:r>
      <w:r w:rsidR="007B306A">
        <w:rPr>
          <w:rFonts w:ascii="Times New Roman" w:hAnsi="Times New Roman"/>
        </w:rPr>
        <w:t xml:space="preserve"> provided evidence of </w:t>
      </w:r>
      <w:r w:rsidR="007B306A" w:rsidRPr="001E3B95">
        <w:rPr>
          <w:rFonts w:ascii="Times New Roman" w:hAnsi="Times New Roman"/>
        </w:rPr>
        <w:t xml:space="preserve">local environmental imprinting of </w:t>
      </w:r>
      <w:r w:rsidR="007B306A">
        <w:rPr>
          <w:rFonts w:ascii="Times New Roman" w:hAnsi="Times New Roman"/>
        </w:rPr>
        <w:t>BP3</w:t>
      </w:r>
      <w:r w:rsidR="007B306A">
        <w:rPr>
          <w:rFonts w:ascii="Times New Roman" w:hAnsi="Times New Roman"/>
          <w:vertAlign w:val="superscript"/>
        </w:rPr>
        <w:t>-</w:t>
      </w:r>
      <w:r w:rsidR="007B306A">
        <w:rPr>
          <w:rFonts w:ascii="Times New Roman" w:hAnsi="Times New Roman"/>
        </w:rPr>
        <w:t>G</w:t>
      </w:r>
      <w:r w:rsidR="007B306A" w:rsidRPr="001E3B95">
        <w:rPr>
          <w:rFonts w:ascii="Times New Roman" w:hAnsi="Times New Roman"/>
        </w:rPr>
        <w:t>p38</w:t>
      </w:r>
      <w:r w:rsidR="007B306A">
        <w:rPr>
          <w:rFonts w:ascii="Times New Roman" w:hAnsi="Times New Roman"/>
          <w:vertAlign w:val="superscript"/>
        </w:rPr>
        <w:t xml:space="preserve">+ </w:t>
      </w:r>
      <w:r w:rsidR="007B306A">
        <w:rPr>
          <w:rFonts w:ascii="Times New Roman" w:hAnsi="Times New Roman"/>
        </w:rPr>
        <w:t xml:space="preserve">cells </w:t>
      </w:r>
      <w:r w:rsidR="007B306A" w:rsidRPr="001E3B95">
        <w:rPr>
          <w:rFonts w:ascii="Times New Roman" w:hAnsi="Times New Roman"/>
        </w:rPr>
        <w:t>with organ-specific features</w:t>
      </w:r>
      <w:r>
        <w:rPr>
          <w:rFonts w:ascii="Times New Roman" w:hAnsi="Times New Roman"/>
        </w:rPr>
        <w:t xml:space="preserve">. </w:t>
      </w:r>
      <w:r w:rsidR="004D4FE1" w:rsidRPr="001E3B95">
        <w:rPr>
          <w:rFonts w:ascii="Times New Roman" w:hAnsi="Times New Roman"/>
        </w:rPr>
        <w:t>Finally, we d</w:t>
      </w:r>
      <w:r w:rsidR="00EA1B94">
        <w:rPr>
          <w:rFonts w:ascii="Times New Roman" w:hAnsi="Times New Roman"/>
        </w:rPr>
        <w:t xml:space="preserve">emonstrate that </w:t>
      </w:r>
      <w:r w:rsidR="00DA1BDF">
        <w:rPr>
          <w:rFonts w:ascii="Times New Roman" w:hAnsi="Times New Roman"/>
        </w:rPr>
        <w:t>BP3</w:t>
      </w:r>
      <w:r w:rsidR="00DA1BDF">
        <w:rPr>
          <w:rFonts w:ascii="Times New Roman" w:hAnsi="Times New Roman"/>
          <w:vertAlign w:val="superscript"/>
        </w:rPr>
        <w:t>-</w:t>
      </w:r>
      <w:r w:rsidR="00EA1B94">
        <w:rPr>
          <w:rFonts w:ascii="Times New Roman" w:hAnsi="Times New Roman"/>
        </w:rPr>
        <w:t>G</w:t>
      </w:r>
      <w:r w:rsidR="00EA1B94" w:rsidRPr="001E3B95">
        <w:rPr>
          <w:rFonts w:ascii="Times New Roman" w:hAnsi="Times New Roman"/>
        </w:rPr>
        <w:t>p38</w:t>
      </w:r>
      <w:r w:rsidR="00EA1B94">
        <w:rPr>
          <w:rFonts w:ascii="Times New Roman" w:hAnsi="Times New Roman"/>
          <w:vertAlign w:val="superscript"/>
        </w:rPr>
        <w:t>+</w:t>
      </w:r>
      <w:r w:rsidR="00DA1BDF">
        <w:rPr>
          <w:rFonts w:ascii="Times New Roman" w:hAnsi="Times New Roman"/>
        </w:rPr>
        <w:t xml:space="preserve"> </w:t>
      </w:r>
      <w:r w:rsidR="00EA1B94">
        <w:rPr>
          <w:rFonts w:ascii="Times New Roman" w:hAnsi="Times New Roman"/>
        </w:rPr>
        <w:t xml:space="preserve">mesenchymal cell </w:t>
      </w:r>
      <w:r w:rsidR="00DA1BDF">
        <w:rPr>
          <w:rFonts w:ascii="Times New Roman" w:hAnsi="Times New Roman"/>
        </w:rPr>
        <w:t xml:space="preserve">maintenance/maturation </w:t>
      </w:r>
      <w:r w:rsidR="00EA1B94">
        <w:rPr>
          <w:rFonts w:ascii="Times New Roman" w:hAnsi="Times New Roman"/>
        </w:rPr>
        <w:t xml:space="preserve">in the thymus </w:t>
      </w:r>
      <w:r w:rsidR="00DA1BDF">
        <w:rPr>
          <w:rFonts w:ascii="Times New Roman" w:hAnsi="Times New Roman"/>
        </w:rPr>
        <w:t>requires</w:t>
      </w:r>
      <w:r w:rsidR="004D4FE1" w:rsidRPr="001E3B95">
        <w:rPr>
          <w:rFonts w:ascii="Times New Roman" w:hAnsi="Times New Roman"/>
        </w:rPr>
        <w:t xml:space="preserve"> LT</w:t>
      </w:r>
      <w:r w:rsidR="004D4FE1" w:rsidRPr="001E3B95">
        <w:rPr>
          <w:rFonts w:ascii="Symbol" w:hAnsi="Symbol"/>
        </w:rPr>
        <w:t></w:t>
      </w:r>
      <w:r w:rsidR="004D4FE1" w:rsidRPr="001E3B95">
        <w:rPr>
          <w:rFonts w:ascii="Times New Roman" w:hAnsi="Times New Roman"/>
        </w:rPr>
        <w:t>R signaling while this pathway appeared dispe</w:t>
      </w:r>
      <w:r w:rsidR="00DA1BDF">
        <w:rPr>
          <w:rFonts w:ascii="Times New Roman" w:hAnsi="Times New Roman"/>
        </w:rPr>
        <w:t xml:space="preserve">nsable for </w:t>
      </w:r>
      <w:proofErr w:type="spellStart"/>
      <w:r w:rsidR="00DA1BDF">
        <w:rPr>
          <w:rFonts w:ascii="Times New Roman" w:hAnsi="Times New Roman"/>
        </w:rPr>
        <w:t>pericyte</w:t>
      </w:r>
      <w:proofErr w:type="spellEnd"/>
      <w:r w:rsidR="00DA1BDF">
        <w:rPr>
          <w:rFonts w:ascii="Times New Roman" w:hAnsi="Times New Roman"/>
        </w:rPr>
        <w:t xml:space="preserve"> differentiation</w:t>
      </w:r>
      <w:r w:rsidR="004D4FE1" w:rsidRPr="001E3B9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These findings </w:t>
      </w:r>
      <w:r w:rsidRPr="001E3B95">
        <w:rPr>
          <w:rFonts w:ascii="Times New Roman" w:hAnsi="Times New Roman"/>
        </w:rPr>
        <w:t>bring novel insig</w:t>
      </w:r>
      <w:r>
        <w:rPr>
          <w:rFonts w:ascii="Times New Roman" w:hAnsi="Times New Roman"/>
        </w:rPr>
        <w:t xml:space="preserve">hts to the understanding of lymphoid mesenchymal cell heterogeneity </w:t>
      </w:r>
      <w:r w:rsidR="00B35A53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i</w:t>
      </w:r>
      <w:r w:rsidR="00DA1BDF">
        <w:rPr>
          <w:rFonts w:ascii="Times New Roman" w:hAnsi="Times New Roman"/>
        </w:rPr>
        <w:t>mplicate an unforeseen role of the vascular adventiti</w:t>
      </w:r>
      <w:r>
        <w:rPr>
          <w:rFonts w:ascii="Times New Roman" w:hAnsi="Times New Roman"/>
        </w:rPr>
        <w:t>a</w:t>
      </w:r>
      <w:r w:rsidR="00DA1B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lymphoid stroma turnover/regeneration.</w:t>
      </w:r>
      <w:bookmarkEnd w:id="0"/>
    </w:p>
    <w:sectPr w:rsidR="009F17E5" w:rsidRPr="00D121F6" w:rsidSect="0091342C">
      <w:pgSz w:w="11900" w:h="16840"/>
      <w:pgMar w:top="1135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B5"/>
    <w:rsid w:val="00044D21"/>
    <w:rsid w:val="001E7C07"/>
    <w:rsid w:val="00250F80"/>
    <w:rsid w:val="00264618"/>
    <w:rsid w:val="00287320"/>
    <w:rsid w:val="002C6303"/>
    <w:rsid w:val="003535CC"/>
    <w:rsid w:val="003623B5"/>
    <w:rsid w:val="004B282B"/>
    <w:rsid w:val="004D4FE1"/>
    <w:rsid w:val="004F5D35"/>
    <w:rsid w:val="006B4050"/>
    <w:rsid w:val="007133C2"/>
    <w:rsid w:val="007A2F16"/>
    <w:rsid w:val="007B306A"/>
    <w:rsid w:val="0091342C"/>
    <w:rsid w:val="009A275C"/>
    <w:rsid w:val="009E6244"/>
    <w:rsid w:val="009F17E5"/>
    <w:rsid w:val="00A80732"/>
    <w:rsid w:val="00AE199B"/>
    <w:rsid w:val="00B35A53"/>
    <w:rsid w:val="00C16585"/>
    <w:rsid w:val="00C33D06"/>
    <w:rsid w:val="00CE2A37"/>
    <w:rsid w:val="00D121F6"/>
    <w:rsid w:val="00D51B80"/>
    <w:rsid w:val="00DA1BDF"/>
    <w:rsid w:val="00DB19DA"/>
    <w:rsid w:val="00DD3544"/>
    <w:rsid w:val="00DF0528"/>
    <w:rsid w:val="00E113A6"/>
    <w:rsid w:val="00EA1B94"/>
    <w:rsid w:val="00F450EF"/>
    <w:rsid w:val="00FB19E6"/>
    <w:rsid w:val="00FE7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rteczki">
    <w:name w:val="karteczki"/>
    <w:basedOn w:val="Normal"/>
    <w:qFormat/>
    <w:rsid w:val="00A9498D"/>
    <w:pPr>
      <w:spacing w:before="1000"/>
      <w:jc w:val="center"/>
    </w:pPr>
    <w:rPr>
      <w:i/>
      <w:sz w:val="40"/>
    </w:rPr>
  </w:style>
  <w:style w:type="character" w:styleId="CommentReference">
    <w:name w:val="annotation reference"/>
    <w:uiPriority w:val="99"/>
    <w:rsid w:val="003623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3623B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23B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rsid w:val="00362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23B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rteczki">
    <w:name w:val="karteczki"/>
    <w:basedOn w:val="Normal"/>
    <w:qFormat/>
    <w:rsid w:val="00A9498D"/>
    <w:pPr>
      <w:spacing w:before="1000"/>
      <w:jc w:val="center"/>
    </w:pPr>
    <w:rPr>
      <w:i/>
      <w:sz w:val="40"/>
    </w:rPr>
  </w:style>
  <w:style w:type="character" w:styleId="CommentReference">
    <w:name w:val="annotation reference"/>
    <w:uiPriority w:val="99"/>
    <w:rsid w:val="003623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3623B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23B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rsid w:val="00362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23B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Sitnik</dc:creator>
  <cp:lastModifiedBy>Maria Ravnkilde Christensen</cp:lastModifiedBy>
  <cp:revision>2</cp:revision>
  <dcterms:created xsi:type="dcterms:W3CDTF">2015-08-26T09:35:00Z</dcterms:created>
  <dcterms:modified xsi:type="dcterms:W3CDTF">2015-08-26T09:35:00Z</dcterms:modified>
</cp:coreProperties>
</file>