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09AD0" w14:textId="717A8FCE" w:rsidR="00676385" w:rsidRPr="009163B0" w:rsidRDefault="0016078F" w:rsidP="00DF5AFC">
      <w:pPr>
        <w:rPr>
          <w:lang w:val="en-US"/>
        </w:rPr>
      </w:pPr>
      <w:bookmarkStart w:id="0" w:name="_GoBack"/>
      <w:bookmarkEnd w:id="0"/>
      <w:r>
        <w:t>Achieving M</w:t>
      </w:r>
      <w:r w:rsidR="000110F5">
        <w:t xml:space="preserve">aximum </w:t>
      </w:r>
      <w:r>
        <w:t>S</w:t>
      </w:r>
      <w:r w:rsidR="000110F5">
        <w:t xml:space="preserve">ustainable </w:t>
      </w:r>
      <w:r>
        <w:t>Y</w:t>
      </w:r>
      <w:r w:rsidR="000110F5">
        <w:t>ield</w:t>
      </w:r>
      <w:r>
        <w:t xml:space="preserve"> in mixed fisheries. A</w:t>
      </w:r>
      <w:r w:rsidR="00D843BD">
        <w:t xml:space="preserve"> management</w:t>
      </w:r>
      <w:r>
        <w:t xml:space="preserve"> approach </w:t>
      </w:r>
      <w:r w:rsidR="003D414A">
        <w:t>for the</w:t>
      </w:r>
      <w:r>
        <w:t xml:space="preserve"> North Sea demersal fisheries</w:t>
      </w:r>
      <w:r w:rsidRPr="009163B0">
        <w:rPr>
          <w:lang w:val="en-US"/>
        </w:rPr>
        <w:t xml:space="preserve"> </w:t>
      </w:r>
    </w:p>
    <w:p w14:paraId="071003EB" w14:textId="77777777" w:rsidR="00676385" w:rsidRPr="009163B0" w:rsidRDefault="00676385" w:rsidP="00DF5AFC">
      <w:pPr>
        <w:rPr>
          <w:lang w:val="en-US"/>
        </w:rPr>
      </w:pPr>
    </w:p>
    <w:p w14:paraId="0C73067F" w14:textId="55A2B31D" w:rsidR="00666773" w:rsidRPr="009163B0" w:rsidRDefault="002D40C5" w:rsidP="00DF5AFC">
      <w:pPr>
        <w:rPr>
          <w:lang w:val="en-US"/>
        </w:rPr>
      </w:pPr>
      <w:r w:rsidRPr="009163B0">
        <w:rPr>
          <w:lang w:val="en-US"/>
        </w:rPr>
        <w:t>Clara Ulrich</w:t>
      </w:r>
      <w:r w:rsidR="009A4AA4" w:rsidRPr="009163B0">
        <w:rPr>
          <w:vertAlign w:val="superscript"/>
          <w:lang w:val="en-US"/>
        </w:rPr>
        <w:t>(1)</w:t>
      </w:r>
      <w:r w:rsidRPr="009163B0">
        <w:rPr>
          <w:lang w:val="en-US"/>
        </w:rPr>
        <w:t xml:space="preserve">, </w:t>
      </w:r>
      <w:r w:rsidR="00286245" w:rsidRPr="009163B0">
        <w:rPr>
          <w:lang w:val="en-US"/>
        </w:rPr>
        <w:t>Youen Vermard</w:t>
      </w:r>
      <w:r w:rsidR="0056556B">
        <w:rPr>
          <w:vertAlign w:val="superscript"/>
          <w:lang w:val="en-US"/>
        </w:rPr>
        <w:t>(2</w:t>
      </w:r>
      <w:r w:rsidR="00286245" w:rsidRPr="009163B0">
        <w:rPr>
          <w:vertAlign w:val="superscript"/>
          <w:lang w:val="en-US"/>
        </w:rPr>
        <w:t xml:space="preserve">), </w:t>
      </w:r>
      <w:r w:rsidR="00E70AAC" w:rsidRPr="009163B0">
        <w:rPr>
          <w:lang w:val="en-US"/>
        </w:rPr>
        <w:t>Paul</w:t>
      </w:r>
      <w:r w:rsidR="007C40B7">
        <w:rPr>
          <w:lang w:val="en-US"/>
        </w:rPr>
        <w:t xml:space="preserve"> J.</w:t>
      </w:r>
      <w:r w:rsidR="00E70AAC" w:rsidRPr="009163B0">
        <w:rPr>
          <w:lang w:val="en-US"/>
        </w:rPr>
        <w:t xml:space="preserve"> Dolder</w:t>
      </w:r>
      <w:r w:rsidR="0056556B">
        <w:rPr>
          <w:vertAlign w:val="superscript"/>
          <w:lang w:val="en-US"/>
        </w:rPr>
        <w:t>(3</w:t>
      </w:r>
      <w:r w:rsidR="00E70AAC" w:rsidRPr="009163B0">
        <w:rPr>
          <w:vertAlign w:val="superscript"/>
          <w:lang w:val="en-US"/>
        </w:rPr>
        <w:t>)</w:t>
      </w:r>
      <w:r w:rsidR="00E70AAC" w:rsidRPr="009163B0">
        <w:rPr>
          <w:lang w:val="en-US"/>
        </w:rPr>
        <w:t xml:space="preserve">, </w:t>
      </w:r>
      <w:r w:rsidR="002E1CC9" w:rsidRPr="009163B0">
        <w:rPr>
          <w:lang w:val="en-US"/>
        </w:rPr>
        <w:t>Thomas Brunel</w:t>
      </w:r>
      <w:r w:rsidR="0056556B">
        <w:rPr>
          <w:vertAlign w:val="superscript"/>
          <w:lang w:val="en-US"/>
        </w:rPr>
        <w:t>(4</w:t>
      </w:r>
      <w:r w:rsidR="002E1CC9" w:rsidRPr="009163B0">
        <w:rPr>
          <w:vertAlign w:val="superscript"/>
          <w:lang w:val="en-US"/>
        </w:rPr>
        <w:t>)</w:t>
      </w:r>
      <w:r w:rsidR="002E1CC9" w:rsidRPr="009163B0">
        <w:rPr>
          <w:lang w:val="en-US"/>
        </w:rPr>
        <w:t xml:space="preserve">, </w:t>
      </w:r>
      <w:r w:rsidRPr="009163B0">
        <w:rPr>
          <w:lang w:val="en-US"/>
        </w:rPr>
        <w:t>Ernesto Jardim</w:t>
      </w:r>
      <w:r w:rsidR="0056556B">
        <w:rPr>
          <w:vertAlign w:val="superscript"/>
          <w:lang w:val="en-US"/>
        </w:rPr>
        <w:t>(5</w:t>
      </w:r>
      <w:r w:rsidR="009A4AA4" w:rsidRPr="009163B0">
        <w:rPr>
          <w:vertAlign w:val="superscript"/>
          <w:lang w:val="en-US"/>
        </w:rPr>
        <w:t>)</w:t>
      </w:r>
      <w:r w:rsidRPr="009163B0">
        <w:rPr>
          <w:lang w:val="en-US"/>
        </w:rPr>
        <w:t xml:space="preserve">, </w:t>
      </w:r>
      <w:r w:rsidR="00DB5E97" w:rsidRPr="009163B0">
        <w:rPr>
          <w:lang w:val="en-US"/>
        </w:rPr>
        <w:t>Steven</w:t>
      </w:r>
      <w:r w:rsidR="00757F0A">
        <w:rPr>
          <w:lang w:val="en-US"/>
        </w:rPr>
        <w:t xml:space="preserve"> J.</w:t>
      </w:r>
      <w:r w:rsidR="00DB5E97" w:rsidRPr="009163B0">
        <w:rPr>
          <w:lang w:val="en-US"/>
        </w:rPr>
        <w:t xml:space="preserve"> Holmes</w:t>
      </w:r>
      <w:r w:rsidR="0056556B">
        <w:rPr>
          <w:vertAlign w:val="superscript"/>
          <w:lang w:val="en-US"/>
        </w:rPr>
        <w:t>(5</w:t>
      </w:r>
      <w:r w:rsidR="009A4AA4" w:rsidRPr="009163B0">
        <w:rPr>
          <w:vertAlign w:val="superscript"/>
          <w:lang w:val="en-US"/>
        </w:rPr>
        <w:t>)</w:t>
      </w:r>
      <w:r w:rsidR="00DB5E97" w:rsidRPr="009163B0">
        <w:rPr>
          <w:lang w:val="en-US"/>
        </w:rPr>
        <w:t xml:space="preserve">, </w:t>
      </w:r>
      <w:r w:rsidRPr="009163B0">
        <w:rPr>
          <w:lang w:val="en-US"/>
        </w:rPr>
        <w:t>Alexander Kempf</w:t>
      </w:r>
      <w:r w:rsidR="0056556B">
        <w:rPr>
          <w:vertAlign w:val="superscript"/>
          <w:lang w:val="en-US"/>
        </w:rPr>
        <w:t>(6</w:t>
      </w:r>
      <w:r w:rsidR="009A4AA4" w:rsidRPr="009163B0">
        <w:rPr>
          <w:vertAlign w:val="superscript"/>
          <w:lang w:val="en-US"/>
        </w:rPr>
        <w:t>)</w:t>
      </w:r>
      <w:r w:rsidRPr="009163B0">
        <w:rPr>
          <w:lang w:val="en-US"/>
        </w:rPr>
        <w:t>, Lars Olof Mortensen</w:t>
      </w:r>
      <w:r w:rsidR="009A4AA4" w:rsidRPr="009163B0">
        <w:rPr>
          <w:vertAlign w:val="superscript"/>
          <w:lang w:val="en-US"/>
        </w:rPr>
        <w:t>(1)</w:t>
      </w:r>
      <w:r w:rsidRPr="009163B0">
        <w:rPr>
          <w:lang w:val="en-US"/>
        </w:rPr>
        <w:t>, Jan-Jaap Poos</w:t>
      </w:r>
      <w:r w:rsidR="0056556B">
        <w:rPr>
          <w:vertAlign w:val="superscript"/>
          <w:lang w:val="en-US"/>
        </w:rPr>
        <w:t>(4</w:t>
      </w:r>
      <w:r w:rsidR="009A4AA4" w:rsidRPr="009163B0">
        <w:rPr>
          <w:vertAlign w:val="superscript"/>
          <w:lang w:val="en-US"/>
        </w:rPr>
        <w:t>)</w:t>
      </w:r>
      <w:r w:rsidRPr="009163B0">
        <w:rPr>
          <w:lang w:val="en-US"/>
        </w:rPr>
        <w:t>, Anna Rindorf</w:t>
      </w:r>
      <w:r w:rsidR="009A4AA4" w:rsidRPr="009163B0">
        <w:rPr>
          <w:vertAlign w:val="superscript"/>
          <w:lang w:val="en-US"/>
        </w:rPr>
        <w:t>(1)</w:t>
      </w:r>
      <w:r w:rsidRPr="009163B0">
        <w:rPr>
          <w:lang w:val="en-US"/>
        </w:rPr>
        <w:t xml:space="preserve"> </w:t>
      </w:r>
    </w:p>
    <w:p w14:paraId="33CCEB7D" w14:textId="77777777" w:rsidR="00133168" w:rsidRPr="009163B0" w:rsidRDefault="00133168" w:rsidP="00DF5AFC">
      <w:pPr>
        <w:rPr>
          <w:lang w:val="en-US"/>
        </w:rPr>
      </w:pPr>
    </w:p>
    <w:p w14:paraId="5772DA79" w14:textId="77777777" w:rsidR="009A4AA4" w:rsidRPr="009163B0" w:rsidRDefault="009A4AA4" w:rsidP="00DF5AFC">
      <w:pPr>
        <w:pStyle w:val="Listeafsnit"/>
        <w:numPr>
          <w:ilvl w:val="0"/>
          <w:numId w:val="1"/>
        </w:numPr>
        <w:rPr>
          <w:lang w:val="en-US"/>
        </w:rPr>
      </w:pPr>
      <w:r w:rsidRPr="009163B0">
        <w:rPr>
          <w:lang w:val="en-US"/>
        </w:rPr>
        <w:t>DTU Aqua, Charlottenlund, Denmark</w:t>
      </w:r>
    </w:p>
    <w:p w14:paraId="1C07EC68" w14:textId="77777777" w:rsidR="0056556B" w:rsidRPr="009163B0" w:rsidRDefault="0056556B" w:rsidP="0056556B">
      <w:pPr>
        <w:pStyle w:val="Listeafsnit"/>
        <w:numPr>
          <w:ilvl w:val="0"/>
          <w:numId w:val="1"/>
        </w:numPr>
        <w:rPr>
          <w:lang w:val="en-US"/>
        </w:rPr>
      </w:pPr>
      <w:r w:rsidRPr="009163B0">
        <w:rPr>
          <w:lang w:val="en-US"/>
        </w:rPr>
        <w:t>IFREMER, Nantes, France</w:t>
      </w:r>
    </w:p>
    <w:p w14:paraId="6C343968" w14:textId="77777777" w:rsidR="009A4AA4" w:rsidRPr="009163B0" w:rsidRDefault="009A4AA4" w:rsidP="00DF5AFC">
      <w:pPr>
        <w:pStyle w:val="Listeafsnit"/>
        <w:numPr>
          <w:ilvl w:val="0"/>
          <w:numId w:val="1"/>
        </w:numPr>
        <w:rPr>
          <w:lang w:val="en-US"/>
        </w:rPr>
      </w:pPr>
      <w:r w:rsidRPr="009163B0">
        <w:rPr>
          <w:lang w:val="en-US"/>
        </w:rPr>
        <w:t>CEFAS, Lowestoft, United Kingdom</w:t>
      </w:r>
    </w:p>
    <w:p w14:paraId="16004C2E" w14:textId="77777777" w:rsidR="0056556B" w:rsidRPr="009163B0" w:rsidRDefault="0056556B" w:rsidP="0056556B">
      <w:pPr>
        <w:pStyle w:val="Listeafsnit"/>
        <w:numPr>
          <w:ilvl w:val="0"/>
          <w:numId w:val="1"/>
        </w:numPr>
        <w:rPr>
          <w:lang w:val="en-US"/>
        </w:rPr>
      </w:pPr>
      <w:r w:rsidRPr="009163B0">
        <w:rPr>
          <w:lang w:val="en-US"/>
        </w:rPr>
        <w:t>IMARES, IJ</w:t>
      </w:r>
      <w:r>
        <w:rPr>
          <w:lang w:val="en-US"/>
        </w:rPr>
        <w:t>m</w:t>
      </w:r>
      <w:r w:rsidRPr="009163B0">
        <w:rPr>
          <w:lang w:val="en-US"/>
        </w:rPr>
        <w:t>uiden, The Netherlands</w:t>
      </w:r>
    </w:p>
    <w:p w14:paraId="2A8B48BD" w14:textId="77777777" w:rsidR="009A4AA4" w:rsidRPr="009163B0" w:rsidRDefault="009A4AA4" w:rsidP="00DF5AFC">
      <w:pPr>
        <w:pStyle w:val="Listeafsnit"/>
        <w:numPr>
          <w:ilvl w:val="0"/>
          <w:numId w:val="1"/>
        </w:numPr>
        <w:rPr>
          <w:lang w:val="en-US"/>
        </w:rPr>
      </w:pPr>
      <w:r w:rsidRPr="009163B0">
        <w:rPr>
          <w:lang w:val="en-US"/>
        </w:rPr>
        <w:t>JRC, European Commission, Ispra, Italy</w:t>
      </w:r>
    </w:p>
    <w:p w14:paraId="3C723B2D" w14:textId="77777777" w:rsidR="009A4AA4" w:rsidRPr="009163B0" w:rsidRDefault="009A4AA4" w:rsidP="00DF5AFC">
      <w:pPr>
        <w:pStyle w:val="Listeafsnit"/>
        <w:numPr>
          <w:ilvl w:val="0"/>
          <w:numId w:val="1"/>
        </w:numPr>
        <w:rPr>
          <w:lang w:val="en-US"/>
        </w:rPr>
      </w:pPr>
      <w:r w:rsidRPr="009163B0">
        <w:rPr>
          <w:lang w:val="en-US"/>
        </w:rPr>
        <w:t>TI, Hamburg, Germany</w:t>
      </w:r>
    </w:p>
    <w:p w14:paraId="212AFD91" w14:textId="77777777" w:rsidR="00133168" w:rsidRPr="009163B0" w:rsidRDefault="00133168" w:rsidP="00DF5AFC">
      <w:pPr>
        <w:rPr>
          <w:lang w:val="en-US"/>
        </w:rPr>
      </w:pPr>
      <w:r w:rsidRPr="009163B0">
        <w:rPr>
          <w:lang w:val="en-US"/>
        </w:rPr>
        <w:t>Contact Author : Pr Clara Ulrich, DTU Aqua, Charlottenlund Castle, 2920 Charlottenlund, Denmark. Tel 21157486, mail clu@aqua.dtu.dk.</w:t>
      </w:r>
    </w:p>
    <w:p w14:paraId="094E707B" w14:textId="77777777" w:rsidR="002D40C5" w:rsidRPr="009163B0" w:rsidRDefault="002E1CC9" w:rsidP="00DF5AFC">
      <w:pPr>
        <w:pStyle w:val="Overskrift1"/>
        <w:rPr>
          <w:lang w:val="en-US"/>
        </w:rPr>
      </w:pPr>
      <w:r w:rsidRPr="009163B0">
        <w:rPr>
          <w:lang w:val="en-US"/>
        </w:rPr>
        <w:t>Abstract</w:t>
      </w:r>
    </w:p>
    <w:p w14:paraId="213DD921" w14:textId="18B32773" w:rsidR="00C738DD" w:rsidRDefault="00C9309C" w:rsidP="00D726EB">
      <w:pPr>
        <w:rPr>
          <w:lang w:eastAsia="en-GB"/>
        </w:rPr>
      </w:pPr>
      <w:r>
        <w:rPr>
          <w:lang w:eastAsia="en-GB"/>
        </w:rPr>
        <w:t>Achieving</w:t>
      </w:r>
      <w:r w:rsidR="00C206C4">
        <w:rPr>
          <w:lang w:eastAsia="en-GB"/>
        </w:rPr>
        <w:t xml:space="preserve"> </w:t>
      </w:r>
      <w:r>
        <w:rPr>
          <w:lang w:eastAsia="en-GB"/>
        </w:rPr>
        <w:t>single species</w:t>
      </w:r>
      <w:r w:rsidR="00C206C4">
        <w:rPr>
          <w:lang w:eastAsia="en-GB"/>
        </w:rPr>
        <w:t xml:space="preserve"> objectives</w:t>
      </w:r>
      <w:r w:rsidR="001D736A" w:rsidRPr="009163B0">
        <w:rPr>
          <w:lang w:eastAsia="en-GB"/>
        </w:rPr>
        <w:t xml:space="preserve"> in complex and dynamic fisheries targeting multiple species</w:t>
      </w:r>
      <w:r>
        <w:rPr>
          <w:lang w:eastAsia="en-GB"/>
        </w:rPr>
        <w:t xml:space="preserve"> (mixed fisheries) is challenging as achieving the objective for one species may mean missing the objective for another. This</w:t>
      </w:r>
      <w:r w:rsidR="001D736A" w:rsidRPr="009163B0">
        <w:rPr>
          <w:lang w:eastAsia="en-GB"/>
        </w:rPr>
        <w:t xml:space="preserve"> particular</w:t>
      </w:r>
      <w:r w:rsidR="003D414A">
        <w:rPr>
          <w:lang w:eastAsia="en-GB"/>
        </w:rPr>
        <w:t>ly</w:t>
      </w:r>
      <w:r w:rsidR="001D736A" w:rsidRPr="009163B0">
        <w:rPr>
          <w:lang w:eastAsia="en-GB"/>
        </w:rPr>
        <w:t xml:space="preserve"> </w:t>
      </w:r>
      <w:r>
        <w:rPr>
          <w:lang w:eastAsia="en-GB"/>
        </w:rPr>
        <w:t>applies to the concept of</w:t>
      </w:r>
      <w:r w:rsidR="001D736A" w:rsidRPr="009163B0">
        <w:rPr>
          <w:lang w:eastAsia="en-GB"/>
        </w:rPr>
        <w:t xml:space="preserve"> Maximum Sustainable Yield (MSY) in mixed fisheries</w:t>
      </w:r>
      <w:r>
        <w:rPr>
          <w:lang w:eastAsia="en-GB"/>
        </w:rPr>
        <w:t xml:space="preserve"> in </w:t>
      </w:r>
      <w:r w:rsidR="001D736A" w:rsidRPr="009163B0">
        <w:rPr>
          <w:lang w:eastAsia="en-GB"/>
        </w:rPr>
        <w:t>the North Sea, where the diversity of species and fisheries induce numerous biological and technical interactions.</w:t>
      </w:r>
      <w:r w:rsidR="003D414A">
        <w:rPr>
          <w:lang w:eastAsia="en-GB"/>
        </w:rPr>
        <w:t xml:space="preserve"> T</w:t>
      </w:r>
      <w:r w:rsidR="00CE2B8E">
        <w:rPr>
          <w:lang w:eastAsia="en-GB"/>
        </w:rPr>
        <w:t>hese i</w:t>
      </w:r>
      <w:r w:rsidR="001D736A" w:rsidRPr="009163B0">
        <w:rPr>
          <w:lang w:eastAsia="en-GB"/>
        </w:rPr>
        <w:t xml:space="preserve">nteractions are </w:t>
      </w:r>
      <w:r w:rsidR="003D414A">
        <w:rPr>
          <w:lang w:eastAsia="en-GB"/>
        </w:rPr>
        <w:t xml:space="preserve">though </w:t>
      </w:r>
      <w:r w:rsidR="00CE2B8E">
        <w:rPr>
          <w:lang w:eastAsia="en-GB"/>
        </w:rPr>
        <w:t xml:space="preserve">increasingly well understood and quantified for the most important stocks, </w:t>
      </w:r>
      <w:r w:rsidR="001D736A" w:rsidRPr="009163B0">
        <w:rPr>
          <w:lang w:eastAsia="en-GB"/>
        </w:rPr>
        <w:t xml:space="preserve">allowing for new approaches to emerge. </w:t>
      </w:r>
      <w:r w:rsidR="00AB6DE8">
        <w:rPr>
          <w:lang w:eastAsia="en-GB"/>
        </w:rPr>
        <w:t>Recent</w:t>
      </w:r>
      <w:r w:rsidR="00810A3A">
        <w:rPr>
          <w:lang w:eastAsia="en-GB"/>
        </w:rPr>
        <w:t xml:space="preserve"> paths towards operationalising </w:t>
      </w:r>
      <w:r w:rsidR="00D726EB">
        <w:rPr>
          <w:lang w:eastAsia="en-GB"/>
        </w:rPr>
        <w:t xml:space="preserve">MSY </w:t>
      </w:r>
      <w:r w:rsidR="00810A3A">
        <w:rPr>
          <w:lang w:eastAsia="en-GB"/>
        </w:rPr>
        <w:t xml:space="preserve">at the regional scale have </w:t>
      </w:r>
      <w:r w:rsidR="0056556B">
        <w:rPr>
          <w:lang w:eastAsia="en-GB"/>
        </w:rPr>
        <w:t>suggested</w:t>
      </w:r>
      <w:r w:rsidR="00810A3A">
        <w:rPr>
          <w:lang w:eastAsia="en-GB"/>
        </w:rPr>
        <w:t xml:space="preserve"> the </w:t>
      </w:r>
      <w:r w:rsidR="002A29BF">
        <w:rPr>
          <w:lang w:eastAsia="en-GB"/>
        </w:rPr>
        <w:t>expan</w:t>
      </w:r>
      <w:r w:rsidR="00810A3A">
        <w:rPr>
          <w:lang w:eastAsia="en-GB"/>
        </w:rPr>
        <w:t>sion of the concept</w:t>
      </w:r>
      <w:r w:rsidR="002A29BF">
        <w:rPr>
          <w:lang w:eastAsia="en-GB"/>
        </w:rPr>
        <w:t xml:space="preserve"> </w:t>
      </w:r>
      <w:r w:rsidR="00810A3A">
        <w:rPr>
          <w:lang w:eastAsia="en-GB"/>
        </w:rPr>
        <w:t>into</w:t>
      </w:r>
      <w:r w:rsidR="00D726EB">
        <w:rPr>
          <w:lang w:eastAsia="en-GB"/>
        </w:rPr>
        <w:t xml:space="preserve"> </w:t>
      </w:r>
      <w:r w:rsidR="002A29BF">
        <w:rPr>
          <w:lang w:eastAsia="en-GB"/>
        </w:rPr>
        <w:t xml:space="preserve">a </w:t>
      </w:r>
      <w:r w:rsidR="00AB6DE8" w:rsidRPr="009163B0">
        <w:rPr>
          <w:lang w:eastAsia="en-GB"/>
        </w:rPr>
        <w:t>desirable area of “Pretty Good Yield”</w:t>
      </w:r>
      <w:r w:rsidR="00AB6DE8">
        <w:rPr>
          <w:lang w:eastAsia="en-GB"/>
        </w:rPr>
        <w:t>,</w:t>
      </w:r>
      <w:r w:rsidR="00AB6DE8" w:rsidRPr="00AB6DE8">
        <w:rPr>
          <w:lang w:eastAsia="en-GB"/>
        </w:rPr>
        <w:t xml:space="preserve"> </w:t>
      </w:r>
      <w:r w:rsidR="00810A3A">
        <w:rPr>
          <w:lang w:eastAsia="en-GB"/>
        </w:rPr>
        <w:t>materialised by a range around F</w:t>
      </w:r>
      <w:r w:rsidR="00521B61" w:rsidRPr="00521B61">
        <w:rPr>
          <w:vertAlign w:val="subscript"/>
          <w:lang w:eastAsia="en-GB"/>
        </w:rPr>
        <w:t>MSY</w:t>
      </w:r>
      <w:r w:rsidR="00810A3A">
        <w:rPr>
          <w:lang w:eastAsia="en-GB"/>
        </w:rPr>
        <w:t xml:space="preserve"> that would </w:t>
      </w:r>
      <w:r w:rsidR="00D726EB">
        <w:rPr>
          <w:lang w:eastAsia="en-GB"/>
        </w:rPr>
        <w:t>allow</w:t>
      </w:r>
      <w:r w:rsidR="00810A3A">
        <w:rPr>
          <w:lang w:eastAsia="en-GB"/>
        </w:rPr>
        <w:t xml:space="preserve"> </w:t>
      </w:r>
      <w:r w:rsidR="00D726EB">
        <w:rPr>
          <w:lang w:eastAsia="en-GB"/>
        </w:rPr>
        <w:t xml:space="preserve">for more flexibility in management targets. </w:t>
      </w:r>
      <w:r w:rsidR="00CE2B8E">
        <w:rPr>
          <w:lang w:eastAsia="en-GB"/>
        </w:rPr>
        <w:t>This paper</w:t>
      </w:r>
      <w:r w:rsidR="001D736A" w:rsidRPr="009163B0">
        <w:rPr>
          <w:lang w:eastAsia="en-GB"/>
        </w:rPr>
        <w:t xml:space="preserve"> </w:t>
      </w:r>
      <w:r w:rsidR="00C143D7">
        <w:rPr>
          <w:lang w:eastAsia="en-GB"/>
        </w:rPr>
        <w:lastRenderedPageBreak/>
        <w:t>investigate</w:t>
      </w:r>
      <w:r w:rsidR="00CE2B8E">
        <w:rPr>
          <w:lang w:eastAsia="en-GB"/>
        </w:rPr>
        <w:t>s</w:t>
      </w:r>
      <w:r w:rsidR="00C143D7">
        <w:rPr>
          <w:lang w:eastAsia="en-GB"/>
        </w:rPr>
        <w:t xml:space="preserve"> the potential </w:t>
      </w:r>
      <w:r w:rsidR="007E27C2">
        <w:rPr>
          <w:lang w:eastAsia="en-GB"/>
        </w:rPr>
        <w:t>of</w:t>
      </w:r>
      <w:r w:rsidR="004C06A3">
        <w:rPr>
          <w:lang w:eastAsia="en-GB"/>
        </w:rPr>
        <w:t xml:space="preserve"> </w:t>
      </w:r>
      <w:r w:rsidR="00CE2B8E">
        <w:rPr>
          <w:lang w:eastAsia="en-GB"/>
        </w:rPr>
        <w:t>F</w:t>
      </w:r>
      <w:r w:rsidR="00521B61" w:rsidRPr="00521B61">
        <w:rPr>
          <w:vertAlign w:val="subscript"/>
          <w:lang w:eastAsia="en-GB"/>
        </w:rPr>
        <w:t>MSY</w:t>
      </w:r>
      <w:r w:rsidR="00CE2B8E">
        <w:rPr>
          <w:lang w:eastAsia="en-GB"/>
        </w:rPr>
        <w:t xml:space="preserve"> ranges</w:t>
      </w:r>
      <w:r w:rsidR="00C143D7">
        <w:rPr>
          <w:lang w:eastAsia="en-GB"/>
        </w:rPr>
        <w:t xml:space="preserve"> </w:t>
      </w:r>
      <w:r w:rsidR="004C06A3">
        <w:rPr>
          <w:lang w:eastAsia="en-GB"/>
        </w:rPr>
        <w:t xml:space="preserve">to combine </w:t>
      </w:r>
      <w:r w:rsidR="00C143D7">
        <w:rPr>
          <w:lang w:eastAsia="en-GB"/>
        </w:rPr>
        <w:t xml:space="preserve">long-term single-stock targets with flexible short-term mixed-fisheries management </w:t>
      </w:r>
      <w:r w:rsidR="00CE2B8E">
        <w:rPr>
          <w:lang w:eastAsia="en-GB"/>
        </w:rPr>
        <w:t>requirements</w:t>
      </w:r>
      <w:r w:rsidR="002A29BF">
        <w:rPr>
          <w:lang w:eastAsia="en-GB"/>
        </w:rPr>
        <w:t>, based on the main North Sea demersal stocks.</w:t>
      </w:r>
      <w:r>
        <w:rPr>
          <w:lang w:eastAsia="en-GB"/>
        </w:rPr>
        <w:t xml:space="preserve"> </w:t>
      </w:r>
      <w:r w:rsidR="00CD2CDC">
        <w:rPr>
          <w:lang w:eastAsia="en-GB"/>
        </w:rPr>
        <w:t xml:space="preserve">It is shown that sustained fishing at the upper bound of the range </w:t>
      </w:r>
      <w:r w:rsidR="007E27C2">
        <w:rPr>
          <w:lang w:eastAsia="en-GB"/>
        </w:rPr>
        <w:t>may not be</w:t>
      </w:r>
      <w:r w:rsidR="00810A3A">
        <w:rPr>
          <w:lang w:eastAsia="en-GB"/>
        </w:rPr>
        <w:t xml:space="preserve"> appropriate</w:t>
      </w:r>
      <w:r w:rsidR="00F4038C">
        <w:rPr>
          <w:lang w:eastAsia="en-GB"/>
        </w:rPr>
        <w:t xml:space="preserve"> when</w:t>
      </w:r>
      <w:r w:rsidR="00CD2CDC">
        <w:rPr>
          <w:lang w:eastAsia="en-GB"/>
        </w:rPr>
        <w:t xml:space="preserve"> technical interactions occur. A</w:t>
      </w:r>
      <w:r w:rsidR="00810A3A">
        <w:rPr>
          <w:lang w:eastAsia="en-GB"/>
        </w:rPr>
        <w:t>n</w:t>
      </w:r>
      <w:r w:rsidR="00CD2CDC">
        <w:rPr>
          <w:lang w:eastAsia="en-GB"/>
        </w:rPr>
        <w:t xml:space="preserve"> </w:t>
      </w:r>
      <w:r w:rsidR="00F4038C">
        <w:rPr>
          <w:lang w:eastAsia="en-GB"/>
        </w:rPr>
        <w:t xml:space="preserve">objective </w:t>
      </w:r>
      <w:r w:rsidR="00CD2CDC">
        <w:rPr>
          <w:lang w:eastAsia="en-GB"/>
        </w:rPr>
        <w:t xml:space="preserve">method is suggested </w:t>
      </w:r>
      <w:r w:rsidR="00F4038C">
        <w:rPr>
          <w:lang w:eastAsia="en-GB"/>
        </w:rPr>
        <w:t>that minimise</w:t>
      </w:r>
      <w:r w:rsidR="002A29BF">
        <w:rPr>
          <w:lang w:eastAsia="en-GB"/>
        </w:rPr>
        <w:t>s</w:t>
      </w:r>
      <w:r w:rsidR="00F4038C">
        <w:rPr>
          <w:lang w:eastAsia="en-GB"/>
        </w:rPr>
        <w:t xml:space="preserve"> the risk of mixed-fisheries imbalance, </w:t>
      </w:r>
      <w:r w:rsidR="007E27C2">
        <w:rPr>
          <w:lang w:eastAsia="en-GB"/>
        </w:rPr>
        <w:t>using</w:t>
      </w:r>
      <w:r w:rsidR="00F4038C">
        <w:rPr>
          <w:lang w:eastAsia="en-GB"/>
        </w:rPr>
        <w:t xml:space="preserve"> advantageously the flexibility of the ranges </w:t>
      </w:r>
      <w:r w:rsidR="002A29BF">
        <w:rPr>
          <w:lang w:eastAsia="en-GB"/>
        </w:rPr>
        <w:t>to address explicitly the trade-offs between the most and least productive stocks.</w:t>
      </w:r>
    </w:p>
    <w:p w14:paraId="5CBF948A" w14:textId="77777777" w:rsidR="003B704F" w:rsidRDefault="003B704F" w:rsidP="003B704F">
      <w:pPr>
        <w:pStyle w:val="Overskrift1"/>
        <w:rPr>
          <w:lang w:eastAsia="en-GB"/>
        </w:rPr>
      </w:pPr>
      <w:r>
        <w:rPr>
          <w:lang w:eastAsia="en-GB"/>
        </w:rPr>
        <w:t>Keywords</w:t>
      </w:r>
    </w:p>
    <w:p w14:paraId="3CB24BE6" w14:textId="0B8AC8F4" w:rsidR="003B704F" w:rsidRPr="003B704F" w:rsidRDefault="00C9309C" w:rsidP="003B704F">
      <w:pPr>
        <w:rPr>
          <w:lang w:eastAsia="en-GB"/>
        </w:rPr>
      </w:pPr>
      <w:r>
        <w:rPr>
          <w:lang w:eastAsia="en-GB"/>
        </w:rPr>
        <w:t>Conflicting objectives,</w:t>
      </w:r>
      <w:r w:rsidR="003B704F">
        <w:rPr>
          <w:lang w:eastAsia="en-GB"/>
        </w:rPr>
        <w:t xml:space="preserve"> </w:t>
      </w:r>
      <w:r>
        <w:rPr>
          <w:lang w:eastAsia="en-GB"/>
        </w:rPr>
        <w:t>choke species, fleet modelling, long term objectives, pretty good yield</w:t>
      </w:r>
      <w:r w:rsidR="000110F5">
        <w:rPr>
          <w:lang w:eastAsia="en-GB"/>
        </w:rPr>
        <w:t>, F</w:t>
      </w:r>
      <w:r w:rsidR="00521B61" w:rsidRPr="00521B61">
        <w:rPr>
          <w:vertAlign w:val="subscript"/>
          <w:lang w:eastAsia="en-GB"/>
        </w:rPr>
        <w:t>MSY</w:t>
      </w:r>
      <w:r w:rsidR="000110F5">
        <w:rPr>
          <w:lang w:eastAsia="en-GB"/>
        </w:rPr>
        <w:t xml:space="preserve"> ranges</w:t>
      </w:r>
    </w:p>
    <w:p w14:paraId="1F168143" w14:textId="77777777" w:rsidR="00C738DD" w:rsidRPr="009163B0" w:rsidRDefault="00C738DD" w:rsidP="003B704F">
      <w:pPr>
        <w:pStyle w:val="Overskrift1"/>
        <w:rPr>
          <w:lang w:eastAsia="en-GB"/>
        </w:rPr>
      </w:pPr>
      <w:r w:rsidRPr="009163B0">
        <w:rPr>
          <w:lang w:eastAsia="en-GB"/>
        </w:rPr>
        <w:br w:type="page"/>
      </w:r>
    </w:p>
    <w:p w14:paraId="3D699E7D" w14:textId="77777777" w:rsidR="002E1CC9" w:rsidRPr="009163B0" w:rsidRDefault="002E1CC9" w:rsidP="00DF5AFC">
      <w:pPr>
        <w:pStyle w:val="Overskrift1"/>
      </w:pPr>
      <w:r w:rsidRPr="009163B0">
        <w:lastRenderedPageBreak/>
        <w:t>Introduction</w:t>
      </w:r>
    </w:p>
    <w:p w14:paraId="6B0E816D" w14:textId="0B339AFA" w:rsidR="00265174" w:rsidRDefault="00372E86" w:rsidP="00DF5AFC">
      <w:r w:rsidRPr="009163B0">
        <w:t>The European Union (EU) has been managing commercially exploited fish stocks in European waters since 1983 under the Common Fisheries Policy (CFP)</w:t>
      </w:r>
      <w:r w:rsidR="006F4EA6">
        <w:t xml:space="preserve"> </w:t>
      </w:r>
      <w:r w:rsidR="004D4331">
        <w:fldChar w:fldCharType="begin" w:fldLock="1"/>
      </w:r>
      <w:r w:rsidR="00873E7A">
        <w:instrText>ADDIN CSL_CITATION { "citationItems" : [ { "id" : "ITEM-1", "itemData" : { "ISBN" : "0852382057", "author" : [ { "dropping-particle" : "", "family" : "Holden", "given" : "M.", "non-dropping-particle" : "", "parse-names" : false, "suffix" : "" } ], "id" : "ITEM-1", "issued" : { "date-parts" : [ [ "1994" ] ] }, "number-of-pages" : "274 pp", "publisher" : "Fishing News Books", "title" : "The Common Fisheries Policy: origin, evaluation and future.", "type" : "book" }, "uris" : [ "http://www.mendeley.com/documents/?uuid=8cd49fec-b78a-4a87-a0c9-1c189e0fae37" ] } ], "mendeley" : { "formattedCitation" : "(Holden, 1994)", "plainTextFormattedCitation" : "(Holden, 1994)", "previouslyFormattedCitation" : "(Holden 1994)" }, "properties" : { "noteIndex" : 0 }, "schema" : "https://github.com/citation-style-language/schema/raw/master/csl-citation.json" }</w:instrText>
      </w:r>
      <w:r w:rsidR="004D4331">
        <w:fldChar w:fldCharType="separate"/>
      </w:r>
      <w:r w:rsidR="00873E7A" w:rsidRPr="00873E7A">
        <w:rPr>
          <w:noProof/>
        </w:rPr>
        <w:t>(Holden, 1994)</w:t>
      </w:r>
      <w:r w:rsidR="004D4331">
        <w:fldChar w:fldCharType="end"/>
      </w:r>
      <w:r w:rsidRPr="009163B0">
        <w:t xml:space="preserve">. The main </w:t>
      </w:r>
      <w:r w:rsidR="007C2EE5" w:rsidRPr="009163B0">
        <w:t xml:space="preserve">management </w:t>
      </w:r>
      <w:r w:rsidRPr="009163B0">
        <w:t>instru</w:t>
      </w:r>
      <w:r w:rsidR="007C2EE5" w:rsidRPr="009163B0">
        <w:t>ment</w:t>
      </w:r>
      <w:r w:rsidR="006F4EA6">
        <w:t xml:space="preserve"> within the CFP</w:t>
      </w:r>
      <w:r w:rsidRPr="009163B0">
        <w:t xml:space="preserve"> </w:t>
      </w:r>
      <w:r w:rsidR="00F800DB" w:rsidRPr="009163B0">
        <w:t>is</w:t>
      </w:r>
      <w:r w:rsidRPr="009163B0">
        <w:t xml:space="preserve"> the </w:t>
      </w:r>
      <w:r w:rsidR="006F4EA6">
        <w:t xml:space="preserve">setting of </w:t>
      </w:r>
      <w:r w:rsidRPr="009163B0">
        <w:t xml:space="preserve">annual single-stock Total Allowable Catches </w:t>
      </w:r>
      <w:r w:rsidR="007C2EE5" w:rsidRPr="009163B0">
        <w:t xml:space="preserve">(TACs), which </w:t>
      </w:r>
      <w:r w:rsidR="00F800DB" w:rsidRPr="009163B0">
        <w:t>limit</w:t>
      </w:r>
      <w:r w:rsidR="007C2EE5" w:rsidRPr="009163B0">
        <w:t xml:space="preserve"> the </w:t>
      </w:r>
      <w:r w:rsidR="00F800DB" w:rsidRPr="009163B0">
        <w:t>tonnage</w:t>
      </w:r>
      <w:r w:rsidR="007C2EE5" w:rsidRPr="009163B0">
        <w:t xml:space="preserve"> to be landed for each stock</w:t>
      </w:r>
      <w:r w:rsidR="004D4331">
        <w:t xml:space="preserve"> </w:t>
      </w:r>
      <w:r w:rsidR="004D4331">
        <w:fldChar w:fldCharType="begin" w:fldLock="1"/>
      </w:r>
      <w:r w:rsidR="00873E7A">
        <w:instrText>ADDIN CSL_CITATION { "citationItems" : [ { "id" : "ITEM-1", "itemData" : { "DOI" : "10.1016/S1385-1101(97)00026-9", "ISBN" : "1385-1101", "ISSN" : "13851101", "abstract" : "The Common Fisheries Policy of the European Union adopted in 1983 is primarily focused on a science-based TAC management system with fixed national quota shares. The quality of the assessments of plaice and sole, the consistency of the scientific advice, the congruency of the management decisions, and the enforcement of the regulations are reviewed over a 15-year period. The conclusion is that there have been problems at each level, with the ultimate effect that the policy has not been able to restrict fishing mortality and that the level of overexploitation has only increased. It is argued that the present TAC system has created more problems than it has resolved. Attention is drawn to the autonomic economic developments within the fishery and to the potential for managing the fishery more effectively from the cost side rather than the profit side.", "author" : [ { "dropping-particle" : "", "family" : "Daan", "given" : "Niels", "non-dropping-particle" : "", "parse-names" : false, "suffix" : "" } ], "container-title" : "Journal of Sea Research", "id" : "ITEM-1", "issued" : { "date-parts" : [ [ "1997" ] ] }, "page" : "321-341", "title" : "TAC management in North Sea flatfish fisheries", "type" : "article-journal", "volume" : "37" }, "uris" : [ "http://www.mendeley.com/documents/?uuid=711c890a-7395-43bc-91ca-f5f8d80e2d40" ] } ], "mendeley" : { "formattedCitation" : "(Daan, 1997)", "plainTextFormattedCitation" : "(Daan, 1997)", "previouslyFormattedCitation" : "(Daan 1997)" }, "properties" : { "noteIndex" : 0 }, "schema" : "https://github.com/citation-style-language/schema/raw/master/csl-citation.json" }</w:instrText>
      </w:r>
      <w:r w:rsidR="004D4331">
        <w:fldChar w:fldCharType="separate"/>
      </w:r>
      <w:r w:rsidR="00873E7A" w:rsidRPr="00873E7A">
        <w:rPr>
          <w:noProof/>
        </w:rPr>
        <w:t>(Daan, 1997)</w:t>
      </w:r>
      <w:r w:rsidR="004D4331">
        <w:fldChar w:fldCharType="end"/>
      </w:r>
      <w:r w:rsidR="007C2EE5" w:rsidRPr="009163B0">
        <w:t>. Since 2002</w:t>
      </w:r>
      <w:r w:rsidR="00B46EAD" w:rsidRPr="009163B0">
        <w:t xml:space="preserve"> (Framework Regulation (EC) No 2371/2002)</w:t>
      </w:r>
      <w:r w:rsidR="007C2EE5" w:rsidRPr="009163B0">
        <w:t>, decision</w:t>
      </w:r>
      <w:r w:rsidR="00BB4A01">
        <w:t>s</w:t>
      </w:r>
      <w:r w:rsidR="007C2EE5" w:rsidRPr="009163B0">
        <w:t xml:space="preserve"> on TACs ha</w:t>
      </w:r>
      <w:r w:rsidR="004A20EF">
        <w:t>ve</w:t>
      </w:r>
      <w:r w:rsidR="007C2EE5" w:rsidRPr="009163B0">
        <w:t xml:space="preserve"> been increasingly </w:t>
      </w:r>
      <w:r w:rsidR="00B46EAD" w:rsidRPr="009163B0">
        <w:t>based on long-term considerations, reduc</w:t>
      </w:r>
      <w:r w:rsidR="00C9309C">
        <w:t>ing</w:t>
      </w:r>
      <w:r w:rsidR="00B46EAD" w:rsidRPr="009163B0">
        <w:t xml:space="preserve"> annual political battles over the setting of </w:t>
      </w:r>
      <w:r w:rsidR="0066672C" w:rsidRPr="009163B0">
        <w:t>TAC</w:t>
      </w:r>
      <w:r w:rsidR="004C06A3">
        <w:t>s</w:t>
      </w:r>
      <w:r w:rsidR="00BB4A01">
        <w:t xml:space="preserve"> by providing a framework under which</w:t>
      </w:r>
      <w:r w:rsidR="0066672C" w:rsidRPr="009163B0">
        <w:t xml:space="preserve"> </w:t>
      </w:r>
      <w:r w:rsidR="00BB4A01" w:rsidRPr="009163B0">
        <w:t>stock</w:t>
      </w:r>
      <w:r w:rsidR="00BB4A01">
        <w:t xml:space="preserve"> sustainability </w:t>
      </w:r>
      <w:r w:rsidR="0066672C" w:rsidRPr="009163B0">
        <w:t xml:space="preserve">and </w:t>
      </w:r>
      <w:r w:rsidR="00BF5B0B">
        <w:t>quota</w:t>
      </w:r>
      <w:r w:rsidR="00BB4A01">
        <w:t xml:space="preserve"> stability</w:t>
      </w:r>
      <w:r w:rsidR="00BB4A01" w:rsidRPr="009163B0">
        <w:t xml:space="preserve"> </w:t>
      </w:r>
      <w:r w:rsidR="0066672C" w:rsidRPr="009163B0">
        <w:t>for fishermen</w:t>
      </w:r>
      <w:r w:rsidR="00BB4A01">
        <w:t xml:space="preserve"> are jointly considered</w:t>
      </w:r>
      <w:r w:rsidR="0066672C" w:rsidRPr="009163B0">
        <w:t xml:space="preserve">. These </w:t>
      </w:r>
      <w:r w:rsidR="00C9309C">
        <w:t>considerations</w:t>
      </w:r>
      <w:r w:rsidR="0066672C" w:rsidRPr="009163B0">
        <w:t xml:space="preserve"> </w:t>
      </w:r>
      <w:r w:rsidR="00FD2C46" w:rsidRPr="009163B0">
        <w:t>have been</w:t>
      </w:r>
      <w:r w:rsidR="00B46EAD" w:rsidRPr="009163B0">
        <w:t xml:space="preserve"> </w:t>
      </w:r>
      <w:r w:rsidR="003B0D98">
        <w:t>operationalised</w:t>
      </w:r>
      <w:r w:rsidR="007C2EE5" w:rsidRPr="009163B0">
        <w:t xml:space="preserve"> into multi-annual or long-term management plans (MAPs or LTMPs)</w:t>
      </w:r>
      <w:r w:rsidR="0066672C" w:rsidRPr="009163B0">
        <w:t xml:space="preserve">, and in </w:t>
      </w:r>
      <w:r w:rsidR="00B46EAD" w:rsidRPr="009163B0">
        <w:t xml:space="preserve">recovery plans for stocks outside safe biological limits. </w:t>
      </w:r>
      <w:r w:rsidR="006F4EA6">
        <w:t>Such</w:t>
      </w:r>
      <w:r w:rsidR="00B46EAD" w:rsidRPr="009163B0">
        <w:t xml:space="preserve"> plan</w:t>
      </w:r>
      <w:r w:rsidR="006F4EA6">
        <w:t>s</w:t>
      </w:r>
      <w:r w:rsidR="00B46EAD" w:rsidRPr="009163B0">
        <w:t xml:space="preserve"> contain the goal</w:t>
      </w:r>
      <w:r w:rsidR="006F4EA6">
        <w:t>s</w:t>
      </w:r>
      <w:r w:rsidR="00B46EAD" w:rsidRPr="009163B0">
        <w:t xml:space="preserve"> for management of stock</w:t>
      </w:r>
      <w:r w:rsidR="006F4EA6">
        <w:t>s</w:t>
      </w:r>
      <w:r w:rsidR="00B46EAD" w:rsidRPr="009163B0">
        <w:t>, typically expressed in terms of fishing mortality and/or targeted stock size</w:t>
      </w:r>
      <w:r w:rsidR="004A20EF">
        <w:t xml:space="preserve">. How to attain the goals in the plans is defined by </w:t>
      </w:r>
      <w:r w:rsidR="003B0D98">
        <w:t xml:space="preserve">a </w:t>
      </w:r>
      <w:r w:rsidR="00A3212B" w:rsidRPr="009163B0">
        <w:t xml:space="preserve">Harvest Control Rule </w:t>
      </w:r>
      <w:r w:rsidR="004A20EF">
        <w:t>(</w:t>
      </w:r>
      <w:r w:rsidR="00A3212B" w:rsidRPr="009163B0">
        <w:t>HCR)</w:t>
      </w:r>
      <w:r w:rsidR="004A20EF">
        <w:t xml:space="preserve">. </w:t>
      </w:r>
      <w:r w:rsidR="003B0D98">
        <w:t>The HCR</w:t>
      </w:r>
      <w:r w:rsidR="0066672C" w:rsidRPr="009163B0">
        <w:t xml:space="preserve"> </w:t>
      </w:r>
      <w:r w:rsidR="003B0D98">
        <w:t>is</w:t>
      </w:r>
      <w:r w:rsidR="00A3212B" w:rsidRPr="009163B0">
        <w:t xml:space="preserve"> </w:t>
      </w:r>
      <w:r w:rsidR="00132F7D">
        <w:t xml:space="preserve">then </w:t>
      </w:r>
      <w:r w:rsidR="00A3212B" w:rsidRPr="009163B0">
        <w:t xml:space="preserve">translated into </w:t>
      </w:r>
      <w:r w:rsidR="00FA6E4F">
        <w:t>an</w:t>
      </w:r>
      <w:r w:rsidR="00A3212B" w:rsidRPr="009163B0">
        <w:t xml:space="preserve"> a</w:t>
      </w:r>
      <w:r w:rsidR="003B0D98">
        <w:t>nnual</w:t>
      </w:r>
      <w:r w:rsidR="00A3212B" w:rsidRPr="009163B0">
        <w:t xml:space="preserve"> TAC on the basis of stock assessment</w:t>
      </w:r>
      <w:r w:rsidR="004A20EF">
        <w:t>s</w:t>
      </w:r>
      <w:r w:rsidR="00A3212B" w:rsidRPr="009163B0">
        <w:t>. Additional measures</w:t>
      </w:r>
      <w:r w:rsidR="00BB4A01">
        <w:t>, such as area closures or changes to fishing gear,</w:t>
      </w:r>
      <w:r w:rsidR="00A3212B" w:rsidRPr="009163B0">
        <w:t xml:space="preserve"> </w:t>
      </w:r>
      <w:r w:rsidR="006F4EA6">
        <w:t>are</w:t>
      </w:r>
      <w:r w:rsidR="006F4EA6" w:rsidRPr="009163B0">
        <w:t xml:space="preserve"> </w:t>
      </w:r>
      <w:r w:rsidR="0066672C" w:rsidRPr="009163B0">
        <w:t xml:space="preserve">sometimes </w:t>
      </w:r>
      <w:r w:rsidR="00A3212B" w:rsidRPr="009163B0">
        <w:t>included</w:t>
      </w:r>
      <w:r w:rsidR="004F3C0D">
        <w:t xml:space="preserve"> as well</w:t>
      </w:r>
      <w:r w:rsidR="00B46EAD" w:rsidRPr="009163B0">
        <w:t xml:space="preserve">. </w:t>
      </w:r>
      <w:r w:rsidR="00F800DB" w:rsidRPr="006029CB">
        <w:t xml:space="preserve">In 2015, </w:t>
      </w:r>
      <w:r w:rsidR="004A20EF">
        <w:t xml:space="preserve">many important </w:t>
      </w:r>
      <w:r w:rsidR="00B46EAD" w:rsidRPr="006029CB">
        <w:t>stocks</w:t>
      </w:r>
      <w:r w:rsidR="00B46EAD" w:rsidRPr="009163B0">
        <w:t xml:space="preserve"> </w:t>
      </w:r>
      <w:r w:rsidR="003B0D98">
        <w:t>in the North S</w:t>
      </w:r>
      <w:r w:rsidR="004A20EF">
        <w:t>ea are managed by means of a LTMP</w:t>
      </w:r>
      <w:r w:rsidR="00265174">
        <w:t xml:space="preserve">. </w:t>
      </w:r>
    </w:p>
    <w:p w14:paraId="4F437AE7" w14:textId="65709C3B" w:rsidR="00D11951" w:rsidRDefault="00265174" w:rsidP="00DF5AFC">
      <w:r>
        <w:t>H</w:t>
      </w:r>
      <w:r w:rsidR="00FD2C46" w:rsidRPr="009163B0">
        <w:t>owever, w</w:t>
      </w:r>
      <w:r w:rsidR="0066672C" w:rsidRPr="009163B0">
        <w:t xml:space="preserve">hile single-stock plans have contributed to the recovery of European stocks </w:t>
      </w:r>
      <w:r w:rsidR="00ED4215">
        <w:t>in varying degrees</w:t>
      </w:r>
      <w:r w:rsidR="00BE514F">
        <w:t xml:space="preserve"> </w:t>
      </w:r>
      <w:r w:rsidR="00DA692E">
        <w:fldChar w:fldCharType="begin" w:fldLock="1"/>
      </w:r>
      <w:r w:rsidR="00873E7A">
        <w:instrText>ADDIN CSL_CITATION { "citationItems" : [ { "id" : "ITEM-1", "itemData" : { "author" : [ { "dropping-particle" : "", "family" : "Scientific Technical and Economic Committee for Fisheries (STECF)", "given" : "", "non-dropping-particle" : "", "parse-names" : false, "suffix" : "" } ], "id" : "ITEM-1", "issued" : { "date-parts" : [ [ "2015" ] ] }, "number-of-pages" : "36 pp", "publisher-place" : "Luxembourg: Publications Office of the European Union", "title" : "Monitoring the performance of the Common Fisheries Policy (STECF-15-04)", "type" : "report" }, "uris" : [ "http://www.mendeley.com/documents/?uuid=0e15a466-c808-410b-8aa9-aeebbcadcc65" ] } ], "mendeley" : { "formattedCitation" : "(Scientific Technical and Economic Committee for Fisheries (STECF), 2015b)", "manualFormatting" : " (STECF, 2015b)", "plainTextFormattedCitation" : "(Scientific Technical and Economic Committee for Fisheries (STECF), 2015b)", "previouslyFormattedCitation" : "(Scientific Technical and Economic Committee for Fisheries (STECF) 2015b)" }, "properties" : { "noteIndex" : 0 }, "schema" : "https://github.com/citation-style-language/schema/raw/master/csl-citation.json" }</w:instrText>
      </w:r>
      <w:r w:rsidR="00DA692E">
        <w:fldChar w:fldCharType="separate"/>
      </w:r>
      <w:r w:rsidR="00064D40" w:rsidRPr="00064D40">
        <w:rPr>
          <w:noProof/>
        </w:rPr>
        <w:t xml:space="preserve"> (STECF, 2015b)</w:t>
      </w:r>
      <w:r w:rsidR="00DA692E">
        <w:fldChar w:fldCharType="end"/>
      </w:r>
      <w:r w:rsidR="00E64B31" w:rsidRPr="009163B0">
        <w:t xml:space="preserve">, other </w:t>
      </w:r>
      <w:r w:rsidR="00D802F5">
        <w:t>conflicts</w:t>
      </w:r>
      <w:r w:rsidR="00D802F5" w:rsidRPr="009163B0">
        <w:t xml:space="preserve"> </w:t>
      </w:r>
      <w:r w:rsidR="00E64B31" w:rsidRPr="009163B0">
        <w:t xml:space="preserve">have appeared. </w:t>
      </w:r>
      <w:r w:rsidR="00660447">
        <w:t>The most serious</w:t>
      </w:r>
      <w:r w:rsidR="00EA6453">
        <w:t xml:space="preserve"> </w:t>
      </w:r>
      <w:r w:rsidR="00A3212B" w:rsidRPr="009163B0">
        <w:t xml:space="preserve">arises from mixed-fisheries interactions, when several stocks </w:t>
      </w:r>
      <w:r w:rsidR="00FD2C46" w:rsidRPr="009163B0">
        <w:t>with</w:t>
      </w:r>
      <w:r w:rsidR="00A3212B" w:rsidRPr="009163B0">
        <w:t xml:space="preserve"> different productivity are caught together. In such cases, </w:t>
      </w:r>
      <w:r w:rsidR="006C175C">
        <w:t xml:space="preserve">a reduction in </w:t>
      </w:r>
      <w:r w:rsidR="00A3212B" w:rsidRPr="009163B0">
        <w:t xml:space="preserve">TAC </w:t>
      </w:r>
      <w:r w:rsidR="00E7260C">
        <w:t>resulting from</w:t>
      </w:r>
      <w:r w:rsidR="00A3212B" w:rsidRPr="009163B0">
        <w:t xml:space="preserve"> </w:t>
      </w:r>
      <w:r w:rsidR="00FD2C46" w:rsidRPr="009163B0">
        <w:t>a</w:t>
      </w:r>
      <w:r w:rsidR="00A3212B" w:rsidRPr="009163B0">
        <w:t xml:space="preserve"> HCR may not lead to </w:t>
      </w:r>
      <w:r w:rsidR="00F800DB" w:rsidRPr="009163B0">
        <w:t>the expected reductions in</w:t>
      </w:r>
      <w:r w:rsidR="00A3212B" w:rsidRPr="009163B0">
        <w:t xml:space="preserve"> fishing mortality</w:t>
      </w:r>
      <w:r w:rsidR="004F3C0D">
        <w:t xml:space="preserve"> and </w:t>
      </w:r>
      <w:r w:rsidR="00E241E0">
        <w:t xml:space="preserve">to </w:t>
      </w:r>
      <w:r w:rsidR="004F3C0D">
        <w:t>recovery</w:t>
      </w:r>
      <w:r w:rsidR="00A3212B" w:rsidRPr="009163B0">
        <w:t xml:space="preserve"> </w:t>
      </w:r>
      <w:r w:rsidR="00E7260C">
        <w:t>if</w:t>
      </w:r>
      <w:r w:rsidR="00EA6453" w:rsidRPr="009163B0">
        <w:t xml:space="preserve"> </w:t>
      </w:r>
      <w:r w:rsidR="00A3212B" w:rsidRPr="009163B0">
        <w:t>fisheries continue</w:t>
      </w:r>
      <w:r w:rsidR="00EA6453">
        <w:t xml:space="preserve"> to</w:t>
      </w:r>
      <w:r w:rsidR="00A3212B" w:rsidRPr="009163B0">
        <w:t xml:space="preserve"> catch</w:t>
      </w:r>
      <w:r w:rsidR="00FD2C46" w:rsidRPr="009163B0">
        <w:t xml:space="preserve"> (but not land)</w:t>
      </w:r>
      <w:r w:rsidR="00A3212B" w:rsidRPr="009163B0">
        <w:t xml:space="preserve"> </w:t>
      </w:r>
      <w:r w:rsidR="004766C4">
        <w:t>the vulnerable</w:t>
      </w:r>
      <w:r w:rsidR="00F800DB" w:rsidRPr="009163B0">
        <w:t xml:space="preserve"> </w:t>
      </w:r>
      <w:r w:rsidR="00A3212B" w:rsidRPr="009163B0">
        <w:t>stock</w:t>
      </w:r>
      <w:r w:rsidR="00E7260C">
        <w:t xml:space="preserve"> while </w:t>
      </w:r>
      <w:r w:rsidR="00A3212B" w:rsidRPr="009163B0">
        <w:t xml:space="preserve">targeting </w:t>
      </w:r>
      <w:r w:rsidR="00F800DB" w:rsidRPr="009163B0">
        <w:t>healthier</w:t>
      </w:r>
      <w:r w:rsidR="008A42D8" w:rsidRPr="009163B0">
        <w:t xml:space="preserve"> stocks</w:t>
      </w:r>
      <w:r w:rsidR="006F4EA6">
        <w:t xml:space="preserve"> </w:t>
      </w:r>
      <w:r w:rsidR="004D4331">
        <w:fldChar w:fldCharType="begin" w:fldLock="1"/>
      </w:r>
      <w:r w:rsidR="00873E7A">
        <w:instrText>ADDIN CSL_CITATION { "citationItems" : [ { "id" : "ITEM-1", "itemData" : { "DOI" : "10.1093/beheco/6.2.146", "ISBN" : "1045-2249", "ISSN" : "1045-2249", "abstract" : "The decision by fishermen to discard or retain fish of low value to make room for more valuable fish in the hold of a boat (high-grading) is similar to diet choice problems faced by natural foragers. In our study, we apply the rationale of diet choice theory to high-grading behavior in the Oregon trawl fishery by treating fishermen as foragers who must decide how much of each net's haul to \"ingest\" before searching for more prey. We derive a state-dependent, temporal model of discarding behavior within a fishing trip. This optimization considers the availability of differently valued fish, trip quotas set by the regulatory agency, and the risk of premature trip termination due to loss of gear or injury. The results' indicate that those parameters affect discarding behavior through their effect on the probability of exceeding the allowable catch, which we consider analogous to gut capacity. High-grading (partial prey consumption) occurred throughout many simulated trips. The predictions were consistent with the trends in discarding observed in the Oregon trawl fleet. Behavioral models s~ch as ours can be useful to fishery managers by providing a means to explore the potential responses of fishermen to new regulations before they are implemented", "author" : [ { "dropping-particle" : "", "family" : "Gillis", "given" : "D.M.", "non-dropping-particle" : "", "parse-names" : false, "suffix" : "" }, { "dropping-particle" : "", "family" : "Pikitch", "given" : "E.K.", "non-dropping-particle" : "", "parse-names" : false, "suffix" : "" }, { "dropping-particle" : "", "family" : "Peterman", "given" : "R.M.", "non-dropping-particle" : "", "parse-names" : false, "suffix" : "" } ], "container-title" : "Behavioral Ecology", "id" : "ITEM-1", "issued" : { "date-parts" : [ [ "1995" ] ] }, "page" : "146-154", "title" : "Dynamic discarding decisions : foraging theory for high-grading in a trawl fishery", "type" : "article-journal", "volume" : "6" }, "uris" : [ "http://www.mendeley.com/documents/?uuid=bfbe3637-9049-42e2-9157-a75fbbec5c4c" ] }, { "id" : "ITEM-2", "itemData" : { "DOI" : "10.1007/s11160-015-9403-0", "author" : [ { "dropping-particle" : "", "family" : "Batsleer", "given" : "J.", "non-dropping-particle" : "", "parse-names" : false, "suffix" : "" }, { "dropping-particle" : "", "family" : "Hamon", "given" : "K. G.", "non-dropping-particle" : "", "parse-names" : false, "suffix" : "" }, { "dropping-particle" : "van", "family" : "Overzee", "given" : "H. M. J.", "non-dropping-particle" : "", "parse-names" : false, "suffix" : "" }, { "dropping-particle" : "", "family" : "Rijnsdorp", "given" : "A. D.", "non-dropping-particle" : "", "parse-names" : false, "suffix" : "" }, { "dropping-particle" : "", "family" : "Poos", "given" : "J.J.", "non-dropping-particle" : "", "parse-names" : false, "suffix" : "" } ], "container-title" : "Rev Fish Biol Fisheries", "id" : "ITEM-2", "issued" : { "date-parts" : [ [ "2015" ] ] }, "page" : "15\u2013736", "title" : "High-grading and over-quota discarding in mixed fisheries", "type" : "article-journal", "volume" : "25" }, "uris" : [ "http://www.mendeley.com/documents/?uuid=31c23881-4011-4341-87e7-aae5baac8c92" ] } ], "mendeley" : { "formattedCitation" : "(Batsleer, Hamon, Overzee, Rijnsdorp, &amp; Poos, 2015; Gillis, Pikitch, &amp; Peterman, 1995)", "plainTextFormattedCitation" : "(Batsleer, Hamon, Overzee, Rijnsdorp, &amp; Poos, 2015; Gillis, Pikitch, &amp; Peterman, 1995)", "previouslyFormattedCitation" : "(Batsleer et al. 2015; Gillis, Pikitch, and Peterman 1995)" }, "properties" : { "noteIndex" : 0 }, "schema" : "https://github.com/citation-style-language/schema/raw/master/csl-citation.json" }</w:instrText>
      </w:r>
      <w:r w:rsidR="004D4331">
        <w:fldChar w:fldCharType="separate"/>
      </w:r>
      <w:r w:rsidR="00873E7A" w:rsidRPr="00873E7A">
        <w:rPr>
          <w:noProof/>
        </w:rPr>
        <w:t>(Batsleer, Hamon, Overzee, Rijnsdorp, &amp; Poos, 2015; Gillis, Pikitch, &amp; Peterman, 1995)</w:t>
      </w:r>
      <w:r w:rsidR="004D4331">
        <w:fldChar w:fldCharType="end"/>
      </w:r>
      <w:r w:rsidR="008A42D8" w:rsidRPr="009163B0">
        <w:t xml:space="preserve">. </w:t>
      </w:r>
      <w:r w:rsidR="003222CE">
        <w:t>The</w:t>
      </w:r>
      <w:r w:rsidR="00F053A0">
        <w:t xml:space="preserve"> </w:t>
      </w:r>
      <w:r w:rsidR="003222CE">
        <w:t xml:space="preserve">mixed demersal roundfish fisheries in the North Sea are </w:t>
      </w:r>
      <w:r w:rsidR="006F4EA6">
        <w:t>a famous example</w:t>
      </w:r>
      <w:r w:rsidR="003222CE">
        <w:t xml:space="preserve">: </w:t>
      </w:r>
      <w:r w:rsidR="008F40ED">
        <w:t xml:space="preserve">fisheries targeting </w:t>
      </w:r>
      <w:r w:rsidR="00413BB8" w:rsidRPr="009163B0">
        <w:t>North Sea haddock</w:t>
      </w:r>
      <w:r w:rsidR="00E1596D">
        <w:t xml:space="preserve"> (</w:t>
      </w:r>
      <w:r w:rsidR="00E1596D" w:rsidRPr="00E1596D">
        <w:rPr>
          <w:i/>
        </w:rPr>
        <w:t xml:space="preserve">Melanogrammus </w:t>
      </w:r>
      <w:r w:rsidR="00E1596D">
        <w:rPr>
          <w:i/>
        </w:rPr>
        <w:t>a</w:t>
      </w:r>
      <w:r w:rsidR="00E1596D" w:rsidRPr="00E1596D">
        <w:rPr>
          <w:i/>
        </w:rPr>
        <w:t>eglefinus</w:t>
      </w:r>
      <w:r w:rsidR="00E1596D">
        <w:t>)</w:t>
      </w:r>
      <w:r w:rsidR="00F800DB" w:rsidRPr="009163B0">
        <w:t>,</w:t>
      </w:r>
      <w:r w:rsidR="00413BB8" w:rsidRPr="009163B0">
        <w:t xml:space="preserve"> </w:t>
      </w:r>
      <w:r w:rsidR="00F800DB" w:rsidRPr="009163B0">
        <w:t xml:space="preserve">have </w:t>
      </w:r>
      <w:r w:rsidR="00DD7731">
        <w:t xml:space="preserve">contributed </w:t>
      </w:r>
      <w:r w:rsidR="00413BB8" w:rsidRPr="009163B0">
        <w:t xml:space="preserve">to a decline of </w:t>
      </w:r>
      <w:r w:rsidR="00D11951">
        <w:t>the</w:t>
      </w:r>
      <w:r w:rsidR="00413BB8" w:rsidRPr="009163B0">
        <w:t xml:space="preserve"> </w:t>
      </w:r>
      <w:r w:rsidR="00D11951">
        <w:t xml:space="preserve">North Sea </w:t>
      </w:r>
      <w:r w:rsidR="00413BB8" w:rsidRPr="009163B0">
        <w:t>cod</w:t>
      </w:r>
      <w:r w:rsidR="00D11951">
        <w:t xml:space="preserve"> (</w:t>
      </w:r>
      <w:r w:rsidR="00D11951" w:rsidRPr="00D11951">
        <w:rPr>
          <w:i/>
        </w:rPr>
        <w:t>Gadus morhua</w:t>
      </w:r>
      <w:r w:rsidR="00D11951">
        <w:t>)</w:t>
      </w:r>
      <w:r w:rsidR="00413BB8" w:rsidRPr="009163B0">
        <w:t xml:space="preserve"> stock</w:t>
      </w:r>
      <w:r w:rsidR="00D11951">
        <w:t>,</w:t>
      </w:r>
      <w:r w:rsidR="00413BB8" w:rsidRPr="009163B0">
        <w:t xml:space="preserve"> and</w:t>
      </w:r>
      <w:r w:rsidR="00F800DB" w:rsidRPr="009163B0">
        <w:t xml:space="preserve"> </w:t>
      </w:r>
      <w:r w:rsidR="00413BB8" w:rsidRPr="009163B0">
        <w:t xml:space="preserve">discards </w:t>
      </w:r>
      <w:r w:rsidR="00D11951" w:rsidRPr="009163B0">
        <w:t xml:space="preserve">increased </w:t>
      </w:r>
      <w:r w:rsidR="003222CE">
        <w:t>as the cod quota were reduced</w:t>
      </w:r>
      <w:r w:rsidR="00413BB8" w:rsidRPr="009163B0">
        <w:t xml:space="preserve"> </w:t>
      </w:r>
      <w:r w:rsidR="00DD7731">
        <w:fldChar w:fldCharType="begin" w:fldLock="1"/>
      </w:r>
      <w:r w:rsidR="00873E7A">
        <w:instrText>ADDIN CSL_CITATION { "citationItems" : [ { "id" : "ITEM-1", "itemData" : { "DOI" : "10.1002/9780470999936.ch19", "author" : [ { "dropping-particle" : "", "family" : "Bannister", "given" : "R. Colin A.", "non-dropping-particle" : "", "parse-names" : false, "suffix" : "" } ], "container-title" : "Management of Shared Fish Stocks", "editor" : [ { "dropping-particle" : "", "family" : "Payne", "given" : "A.I.L.", "non-dropping-particle" : "", "parse-names" : false, "suffix" : "" }, { "dropping-particle" : "", "family" : "O'Brien", "given" : "C.M.", "non-dropping-particle" : "", "parse-names" : false, "suffix" : "" }, { "dropping-particle" : "", "family" : "Rogers", "given" : "S.I.", "non-dropping-particle" : "", "parse-names" : false, "suffix" : "" } ], "id" : "ITEM-1", "issued" : { "date-parts" : [ [ "2004" ] ] }, "page" : "316-338", "publisher" : "Blackwell Publishing Ltd", "publisher-place" : "Oxford, UK", "title" : "The Rise and Fall of Cod (Gadus morhua, L.) in the North Sea", "type" : "chapter" }, "uris" : [ "http://www.mendeley.com/documents/?uuid=f403cb7c-9419-49ee-b27f-4abd1bd127f6" ] } ], "mendeley" : { "formattedCitation" : "(Bannister, 2004)", "plainTextFormattedCitation" : "(Bannister, 2004)", "previouslyFormattedCitation" : "(Bannister 2004)" }, "properties" : { "noteIndex" : 0 }, "schema" : "https://github.com/citation-style-language/schema/raw/master/csl-citation.json" }</w:instrText>
      </w:r>
      <w:r w:rsidR="00DD7731">
        <w:fldChar w:fldCharType="separate"/>
      </w:r>
      <w:r w:rsidR="00873E7A" w:rsidRPr="00873E7A">
        <w:rPr>
          <w:noProof/>
        </w:rPr>
        <w:t>(Bannister, 2004)</w:t>
      </w:r>
      <w:r w:rsidR="00DD7731">
        <w:fldChar w:fldCharType="end"/>
      </w:r>
      <w:r w:rsidR="00F800DB" w:rsidRPr="009163B0">
        <w:t xml:space="preserve">. </w:t>
      </w:r>
      <w:r w:rsidR="0040351F">
        <w:t>Indeed, the annual fishing mortality of these two stocks is highly correlated</w:t>
      </w:r>
      <w:r w:rsidR="00DD7731">
        <w:t xml:space="preserve"> (ρ=0.55, p&lt;0.01; ρ=0.82 for the years since 2000</w:t>
      </w:r>
      <w:r w:rsidR="0040351F">
        <w:t xml:space="preserve">  </w:t>
      </w:r>
      <w:r w:rsidR="00CC005A">
        <w:fldChar w:fldCharType="begin" w:fldLock="1"/>
      </w:r>
      <w:r w:rsidR="00873E7A">
        <w:instrText>ADDIN CSL_CITATION { "citationItems" : [ { "id" : "ITEM-1", "itemData" : { "DOI" : "ICES CM 2015/ACOM:13", "author" : [ { "dropping-particle" : "", "family" : "ICES", "given" : "", "non-dropping-particle" : "", "parse-names" : false, "suffix" : "" } ], "id" : "ITEM-1", "issued" : { "date-parts" : [ [ "2015" ] ] }, "number-of-pages" : "1182 pp", "publisher-place" : "Copenhagen, Denmark", "title" : "Report of the Working Group on the Assessment of Demersal Stocks in the North Sea and Skagerrak (WGNSSK), 28 April-7 May 2015", "type" : "report" }, "uris" : [ "http://www.mendeley.com/documents/?uuid=8ebb22d1-b22b-46da-8aa4-0354eefb9c66" ] } ], "mendeley" : { "formattedCitation" : "(ICES, 2015g)", "plainTextFormattedCitation" : "(ICES, 2015g)", "previouslyFormattedCitation" : "(ICES 2015g)" }, "properties" : { "noteIndex" : 0 }, "schema" : "https://github.com/citation-style-language/schema/raw/master/csl-citation.json" }</w:instrText>
      </w:r>
      <w:r w:rsidR="00CC005A">
        <w:fldChar w:fldCharType="separate"/>
      </w:r>
      <w:r w:rsidR="00873E7A" w:rsidRPr="00873E7A">
        <w:rPr>
          <w:noProof/>
        </w:rPr>
        <w:t>(ICES, 2015g)</w:t>
      </w:r>
      <w:r w:rsidR="00CC005A">
        <w:fldChar w:fldCharType="end"/>
      </w:r>
      <w:r w:rsidR="0040351F">
        <w:t xml:space="preserve">. </w:t>
      </w:r>
      <w:r w:rsidR="008A5AF5">
        <w:t xml:space="preserve">Despite emergency measures </w:t>
      </w:r>
      <w:r w:rsidR="0016078F">
        <w:t xml:space="preserve">in 2001 </w:t>
      </w:r>
      <w:r w:rsidR="008A5AF5">
        <w:t xml:space="preserve">followed by a recovery plan for cod </w:t>
      </w:r>
      <w:r w:rsidR="0016078F">
        <w:t xml:space="preserve">in 2004 </w:t>
      </w:r>
      <w:r w:rsidR="008A5AF5">
        <w:t>t</w:t>
      </w:r>
      <w:r w:rsidR="00660447">
        <w:t xml:space="preserve">he situation deteriorated </w:t>
      </w:r>
      <w:r w:rsidR="00CE2B8E">
        <w:t>inexorably</w:t>
      </w:r>
      <w:r w:rsidR="00660447">
        <w:t xml:space="preserve">, until </w:t>
      </w:r>
      <w:r w:rsidR="0016078F">
        <w:t>a range of</w:t>
      </w:r>
      <w:r w:rsidR="00660447">
        <w:t xml:space="preserve"> actions were finally triggered in the mid-2000s. </w:t>
      </w:r>
      <w:r w:rsidR="00D11951">
        <w:t>On the policy side, a</w:t>
      </w:r>
      <w:r w:rsidR="00D11951" w:rsidRPr="009163B0">
        <w:t xml:space="preserve"> number of initiatives were </w:t>
      </w:r>
      <w:r w:rsidR="00D11951" w:rsidRPr="009163B0">
        <w:lastRenderedPageBreak/>
        <w:t xml:space="preserve">launched to incentivise cod avoidance, such as Catch Quota Management </w:t>
      </w:r>
      <w:r w:rsidR="00D11951">
        <w:t>with</w:t>
      </w:r>
      <w:r w:rsidR="00D11951" w:rsidRPr="009163B0">
        <w:t xml:space="preserve"> Fully Documented Fisheries </w:t>
      </w:r>
      <w:r w:rsidR="00D11951">
        <w:fldChar w:fldCharType="begin" w:fldLock="1"/>
      </w:r>
      <w:r w:rsidR="00873E7A">
        <w:instrText>ADDIN CSL_CITATION { "citationItems" : [ { "id" : "ITEM-1", "itemData" : { "DOI" : "10.1093/icesjms/fsu225", "ISSN" : "1054-3139", "author" : [ { "dropping-particle" : "", "family" : "Needle", "given" : "C. L.", "non-dropping-particle" : "", "parse-names" : false, "suffix" : "" }, { "dropping-particle" : "", "family" : "Dinsdale", "given" : "R.", "non-dropping-particle" : "", "parse-names" : false, "suffix" : "" }, { "dropping-particle" : "", "family" : "Buch", "given" : "T. B.", "non-dropping-particle" : "", "parse-names" : false, "suffix" : "" }, { "dropping-particle" : "", "family" : "Catarino", "given" : "R. M. D.", "non-dropping-particle" : "", "parse-names" : false, "suffix" : "" }, { "dropping-particle" : "", "family" : "Drewery", "given" : "J.", "non-dropping-particle" : "", "parse-names" : false, "suffix" : "" }, { "dropping-particle" : "", "family" : "Butler", "given" : "N.", "non-dropping-particle" : "", "parse-names" : false, "suffix" : "" } ], "container-title" : "ICES Journal of Marine Science", "id" : "ITEM-1", "issue" : "4", "issued" : { "date-parts" : [ [ "2015", "5", "1" ] ] }, "page" : "1214-1229", "title" : "Scottish science applications of Remote Electronic Monitoring", "type" : "article-journal", "volume" : "72" }, "uris" : [ "http://www.mendeley.com/documents/?uuid=eb6fa172-f62d-46ec-8b1a-01eaad29d482" ] }, { "id" : "ITEM-2", "itemData" : { "DOI" : "10.1093/icesjms/fsu200", "ISSN" : "1054-3139", "author" : [ { "dropping-particle" : "", "family" : "Helmond", "given" : "A. T. M.", "non-dropping-particle" : "van", "parse-names" : false, "suffix" : "" }, { "dropping-particle" : "", "family" : "Chen", "given" : "C.", "non-dropping-particle" : "", "parse-names" : false, "suffix" : "" }, { "dropping-particle" : "", "family" : "Poos", "given" : "J. J.", "non-dropping-particle" : "", "parse-names" : false, "suffix" : "" } ], "container-title" : "ICES Journal of Marine Science", "id" : "ITEM-2", "issue" : "4", "issued" : { "date-parts" : [ [ "2015", "5", "1" ] ] }, "page" : "1192-1200", "title" : "How effective is electronic monitoring in mixed bottom-trawl fisheries?", "type" : "article-journal", "volume" : "72" }, "uris" : [ "http://www.mendeley.com/documents/?uuid=a1b63bf2-53b3-4946-b5ad-382d12d1a5c2" ] }, { "id" : "ITEM-3", "itemData" : { "DOI" : "10.1093/icesjms/fsv028", "ISSN" : "1054-3139", "abstract" : "Denmark was the first nation in Europe to promote the use of Fully Documented Fisheries (FDF) through Remote Electronic Monitoring (REM) and CCTV camera systems, with pilot schemes in place since 2008. In theory, such a scheme could supplement and even potentially replace expensive control and monitoring programmes; and when associated with a catch quota management (CQM) system, incentivize positive changes in fishing patterns in a results-based management approach. New data flows are, however, required to ensure the practical implementation of such a scheme. This paper reviews the quality of the FDF data collected during 2008-2014 and their potential in strengthening information on cod discards. The analyses demonstrate the improved reporting of discards in logbooks and overall discard reductions, but they also show that some uncertainties around the absolute estimates of discard quantities have remained. Regular validation of weight estimation methods and close collaboration between scientific monitoring and control are important to support the use of reported discards as a reliable source of information. We discuss the potential of electronic monitoring in the context of the EU landing obligation.", "author" : [ { "dropping-particle" : "", "family" : "Ulrich", "given" : "Clara", "non-dropping-particle" : "", "parse-names" : false, "suffix" : "" }, { "dropping-particle" : "", "family" : "Olesen", "given" : "Hans Jakob", "non-dropping-particle" : "", "parse-names" : false, "suffix" : "" }, { "dropping-particle" : "", "family" : "Bergsson", "given" : "Hei\u00f0rikur", "non-dropping-particle" : "", "parse-names" : false, "suffix" : "" }, { "dropping-particle" : "", "family" : "Egekvist", "given" : "Josefine", "non-dropping-particle" : "", "parse-names" : false, "suffix" : "" }, { "dropping-particle" : "", "family" : "H\u00e5kansson", "given" : "Kirsten Birch", "non-dropping-particle" : "", "parse-names" : false, "suffix" : "" }, { "dropping-particle" : "", "family" : "Dalskov", "given" : "J\u00f8rgen", "non-dropping-particle" : "", "parse-names" : false, "suffix" : "" }, { "dropping-particle" : "", "family" : "Kindt-Larsen", "given" : "Lotte", "non-dropping-particle" : "", "parse-names" : false, "suffix" : "" }, { "dropping-particle" : "", "family" : "Storr-Paulsen", "given" : "Marie", "non-dropping-particle" : "", "parse-names" : false, "suffix" : "" } ], "container-title" : "ICES Journal of Marine Science: Journal du Conseil", "id" : "ITEM-3", "issue" : "6", "issued" : { "date-parts" : [ [ "2015", "8", "15" ] ] }, "page" : "1848-1860", "title" : "Discarding of cod in the Danish Fully Documented Fisheries trials", "type" : "article-journal", "volume" : "72" }, "uris" : [ "http://www.mendeley.com/documents/?uuid=338482fa-4001-4741-b149-c6c1a19b841b" ] } ], "mendeley" : { "formattedCitation" : "(Needle et al., 2015; Ulrich et al., 2015; van Helmond, Chen, &amp; Poos, 2015)", "plainTextFormattedCitation" : "(Needle et al., 2015; Ulrich et al., 2015; van Helmond, Chen, &amp; Poos, 2015)", "previouslyFormattedCitation" : "(van Helmond, Chen, and Poos 2015; Needle et al. 2015; Ulrich et al. 2015)" }, "properties" : { "noteIndex" : 0 }, "schema" : "https://github.com/citation-style-language/schema/raw/master/csl-citation.json" }</w:instrText>
      </w:r>
      <w:r w:rsidR="00D11951">
        <w:fldChar w:fldCharType="separate"/>
      </w:r>
      <w:r w:rsidR="00873E7A" w:rsidRPr="00873E7A">
        <w:rPr>
          <w:noProof/>
        </w:rPr>
        <w:t>(Needle et al., 2015; Ulrich et al., 2015; van Helmond, Chen, &amp; Poos, 2015)</w:t>
      </w:r>
      <w:r w:rsidR="00D11951">
        <w:fldChar w:fldCharType="end"/>
      </w:r>
      <w:r w:rsidR="00D11951" w:rsidRPr="00873E7A">
        <w:rPr>
          <w:lang w:val="en-US"/>
        </w:rPr>
        <w:t xml:space="preserve"> and Real-Time Closures </w:t>
      </w:r>
      <w:r w:rsidR="00D11951">
        <w:fldChar w:fldCharType="begin" w:fldLock="1"/>
      </w:r>
      <w:r w:rsidR="00873E7A" w:rsidRPr="00873E7A">
        <w:rPr>
          <w:lang w:val="en-US"/>
        </w:rPr>
        <w:instrText>ADDIN CSL_CITATION { "citationItems" : [ { "id" : "ITEM-1", "itemData" : { "DOI" : "10.1093/icesjms/fsr101", "ISSN" : "10543139", "abstract" : "Holmes, S. J., Bailey, N., Campbell, N., Catarino, R., Barratt, K., and Gibb, A., and Fernandes, P. G. 2011. Using fishery-dependent data to inform the development and operation of a co-management initiative to reduce cod mortality and cut discards. - ICES Journal of Marine Science, doi:10.1093/icesjms/fsr101. The Scottish conservation credits scheme is a voluntary programme introduced in 2008, designed to reduce mortality and discarding of cod in line with EU Common Fisheries Policy management objectives. The scheme was expanded in 2009, building on the initial elements of real-time closures (RTCs) and gear requirements. Various measures were agreed in a co-management framework involving fishers, non-governmental organizations, government officials, and scientists. The main objective was to encourage cod avoidance and the reduction of cod discards using spatial tools such as RTCs and seasonal closures, along with gear options that reduce cod capture. The scheme was incentivized by rewarding participation with additional days at sea. Real-time monitoring was carried out with extensive use of fishery-dependent information, allowing management to be adapted as required and to address emerging problems. The use of vessel monitoring system</w:instrText>
      </w:r>
      <w:r w:rsidR="00873E7A">
        <w:rPr>
          <w:lang w:val="da-DK"/>
        </w:rPr>
        <w:instrText xml:space="preserve"> data, logbook records, fishers' knowledge, and observer data is described in terms of implementing and assessing the scheme. Compliance with the closure elements of the scheme was judged to have been good, and estimated catch rates by the Scottish fleet met target criteria, but the assessed catch savings of cod from RTCs were less than predicted. Modifications to the scheme were introduced for 2010, reflecting improved knowledge and experience.", "author" : [ { "dropping-particle" : "", "family" : "Holmes", "given" : "Steven J.", "non-dropping-particle" : "", "parse-names" : false, "suffix" : "" }, { "dropping-particle" : "", "family" : "Bailey", "given" : "Nick", "non-dropping-particle" : "", "parse-names" : false, "suffix" : "" }, { "dropping-particle" : "", "family" : "Campbell", "given" : "N.", "non-dropping-particle" : "", "parse-names" : false, "suffix" : "" }, { "dropping-particle" : "", "family" : "Catarino", "given" : "R.", "non-dropping-particle" : "", "parse-names" : false, "suffix" : "" }, { "dropping-particle" : "", "family" : "Barratt", "given" : "K.", "non-dropping-particle" : "", "parse-names" : false, "suffix" : "" }, { "dropping-particle" : "", "family" : "Gibb", "given" : "A.", "non-dropping-particle" : "", "parse-names" : false, "suffix" : "" }, { "dropping-particle" : "", "family" : "Fernandes", "given" : "Paul G.", "non-dropping-particle" : "", "parse-names" : false, "suffix" : "" } ], "container-title" : "ICES Journal of Marine Science", "id" : "ITEM-1", "issue" : "8", "issued" : { "date-parts" : [ [ "2011" ] ] }, "page" : "1679-1688", "title" : "Using fishery-dependent data to inform the development and operation of a co-management initiative to reduce cod mortality and cut discards", "type" : "article-journal", "volume" : "68" }, "uris" : [ "http://www.mendeley.com/documents/?uuid=6e066a67-13a6-4005-9d3c-bc942e5c58ba" ] }, { "id" : "ITEM-2", "itemData" : { "DOI" : "10.1111/faf.12080", "ISSN" : "14672960", "author" : [ { "dropping-part</w:instrText>
      </w:r>
      <w:r w:rsidR="00873E7A" w:rsidRPr="00873E7A">
        <w:rPr>
          <w:lang w:val="en-US"/>
        </w:rPr>
        <w:instrText>icle" : "", "family" : "Little", "given" : "Alyson S", "non-dropping-particle" : "", "parse-names" : false, "suffix" : "" }, { "dropping-particle" : "", "family" : "Needle", "given" : "Coby L.", "non-dropping-particle" : "", "parse-names" : false, "suffix" : "" }, { "dropping-particle" : "", "family" : "Hilborn", "given" : "Ray", "non-dropping-particle" : "", "parse-names" : false, "suffix" : "" }, { "dropping-particle" : "", "family" : "Holland", "given" : "Daniel S", "non-dropping-particle" : "", "parse-names" : false, "suffix" : "" }, { "dropping-particle" : "", "family" : "Marshall", "given" : "C Tara", "non-dropping-particle" : "", "parse-names" : false, "suffix" : "" } ], "container-title" : "Fish and Fisheries", "id" : "ITEM-2", "issued" : { "date-parts" : [ [ "2014" ] ] }, "page" : "n/a-n/a", "title" : "Real-time spatial management approaches to reduce bycatch and discards: experiences from Europe and the United States", "type" : "article-journal" }, "uris" : [ "http://www.mendeley.com/documents/?uuid=3959647c-1d29-4443-8ef4-4dc47f29309b" ] } ], "mendeley" : { "formattedCitation" : "(Holmes et al., 2011; Little, Needle, Hilborn, Holland, &amp; Marshall, 2014)", "plainTextFormattedCitation" : "(Holmes et al., 2011; Little, Needle, Hilborn, Holland, &amp; Marshall, 2014)", "previouslyFormattedCitation" : "(Holmes et al. 2011; Little et al. 2014)" }, "properties" : { "noteIndex" : 0 }, "schema" : "https://github.com/citation-style-language/schema/raw/master/csl-citation.json" }</w:instrText>
      </w:r>
      <w:r w:rsidR="00D11951">
        <w:fldChar w:fldCharType="separate"/>
      </w:r>
      <w:r w:rsidR="00873E7A" w:rsidRPr="00873E7A">
        <w:rPr>
          <w:noProof/>
        </w:rPr>
        <w:t>(Holmes et al., 2011; Little, Needle, Hilborn, Holland, &amp; Marshall, 2014)</w:t>
      </w:r>
      <w:r w:rsidR="00D11951">
        <w:fldChar w:fldCharType="end"/>
      </w:r>
      <w:r w:rsidR="00D11951" w:rsidRPr="0040351F">
        <w:t xml:space="preserve">. </w:t>
      </w:r>
    </w:p>
    <w:p w14:paraId="16256C4B" w14:textId="1C21AA75" w:rsidR="007F316B" w:rsidRDefault="00B863D4" w:rsidP="00DF5AFC">
      <w:r>
        <w:t>On the scientific side</w:t>
      </w:r>
      <w:r w:rsidRPr="009163B0">
        <w:t xml:space="preserve"> new tools to quantify and monitor </w:t>
      </w:r>
      <w:r>
        <w:t xml:space="preserve">mixed fisheries </w:t>
      </w:r>
      <w:r w:rsidRPr="009163B0">
        <w:t xml:space="preserve">interactions </w:t>
      </w:r>
      <w:r>
        <w:t>were developed</w:t>
      </w:r>
      <w:r w:rsidRPr="009163B0">
        <w:t xml:space="preserve">. </w:t>
      </w:r>
      <w:r w:rsidR="00D11951">
        <w:t>In particular, t</w:t>
      </w:r>
      <w:r w:rsidR="00D11951" w:rsidRPr="00D11951">
        <w:t xml:space="preserve">he FCube approach </w:t>
      </w:r>
      <w:r w:rsidR="00D11951" w:rsidRPr="002076F5">
        <w:t xml:space="preserve">(Fleets and Fisheries Forecast, </w:t>
      </w:r>
      <w:r w:rsidR="00D11951">
        <w:fldChar w:fldCharType="begin" w:fldLock="1"/>
      </w:r>
      <w:r w:rsidR="00873E7A">
        <w:instrText>ADDIN CSL_CITATION { "citationItems" : [ { "id" : "ITEM-1", "itemData" : { "DOI" : "10.1093/icesjms/fsr060", "ISSN" : "10543139", "abstract" : "Single-species management is a cause of discarding in mixed fisheries, because individual management objectives may not be consist- ent with each other and the species are caught simultaneously in relatively unselective fishing operations. As such, the total allowable catch (TAC) of one species may be exhausted before the TAC of another, leading to catches of valuable fish that cannot be landed legally. This important issue is, however, usually not quantified and not accounted for in traditional management advice. A simple approach using traditional catch and effort information was developed, estimating catch potentials for distinct fleets (groups of vessels) and me \u00b4tiers (type of activity), and hence quantifying the risks of over- and underquota utilization for the various stocks. This method, named Fcube (Fleet and Fisheries Forecast), was applied successfully to international demersal fisheries in the North Sea and shaped into the advice framework. The substantial overquota catches of North Sea cod likely under the current fisheries regimes are quantified, and it is estimated that the single-species management targets for North Sea cod cannot be achieved unless substantial reductions in TACs of all other stocks and corresponding effort reductions are applied.", "author" : [ { "dropping-particle" : "", "family" : "Ulrich", "given" : "Clara", "non-dropping-particle" : "", "parse-names" : false, "suffix" : "" }, { "dropping-particle" : "", "family" : "Reeves", "given" : "Stuart a.", "non-dropping-particle" : "", "parse-names" : false, "suffix" : "" }, { "dropping-particle" : "", "family" : "Vermard", "given" : "Youen", "non-dropping-particle" : "", "parse-names" : false, "suffix" : "" }, { "dropping-particle" : "", "family" : "Holmes", "given" : "Steven J.", "non-dropping-particle" : "", "parse-names" : false, "suffix" : "" }, { "dropping-particle" : "", "family" : "Vanhee", "given" : "Willy", "non-dropping-particle" : "", "parse-names" : false, "suffix" : "" } ], "container-title" : "ICES Journal of Marine Science", "id" : "ITEM-1", "issue" : "7", "issued" : { "date-parts" : [ [ "2011" ] ] }, "page" : "1535-1547", "title" : "Reconciling single-species TACs in the North Sea demersal fisheries using the Fcube mixed-fisheries advice framework", "type" : "article-journal", "volume" : "68" }, "uris" : [ "http://www.mendeley.com/documents/?uuid=c625aba0-ab25-4a3d-8d19-2d9b462ddf68" ] } ], "mendeley" : { "formattedCitation" : "(Ulrich, Reeves, Vermard, Holmes, &amp; Vanhee, 2011)", "plainTextFormattedCitation" : "(Ulrich, Reeves, Vermard, Holmes, &amp; Vanhee, 2011)", "previouslyFormattedCitation" : "(Ulrich et al. 2011)" }, "properties" : { "noteIndex" : 0 }, "schema" : "https://github.com/citation-style-language/schema/raw/master/csl-citation.json" }</w:instrText>
      </w:r>
      <w:r w:rsidR="00D11951">
        <w:fldChar w:fldCharType="separate"/>
      </w:r>
      <w:r w:rsidR="00873E7A" w:rsidRPr="00873E7A">
        <w:rPr>
          <w:noProof/>
        </w:rPr>
        <w:t>(Ulrich, Reeves, Vermard, Holmes, &amp; Vanhee, 2011)</w:t>
      </w:r>
      <w:r w:rsidR="00D11951">
        <w:fldChar w:fldCharType="end"/>
      </w:r>
      <w:r w:rsidR="00D11951">
        <w:t xml:space="preserve">) </w:t>
      </w:r>
      <w:r w:rsidR="00D11951" w:rsidRPr="00D11951">
        <w:t xml:space="preserve">has delivered mixed-fisheries considerations as part of the ICES advice since 2009 (ICES 2015b), measuring the inconsistencies across the different single-stock advice on fishing opportunities for the following year when stocks are caught together by the same fleets. Until now, these ICES considerations did not aim to provide a single-best mixed-fisheries TAC advice, but to raise managers’ awareness of the potential imbalance and tensions at the regional level, that could lead to ‘choke species’ effects, over-quota discarding, and higher fishing mortalities than advised in the single-stock advice. Understanding and predicting fishers behaviour and adaptation is still a major difficulty in fisheries modelling (Andersen et al. 2010; Fulton et al. 2011), so as an alternative FCube has been </w:t>
      </w:r>
      <w:r w:rsidR="00810A3A">
        <w:t>developed</w:t>
      </w:r>
      <w:r w:rsidR="00D11951" w:rsidRPr="00D11951">
        <w:t xml:space="preserve"> </w:t>
      </w:r>
      <w:r w:rsidR="00810A3A">
        <w:t>as</w:t>
      </w:r>
      <w:r w:rsidR="00D11951" w:rsidRPr="00D11951">
        <w:t xml:space="preserve"> an envelope modelling approach contrasting extreme options. The model builds on a fairly simple idea: F-based fishing opportunities for each stock are translated into an equivalent level of effort for each fleet-stock combination (“effort-by-stock”), assuming unchanged effort and catchability patterns compared to the last data year (fishers would engage in the same metiers and metiers would induce the same fishing mortality on stocks per unit of effort and effort patterns</w:t>
      </w:r>
      <w:r w:rsidR="00D11951">
        <w:t>)</w:t>
      </w:r>
      <w:r w:rsidR="00D11951" w:rsidRPr="00D11951">
        <w:t xml:space="preserve">. Since each fleet can only have one unique amount of total effort over one year, this effort is set through an option. </w:t>
      </w:r>
      <w:r w:rsidR="009222E7">
        <w:t xml:space="preserve">For example, </w:t>
      </w:r>
      <w:r w:rsidR="009222E7" w:rsidRPr="00D11951">
        <w:t xml:space="preserve">for each fleet, fishing would stop when the catch for any one </w:t>
      </w:r>
      <w:r w:rsidR="009222E7">
        <w:t>(“</w:t>
      </w:r>
      <w:r w:rsidR="00942C36">
        <w:t>M</w:t>
      </w:r>
      <w:r w:rsidR="009222E7">
        <w:t>in” option) or all (“</w:t>
      </w:r>
      <w:r w:rsidR="00942C36">
        <w:t>M</w:t>
      </w:r>
      <w:r w:rsidR="009222E7">
        <w:t xml:space="preserve">ax” option) </w:t>
      </w:r>
      <w:r w:rsidR="009222E7" w:rsidRPr="00D11951">
        <w:t>of the stocks meet the fleet’s stock catch share</w:t>
      </w:r>
      <w:r w:rsidR="009222E7">
        <w:t xml:space="preserve">. </w:t>
      </w:r>
      <w:r w:rsidR="00D11951" w:rsidRPr="00D11951">
        <w:t xml:space="preserve">(Ulrich et al. 2011; ICES 2015b). The </w:t>
      </w:r>
      <w:r w:rsidR="00942C36">
        <w:t>Min</w:t>
      </w:r>
      <w:r w:rsidR="00D11951" w:rsidRPr="00D11951">
        <w:t xml:space="preserve"> option is the most conservative scenario, forecasting the underutilization of the single-stock </w:t>
      </w:r>
      <w:r w:rsidR="00942C36">
        <w:t>opportunities</w:t>
      </w:r>
      <w:r w:rsidR="00D11951" w:rsidRPr="00D11951">
        <w:t xml:space="preserve"> of other stocks. Conversely, the </w:t>
      </w:r>
      <w:r w:rsidR="00942C36">
        <w:t>Max</w:t>
      </w:r>
      <w:r w:rsidR="00D11951" w:rsidRPr="00D11951">
        <w:t xml:space="preserve"> option predicts the overfishing of the single -stock advice possibilities of most stocks. Neither of these two options </w:t>
      </w:r>
      <w:r w:rsidR="009222E7" w:rsidRPr="00D11951">
        <w:t>is</w:t>
      </w:r>
      <w:r w:rsidR="00D11951" w:rsidRPr="00D11951">
        <w:t xml:space="preserve"> considered</w:t>
      </w:r>
      <w:r w:rsidR="00D11951">
        <w:t xml:space="preserve"> plausible</w:t>
      </w:r>
      <w:r w:rsidR="00D11951" w:rsidRPr="00D11951">
        <w:t xml:space="preserve"> under the current management framework. Nevertheless they frame the range of the plausible outcomes considering the fleet’s decision options</w:t>
      </w:r>
      <w:r w:rsidR="00942C36">
        <w:t>, with the distance between the two being considered as an indicator of t</w:t>
      </w:r>
      <w:r w:rsidR="00D11951" w:rsidRPr="00D11951">
        <w:t>he overall mixed-fisheries imbalance</w:t>
      </w:r>
      <w:r w:rsidR="00942C36">
        <w:t xml:space="preserve">. Strong imbalance is interpreted as </w:t>
      </w:r>
      <w:r w:rsidR="00D11951" w:rsidRPr="00D11951">
        <w:t xml:space="preserve">an increased risk of tensions with the fishing industry, </w:t>
      </w:r>
      <w:r w:rsidR="00D11951" w:rsidRPr="00D11951">
        <w:lastRenderedPageBreak/>
        <w:t>of poorer implementation of management objectives and of postponed recovery of the most exploited stocks (Kraak et al. 2013; ICES 2015b).</w:t>
      </w:r>
      <w:r w:rsidR="007F316B">
        <w:t xml:space="preserve"> An intermediate option is the “Value”</w:t>
      </w:r>
      <w:r w:rsidR="00FA6E4F">
        <w:t xml:space="preserve"> option</w:t>
      </w:r>
      <w:r w:rsidR="007F316B">
        <w:t xml:space="preserve">, a simple scenario accounting for the economic importance of each stock for each fleet, where the effort by fleet is equal to the average of the efforts required to catch the fleet’s stock shares of each of the stocks, weighted by the historical catch value of that stock. </w:t>
      </w:r>
    </w:p>
    <w:p w14:paraId="17F1EF43" w14:textId="169026B9" w:rsidR="001F21AA" w:rsidRDefault="00660447" w:rsidP="00DF5AFC">
      <w:r>
        <w:t xml:space="preserve">But </w:t>
      </w:r>
      <w:r w:rsidR="006029CB">
        <w:t>while the mechanisms creating over</w:t>
      </w:r>
      <w:r w:rsidR="004F322F">
        <w:t>-</w:t>
      </w:r>
      <w:r w:rsidR="006029CB">
        <w:t xml:space="preserve">quota discards are increasingly understood, </w:t>
      </w:r>
      <w:r w:rsidR="00B61132" w:rsidRPr="009163B0">
        <w:t xml:space="preserve">no </w:t>
      </w:r>
      <w:r w:rsidR="00FD2C46" w:rsidRPr="009163B0">
        <w:t>regional</w:t>
      </w:r>
      <w:r w:rsidR="00B61132" w:rsidRPr="009163B0">
        <w:t xml:space="preserve"> </w:t>
      </w:r>
      <w:r w:rsidR="006029CB">
        <w:t xml:space="preserve">management </w:t>
      </w:r>
      <w:r w:rsidR="00B61132" w:rsidRPr="009163B0">
        <w:t xml:space="preserve">solutions </w:t>
      </w:r>
      <w:r w:rsidR="006029CB">
        <w:t>have yet been</w:t>
      </w:r>
      <w:r w:rsidR="00B61132" w:rsidRPr="009163B0">
        <w:t xml:space="preserve"> brought to </w:t>
      </w:r>
      <w:r w:rsidR="00CA718A" w:rsidRPr="009163B0">
        <w:t xml:space="preserve">address </w:t>
      </w:r>
      <w:r w:rsidR="002669C1">
        <w:t>incompatibilities</w:t>
      </w:r>
      <w:r w:rsidR="002669C1" w:rsidRPr="009163B0">
        <w:t xml:space="preserve"> </w:t>
      </w:r>
      <w:r w:rsidR="00CA718A" w:rsidRPr="009163B0">
        <w:t>across single stocks management o</w:t>
      </w:r>
      <w:r w:rsidR="00FD2C46" w:rsidRPr="009163B0">
        <w:t>bjectives</w:t>
      </w:r>
      <w:r w:rsidR="00CA718A" w:rsidRPr="009163B0">
        <w:t>.</w:t>
      </w:r>
      <w:r w:rsidR="00B61132" w:rsidRPr="009163B0">
        <w:t xml:space="preserve"> Rather, </w:t>
      </w:r>
      <w:r w:rsidR="00761F93">
        <w:t>the recent history of the North Sea cod illustrates that a persistent single-stock focus ignoring these mechanisms may fai</w:t>
      </w:r>
      <w:r w:rsidR="00F70559">
        <w:t xml:space="preserve">l </w:t>
      </w:r>
      <w:r w:rsidR="00FA6E4F">
        <w:t xml:space="preserve">in </w:t>
      </w:r>
      <w:r w:rsidR="00F70559">
        <w:t>achieving</w:t>
      </w:r>
      <w:r w:rsidR="00761F93">
        <w:t xml:space="preserve"> management objectives.  A</w:t>
      </w:r>
      <w:r w:rsidR="00345853" w:rsidRPr="009163B0">
        <w:t xml:space="preserve"> </w:t>
      </w:r>
      <w:r w:rsidR="000A4B67">
        <w:t>new</w:t>
      </w:r>
      <w:r w:rsidR="00345853" w:rsidRPr="009163B0">
        <w:t xml:space="preserve"> cod management plan </w:t>
      </w:r>
      <w:r w:rsidR="00A56DA8" w:rsidRPr="009163B0">
        <w:t>was implemented in 2008 (</w:t>
      </w:r>
      <w:r w:rsidR="009222E7" w:rsidRPr="009222E7">
        <w:t>Counci</w:t>
      </w:r>
      <w:r w:rsidR="009222E7">
        <w:t xml:space="preserve">l </w:t>
      </w:r>
      <w:r w:rsidR="009222E7" w:rsidRPr="009222E7">
        <w:t>Regulation</w:t>
      </w:r>
      <w:r w:rsidR="009222E7">
        <w:t xml:space="preserve"> </w:t>
      </w:r>
      <w:r w:rsidR="009222E7" w:rsidRPr="009222E7">
        <w:t>(EC)</w:t>
      </w:r>
      <w:r w:rsidR="009222E7">
        <w:t xml:space="preserve"> </w:t>
      </w:r>
      <w:r w:rsidR="009222E7" w:rsidRPr="009222E7">
        <w:t>No1342/2008</w:t>
      </w:r>
      <w:r w:rsidR="00A56DA8" w:rsidRPr="009163B0">
        <w:t xml:space="preserve">), </w:t>
      </w:r>
      <w:r w:rsidR="00A479A8">
        <w:t>with more stringent TACs</w:t>
      </w:r>
      <w:r w:rsidR="00761F93">
        <w:t xml:space="preserve"> as well as effort reductions</w:t>
      </w:r>
      <w:r w:rsidR="00A479A8">
        <w:t xml:space="preserve">, </w:t>
      </w:r>
      <w:r w:rsidR="00CA718A" w:rsidRPr="009163B0">
        <w:t xml:space="preserve">aiming to </w:t>
      </w:r>
      <w:r w:rsidR="00AB04CF">
        <w:t xml:space="preserve">reduce </w:t>
      </w:r>
      <w:r w:rsidR="008A5AF5">
        <w:t>fishing mortality</w:t>
      </w:r>
      <w:r w:rsidR="00A56DA8" w:rsidRPr="009163B0">
        <w:t xml:space="preserve">. </w:t>
      </w:r>
      <w:r w:rsidR="00CA718A" w:rsidRPr="009163B0">
        <w:t xml:space="preserve">These </w:t>
      </w:r>
      <w:r w:rsidR="00A479A8">
        <w:t xml:space="preserve">stringent </w:t>
      </w:r>
      <w:r w:rsidR="00761F93">
        <w:t>measures</w:t>
      </w:r>
      <w:r w:rsidR="00A479A8" w:rsidRPr="009163B0">
        <w:t xml:space="preserve"> </w:t>
      </w:r>
      <w:r w:rsidR="00E33B3B">
        <w:t xml:space="preserve">however, </w:t>
      </w:r>
      <w:r w:rsidR="008E0D8E" w:rsidRPr="009163B0">
        <w:t xml:space="preserve">did not </w:t>
      </w:r>
      <w:r w:rsidR="00A479A8">
        <w:t>reduce fishing mortality</w:t>
      </w:r>
      <w:r w:rsidR="008E0D8E" w:rsidRPr="009163B0">
        <w:t xml:space="preserve"> during the first years of implementation </w:t>
      </w:r>
      <w:r w:rsidR="00017DA4">
        <w:fldChar w:fldCharType="begin" w:fldLock="1"/>
      </w:r>
      <w:r w:rsidR="00873E7A">
        <w:instrText>ADDIN CSL_CITATION { "citationItems" : [ { "id" : "ITEM-1", "itemData" : { "DOI" : "10.1016/j.marpol.2012.05.002", "ISBN" : "0308597X", "ISSN" : "0308597X", "abstract" : "The performance of the EU long-term management plan for cod stocks, in force since 2009, is analysed focusing on the human and institutional factors. The plan operates through landings quotas (TACs) and effort restrictions following a Harvest Control Rule, and deploys a novel instrument allowing Member States to 'buy back' or increase fishing effort for fleet segments engaged in cod-avoidance measures. The stipulated fishing mortality reductions have not been achieved. On the positive side, the 'buy-back' instrument has led to increased uptake of selective gear and implementation of permanent and real-time temporary closures. On the negative side, ignoring the dimension of fishers as reactive agents in the design, the impact assessment, and the annual implementation of the measures has contributed to the failure to adequately implement the plan and achieve its objectives. The main problem is that the landings quotas taken in a mixed fishery did not limit catches because fishers were incentivised to continue fishing and discard overquota catch while quota for other species was available. The effort limitations intended to reduce this effect were insufficient to adequately limit fishing mortality in targeted fisheries, although fishers experienced them as prohibiting the full uptake of other quotas. Recommendations for future plans include (i) management through catch rather than landings quotas, (ii) the internalisation of the costs of exceeding quotas, (iii) use of more selective gear types, (iv) the development of appropriate metrics as a basis for regulatory measures and for evaluations, (v) participatory governance, (vi) fishery-based management, (vii) flexibility in fishing strategy at vessel level. \u00a9 2012 Elsevier Ltd.", "author" : [ { "dropping-particle" : "", "family" : "Kraak", "given" : "Sarah B M", "non-dropping-particle" : "", "parse-names" : false, "suffix" : "" }, { "dropping-particle" : "", "family" : "Bailey", "given" : "Nick", "non-dropping-particle" : "", "parse-names" : false, "suffix" : "" }, { "dropping-particle" : "", "family" : "Cardinale", "given" : "Massimiliano", "non-dropping-particle" : "", "parse-names" : false, "suffix" : "" }, { "dropping-particle" : "", "family" : "Darby", "given" : "Chris", "non-dropping-particle" : "", "parse-names" : false, "suffix" : "" }, { "dropping-particle" : "", "family" : "Oliveira", "given" : "Jos\u00e9 A. A.", "non-dropping-particle" : "De", "parse-names" : false, "suffix" : "" }, { "dropping-particle" : "", "family" : "Eero", "given" : "Margit", "non-dropping-particle" : "", "parse-names" : false, "suffix" : "" }, { "dropping-particle" : "", "family" : "Graham", "given" : "Norman", "non-dropping-particle" : "", "parse-names" : false, "suffix" : "" }, { "dropping-particle" : "", "family" : "Holmes", "given" : "Steven J.", "non-dropping-particle" : "", "parse-names" : false, "suffix" : "" }, { "dropping-particle" : "", "family" : "Jakobsen", "given" : "Tore", "non-dropping-particle" : "", "parse-names" : false, "suffix" : "" }, { "dropping-particle" : "", "family" : "Kempf", "given" : "Alexander", "non-dropping-particle" : "", "parse-names" : false, "suffix" : "" }, { "dropping-particle" : "", "family" : "Kirkegaard", "given" : "Eskild", "non-dropping-particle" : "", "parse-names" : false, "suffix" : "" }, { "dropping-particle" : "", "family" : "Powell", "given" : "John", "non-dropping-particle" : "", "parse-names" : false, "suffix" : "" }, { "dropping-particle" : "", "family" : "Scott", "given" : "Robert D.", "non-dropping-particle" : "", "parse-names" : false, "suffix" : "" }, { "dropping-particle" : "", "family" : "Simmonds", "given" : "E. John", "non-dropping-particle" : "", "parse-names" : false, "suffix" : "" }, { "dropping-particle" : "", "family" : "Ulrich", "given" : "Clara", "non-dropping-particle" : "", "parse-names" : false, "suffix" : "" }, { "dropping-particle" : "", "family" : "Vanhee", "given" : "Willy", "non-dropping-particle" : "", "parse-names" : false, "suffix" : "" }, { "dropping-particle" : "", "family" : "Vinther", "given" : "Morten", "non-dropping-particle" : "", "parse-names" : false, "suffix" : "" } ], "container-title" : "Marine Policy", "id" : "ITEM-1", "issue" : "1", "issued" : { "date-parts" : [ [ "2013" ] ] }, "page" : "200-213", "title" : "Lessons for fisheries management from the EU cod recovery plan", "type" : "article-journal", "volume" : "37" }, "uris" : [ "http://www.mendeley.com/documents/?uuid=f2374065-ec13-480c-a019-e1d6fec34c61" ] } ], "mendeley" : { "formattedCitation" : "(Kraak et al., 2013)", "plainTextFormattedCitation" : "(Kraak et al., 2013)", "previouslyFormattedCitation" : "(Kraak et al. 2013)" }, "properties" : { "noteIndex" : 0 }, "schema" : "https://github.com/citation-style-language/schema/raw/master/csl-citation.json" }</w:instrText>
      </w:r>
      <w:r w:rsidR="00017DA4">
        <w:fldChar w:fldCharType="separate"/>
      </w:r>
      <w:r w:rsidR="00873E7A" w:rsidRPr="00873E7A">
        <w:rPr>
          <w:noProof/>
        </w:rPr>
        <w:t>(Kraak et al., 2013)</w:t>
      </w:r>
      <w:r w:rsidR="00017DA4">
        <w:fldChar w:fldCharType="end"/>
      </w:r>
      <w:r w:rsidR="00FD2C46" w:rsidRPr="009163B0">
        <w:t xml:space="preserve">. </w:t>
      </w:r>
      <w:r w:rsidR="00A479A8">
        <w:t>T</w:t>
      </w:r>
      <w:r>
        <w:t xml:space="preserve">he fishing industry </w:t>
      </w:r>
      <w:r w:rsidR="00756EF5">
        <w:t xml:space="preserve">strongly </w:t>
      </w:r>
      <w:r>
        <w:t>opposed effort reductions</w:t>
      </w:r>
      <w:r w:rsidR="00756EF5">
        <w:t>, and</w:t>
      </w:r>
      <w:r>
        <w:t xml:space="preserve"> </w:t>
      </w:r>
      <w:r w:rsidR="00E75EE0">
        <w:t>discard mortality remained high.</w:t>
      </w:r>
      <w:r w:rsidR="00756EF5">
        <w:t xml:space="preserve"> </w:t>
      </w:r>
      <w:r w:rsidR="004F3C0D">
        <w:t>I</w:t>
      </w:r>
      <w:r w:rsidR="001F21AA">
        <w:t>n 2012</w:t>
      </w:r>
      <w:r w:rsidR="00756EF5">
        <w:t xml:space="preserve"> the </w:t>
      </w:r>
      <w:r w:rsidR="006029CB">
        <w:t xml:space="preserve">North Sea </w:t>
      </w:r>
      <w:r w:rsidR="00756EF5">
        <w:t xml:space="preserve">cod stock </w:t>
      </w:r>
      <w:r w:rsidR="000A4B67">
        <w:t xml:space="preserve">did </w:t>
      </w:r>
      <w:r w:rsidR="00756EF5">
        <w:t xml:space="preserve">start showing signs of recovery, </w:t>
      </w:r>
      <w:r w:rsidR="000A4B67">
        <w:t xml:space="preserve">but this </w:t>
      </w:r>
      <w:r w:rsidR="009222E7">
        <w:t>le</w:t>
      </w:r>
      <w:r w:rsidR="00756EF5">
        <w:t xml:space="preserve">d to a situation where </w:t>
      </w:r>
      <w:r w:rsidR="006029CB">
        <w:t xml:space="preserve">stock </w:t>
      </w:r>
      <w:r w:rsidR="00756EF5">
        <w:t xml:space="preserve">biomass </w:t>
      </w:r>
      <w:r w:rsidR="00F70559">
        <w:t>and catch rates were</w:t>
      </w:r>
      <w:r w:rsidR="006029CB">
        <w:t xml:space="preserve"> </w:t>
      </w:r>
      <w:r w:rsidR="00756EF5">
        <w:t>increas</w:t>
      </w:r>
      <w:r w:rsidR="006029CB">
        <w:t>ing</w:t>
      </w:r>
      <w:r w:rsidR="00756EF5">
        <w:t xml:space="preserve"> while the </w:t>
      </w:r>
      <w:r w:rsidR="006029CB">
        <w:t xml:space="preserve">legally binding </w:t>
      </w:r>
      <w:r w:rsidR="00756EF5">
        <w:t>HCR still called for further TAC</w:t>
      </w:r>
      <w:r w:rsidR="00F70559">
        <w:t xml:space="preserve"> and effort</w:t>
      </w:r>
      <w:r w:rsidR="00756EF5">
        <w:t xml:space="preserve"> reductions</w:t>
      </w:r>
      <w:r w:rsidR="00A479A8">
        <w:t xml:space="preserve">. As a result, </w:t>
      </w:r>
      <w:r w:rsidR="008E0D8E" w:rsidRPr="009163B0">
        <w:t xml:space="preserve">the </w:t>
      </w:r>
      <w:r w:rsidR="006029CB">
        <w:t xml:space="preserve">annual </w:t>
      </w:r>
      <w:r w:rsidR="001F21AA">
        <w:t>HCR</w:t>
      </w:r>
      <w:r w:rsidR="008E0D8E" w:rsidRPr="009163B0">
        <w:t xml:space="preserve"> </w:t>
      </w:r>
      <w:r w:rsidR="006029CB">
        <w:t xml:space="preserve">advice </w:t>
      </w:r>
      <w:r w:rsidR="00A16BC0">
        <w:t>was</w:t>
      </w:r>
      <w:r w:rsidR="006029CB">
        <w:t xml:space="preserve"> rejected after long and conflictual negotiations</w:t>
      </w:r>
      <w:r w:rsidR="00A479A8">
        <w:t xml:space="preserve"> between 2013 and 2015</w:t>
      </w:r>
      <w:r w:rsidR="008E0D8E" w:rsidRPr="009163B0">
        <w:t>. In the meantime, NGOs and the civil society express</w:t>
      </w:r>
      <w:r w:rsidR="001F21AA">
        <w:t>ed increasing</w:t>
      </w:r>
      <w:r w:rsidR="008E0D8E" w:rsidRPr="009163B0">
        <w:t xml:space="preserve"> concerns about the high </w:t>
      </w:r>
      <w:r w:rsidR="00CE2B8E">
        <w:t xml:space="preserve">quota-induced </w:t>
      </w:r>
      <w:r w:rsidR="008E0D8E" w:rsidRPr="009163B0">
        <w:t xml:space="preserve">discards and the </w:t>
      </w:r>
      <w:r w:rsidR="000A4B67">
        <w:t>insufficient</w:t>
      </w:r>
      <w:r w:rsidR="008E0D8E" w:rsidRPr="009163B0">
        <w:t xml:space="preserve"> rec</w:t>
      </w:r>
      <w:r w:rsidR="001B0F1B" w:rsidRPr="009163B0">
        <w:t>overy of the cod stock</w:t>
      </w:r>
      <w:r w:rsidR="00017DA4">
        <w:t xml:space="preserve"> </w:t>
      </w:r>
      <w:r w:rsidR="00017DA4">
        <w:fldChar w:fldCharType="begin" w:fldLock="1"/>
      </w:r>
      <w:r w:rsidR="00873E7A">
        <w:instrText>ADDIN CSL_CITATION { "citationItems" : [ { "id" : "ITEM-1", "itemData" : { "DOI" : "10.1111/faf.12062", "ISBN" : "1467-2979", "ISSN" : "14672960", "abstract" : "Ocean sustainability is a widespread public concern in Europe, and the issue of fisher- ies discards is one that is now widely known. With this increase in public awareness comes the need to adapt fisheries management policies to manage issues like fisheries discards that were not previously taken into account. In this context, this study analyses the evolution of the European Union\u2019s discard policy since its inception in 2006 until the present day and the events that shaped its current format. It analyses the policy\u2019s advantages and disadvantages, and its political, environmental and scien- tific consequences. It argues that an increase in public awareness, due to public cam- paigns against fisheries discards, has focused managers\u2019 attention onto a symptom of fisheries mismanagement, rather than on its underlying causes of over-exploitation and lack of fisheries control. This has distorted the discussion of the reform of the Com- mon Fisheries Policy and potentially undermined its provisions relating to discards.", "author" : [ { "dropping-particle" : "", "family" : "Borges", "given" : "Lisa", "non-dropping-particle" : "", "parse-names" : false, "suffix" : "" } ], "container-title" : "Fish and Fisheries", "id" : "ITEM-1", "issued" : { "date-parts" : [ [ "2013" ] ] }, "page" : "1-7", "title" : "The evolution of a discard policy in Europe", "type" : "article-journal" }, "uris" : [ "http://www.mendeley.com/documents/?uuid=3d16f6f5-0e8a-4ce6-b9bd-6748bc832952" ] } ], "mendeley" : { "formattedCitation" : "(Borges, 2013)", "plainTextFormattedCitation" : "(Borges, 2013)", "previouslyFormattedCitation" : "(Borges 2013)" }, "properties" : { "noteIndex" : 0 }, "schema" : "https://github.com/citation-style-language/schema/raw/master/csl-citation.json" }</w:instrText>
      </w:r>
      <w:r w:rsidR="00017DA4">
        <w:fldChar w:fldCharType="separate"/>
      </w:r>
      <w:r w:rsidR="00873E7A" w:rsidRPr="00873E7A">
        <w:rPr>
          <w:noProof/>
        </w:rPr>
        <w:t>(Borges, 2013)</w:t>
      </w:r>
      <w:r w:rsidR="00017DA4">
        <w:fldChar w:fldCharType="end"/>
      </w:r>
      <w:r w:rsidR="001B0F1B" w:rsidRPr="009163B0">
        <w:t xml:space="preserve">. </w:t>
      </w:r>
    </w:p>
    <w:p w14:paraId="3774AC9D" w14:textId="151CC90F" w:rsidR="00E0162B" w:rsidRDefault="001B0F1B" w:rsidP="00DF5AFC">
      <w:r w:rsidRPr="009163B0">
        <w:t xml:space="preserve">This </w:t>
      </w:r>
      <w:r w:rsidR="008E0D8E" w:rsidRPr="009163B0">
        <w:t xml:space="preserve">situation in the North Sea </w:t>
      </w:r>
      <w:r w:rsidRPr="009163B0">
        <w:t xml:space="preserve">mixed </w:t>
      </w:r>
      <w:r w:rsidR="00CA718A" w:rsidRPr="009163B0">
        <w:t xml:space="preserve">demersal fisheries </w:t>
      </w:r>
      <w:r w:rsidR="008E0D8E" w:rsidRPr="009163B0">
        <w:t xml:space="preserve">influenced significantly the </w:t>
      </w:r>
      <w:r w:rsidR="00F800DB" w:rsidRPr="009163B0">
        <w:t xml:space="preserve">outcomes of the 2013 </w:t>
      </w:r>
      <w:r w:rsidR="001F21AA">
        <w:t xml:space="preserve">reform of the CFP </w:t>
      </w:r>
      <w:r w:rsidR="00CC005A">
        <w:fldChar w:fldCharType="begin" w:fldLock="1"/>
      </w:r>
      <w:r w:rsidR="00873E7A">
        <w:instrText>ADDIN CSL_CITATION { "citationItems" : [ { "id" : "ITEM-1", "itemData" : { "abstract" : "on the Common Fisheries Policy, amending Council Regulations (EC) No 1954/2003 and (EC) No 1224/2009 and repealing Council Regulations (EC) No 2371/2002 and (EC) No 639/2004 and Council Decision 2004/585/EC", "author" : [ { "dropping-particle" : "", "family" : "EU", "given" : "", "non-dropping-particle" : "", "parse-names" : false, "suffix" : "" } ], "container-title" : "Official Journal of the European Union", "id" : "ITEM-1", "issue" : "28.12.2013", "issued" : { "date-parts" : [ [ "2013" ] ] }, "page" : "22-61", "title" : "REGULATION (EU) No 1380/2013 OF THE EUROPEAN PARLIAMENT AND OF THE COUNCIL of 11 December 2013, on the Common Fisheries Policy, amending Council Regulations (EC) No 1954/2003 and (EC) No 1224/2009 and repealing Council Regulations (EC) No 2371/2002 and (E", "type" : "article-journal", "volume" : "L354" }, "uris" : [ "http://www.mendeley.com/documents/?uuid=aa45bb69-4a70-4dee-8fea-422f1513654a" ] } ], "mendeley" : { "formattedCitation" : "(EU, 2013)", "plainTextFormattedCitation" : "(EU, 2013)", "previouslyFormattedCitation" : "(EU 2013)" }, "properties" : { "noteIndex" : 0 }, "schema" : "https://github.com/citation-style-language/schema/raw/master/csl-citation.json" }</w:instrText>
      </w:r>
      <w:r w:rsidR="00CC005A">
        <w:fldChar w:fldCharType="separate"/>
      </w:r>
      <w:r w:rsidR="00873E7A" w:rsidRPr="00873E7A">
        <w:rPr>
          <w:noProof/>
        </w:rPr>
        <w:t>(EU, 2013)</w:t>
      </w:r>
      <w:r w:rsidR="00CC005A">
        <w:fldChar w:fldCharType="end"/>
      </w:r>
      <w:r w:rsidR="00CA718A" w:rsidRPr="009163B0">
        <w:t xml:space="preserve">, </w:t>
      </w:r>
      <w:r w:rsidRPr="009163B0">
        <w:t xml:space="preserve">calling </w:t>
      </w:r>
      <w:r w:rsidR="00CA718A" w:rsidRPr="009163B0">
        <w:t xml:space="preserve">for a more integrated and ecosystem-based </w:t>
      </w:r>
      <w:r w:rsidR="00FD2C46" w:rsidRPr="009163B0">
        <w:t>approach to mana</w:t>
      </w:r>
      <w:r w:rsidRPr="009163B0">
        <w:t>gement plans and</w:t>
      </w:r>
      <w:r w:rsidR="00FD2C46" w:rsidRPr="009163B0">
        <w:t xml:space="preserve"> for the end</w:t>
      </w:r>
      <w:r w:rsidRPr="009163B0">
        <w:t>ing</w:t>
      </w:r>
      <w:r w:rsidR="00FD2C46" w:rsidRPr="009163B0">
        <w:t xml:space="preserve"> of discarding practices</w:t>
      </w:r>
      <w:r w:rsidR="00593848">
        <w:t xml:space="preserve"> under</w:t>
      </w:r>
      <w:r w:rsidR="006A4755">
        <w:t xml:space="preserve"> the </w:t>
      </w:r>
      <w:r w:rsidR="00593848">
        <w:t xml:space="preserve">so called </w:t>
      </w:r>
      <w:r w:rsidR="006A4755">
        <w:t>landings obligation</w:t>
      </w:r>
      <w:r w:rsidR="00593848">
        <w:t xml:space="preserve"> (LO</w:t>
      </w:r>
      <w:r w:rsidR="006A4755">
        <w:t>)</w:t>
      </w:r>
      <w:r w:rsidRPr="009163B0">
        <w:t xml:space="preserve">. The reform </w:t>
      </w:r>
      <w:r w:rsidR="00C738DD" w:rsidRPr="009163B0">
        <w:t>has</w:t>
      </w:r>
      <w:r w:rsidR="00050FD9" w:rsidRPr="009163B0">
        <w:t xml:space="preserve"> </w:t>
      </w:r>
      <w:r w:rsidR="00C738DD" w:rsidRPr="009163B0">
        <w:t>established new objectives for sustainable fisheries, including the objective of</w:t>
      </w:r>
      <w:r w:rsidR="00050FD9" w:rsidRPr="009163B0">
        <w:t xml:space="preserve"> </w:t>
      </w:r>
      <w:r w:rsidR="00C738DD" w:rsidRPr="009163B0">
        <w:t>achieving an exploitation rate consistent with</w:t>
      </w:r>
      <w:r w:rsidR="00F70559">
        <w:t xml:space="preserve"> Maximum Sustainable Yield</w:t>
      </w:r>
      <w:r w:rsidRPr="009163B0">
        <w:t xml:space="preserve"> (F</w:t>
      </w:r>
      <w:r w:rsidR="00521B61" w:rsidRPr="00521B61">
        <w:rPr>
          <w:vertAlign w:val="subscript"/>
        </w:rPr>
        <w:t>MSY</w:t>
      </w:r>
      <w:r w:rsidRPr="009163B0">
        <w:t>)</w:t>
      </w:r>
      <w:r w:rsidR="00C738DD" w:rsidRPr="009163B0">
        <w:t xml:space="preserve"> at the latest by 2020 for all stocks.</w:t>
      </w:r>
      <w:r w:rsidR="00050FD9" w:rsidRPr="009163B0">
        <w:t xml:space="preserve"> </w:t>
      </w:r>
      <w:r w:rsidR="00C738DD" w:rsidRPr="009163B0">
        <w:t xml:space="preserve">The CFP foresees the adoption of management measures in the context of </w:t>
      </w:r>
      <w:r w:rsidRPr="009163B0">
        <w:t xml:space="preserve">regional </w:t>
      </w:r>
      <w:r w:rsidR="00A53034">
        <w:t>multi-annual plans.</w:t>
      </w:r>
      <w:r w:rsidR="00265174">
        <w:t xml:space="preserve"> T</w:t>
      </w:r>
      <w:r w:rsidR="00303FBE">
        <w:t xml:space="preserve">he three elements of the CFP (the </w:t>
      </w:r>
      <w:r w:rsidR="00A479A8">
        <w:t xml:space="preserve">landings obligation, </w:t>
      </w:r>
      <w:r w:rsidR="00303FBE">
        <w:t xml:space="preserve">the </w:t>
      </w:r>
      <w:r w:rsidR="00DA1C73">
        <w:t>requirement for</w:t>
      </w:r>
      <w:r w:rsidR="00303FBE">
        <w:t xml:space="preserve"> achievement of MSY by 2020, and the mixed-fisheries management plans) </w:t>
      </w:r>
      <w:r w:rsidR="00F2512F">
        <w:t xml:space="preserve">may </w:t>
      </w:r>
      <w:r w:rsidR="00303FBE">
        <w:t xml:space="preserve">seem inconsistent, or even </w:t>
      </w:r>
      <w:r w:rsidR="00DA1C73">
        <w:t>contradictory</w:t>
      </w:r>
      <w:r w:rsidR="00303FBE">
        <w:t xml:space="preserve"> if the </w:t>
      </w:r>
      <w:r w:rsidR="00832902">
        <w:t>mixed-</w:t>
      </w:r>
      <w:r w:rsidR="00303FBE">
        <w:t xml:space="preserve">fisheries are highly dependent </w:t>
      </w:r>
      <w:r w:rsidR="00303FBE">
        <w:lastRenderedPageBreak/>
        <w:t>on an overexploited stock with low productivity, as has long been the</w:t>
      </w:r>
      <w:r w:rsidR="00DA1C73">
        <w:t xml:space="preserve"> case with the</w:t>
      </w:r>
      <w:r w:rsidR="00303FBE">
        <w:t xml:space="preserve"> North S</w:t>
      </w:r>
      <w:r w:rsidR="00832902">
        <w:t xml:space="preserve">ea cod stock. In such cases, it seems unlikely to achieve all </w:t>
      </w:r>
      <w:r w:rsidR="006A4755">
        <w:t xml:space="preserve">these </w:t>
      </w:r>
      <w:r w:rsidR="00832902">
        <w:t>objectives within five years without immediate effort reductions</w:t>
      </w:r>
      <w:r w:rsidR="006A4755">
        <w:t xml:space="preserve"> and/or major changes in the current fishing practices</w:t>
      </w:r>
      <w:r w:rsidR="00832902">
        <w:t xml:space="preserve">. </w:t>
      </w:r>
      <w:r w:rsidR="00891AD4">
        <w:t xml:space="preserve">Recognising this fundamental mixed-fisheries issue, new approaches have emerged out of intense political, institutional and scientific activity </w:t>
      </w:r>
      <w:r w:rsidR="00891AD4">
        <w:fldChar w:fldCharType="begin" w:fldLock="1"/>
      </w:r>
      <w:r w:rsidR="00873E7A">
        <w:instrText>ADDIN CSL_CITATION { "citationItems" : [ { "id" : "ITEM-1", "itemData" : { "author" : [ { "dropping-particle" : "", "family" : "Kempf", "given" : "Alexander", "non-dropping-particle" : "", "parse-names" : false, "suffix" : "" }, { "dropping-particle" : "", "family" : "Mumford", "given" : "John", "non-dropping-particle" : "", "parse-names" : false, "suffix" : "" }, { "dropping-particle" : "", "family" : "Polina", "given" : "Levontin", "non-dropping-particle" : "", "parse-names" : false, "suffix" : "" }, { "dropping-particle" : "", "family" : "Adrian", "given" : "Leach", "non-dropping-particle" : "", "parse-names" : false, "suffix" : "" }, { "dropping-particle" : "", "family" : "Ayoe", "given" : "Hoff", "non-dropping-particle" : "", "parse-names" : false, "suffix" : "" }, { "dropping-particle" : "", "family" : "Hamon", "given" : "K. G.", "non-dropping-particle" : "", "parse-names" : false, "suffix" : "" }, { "dropping-particle" : "", "family" : "Bartelings", "given" : "Heleen", "non-dropping-particle" : "", "parse-names" : false, "suffix" : "" }, { "dropping-particle" : "", "family" : "Vinther", "given" : "Morten", "non-dropping-particle" : "", "parse-names" : false, "suffix" : "" }, { "dropping-particle" : "", "family" : "Staebler", "given" : "Moritz", "non-dropping-particle" : "", "parse-names" : false, "suffix" : "" }, { "dropping-particle" : "", "family" : "Poos", "given" : "Jan Jaap", "non-dropping-particle" : "", "parse-names" : false, "suffix" : "" }, { "dropping-particle" : "", "family" : "Smout", "given" : "Sophie", "non-dropping-particle" : "", "parse-names" : false, "suffix" : "" }, { "dropping-particle" : "", "family" : "Frost", "given" : "Hans", "non-dropping-particle" : "", "parse-names" : false, "suffix" : "" }, { "dropping-particle" : "", "family" : "Burg", "given" : "Sander", "non-dropping-particle" : "van den", "parse-names" : false, "suffix" : "" }, { "dropping-particle" : "", "family" : "Ulrich", "given" : "Clara", "non-dropping-particle" : "", "parse-names" : false, "suffix" : "" }, { "dropping-particle" : "", "family" : "Rindorf", "given" : "Anna", "non-dropping-particle" : "", "parse-names" : false, "suffix" : "" } ], "container-title" : "Marine Policy", "id" : "ITEM-1", "issued" : { "date-parts" : [ [ "0" ] ] }, "title" : "The MSY concept in a multi-objective fisheries environment \u2013 lessons learned from the North Sea", "type" : "article-journal", "volume" : "submitted" }, "uris" : [ "http://www.mendeley.com/documents/?uuid=b4700855-51c6-4598-9b37-e0427364f4b4" ] } ], "mendeley" : { "formattedCitation" : "(Kempf et al., n.d.)", "plainTextFormattedCitation" : "(Kempf et al., n.d.)", "previouslyFormattedCitation" : "(Kempf et al. n.d.)" }, "properties" : { "noteIndex" : 0 }, "schema" : "https://github.com/citation-style-language/schema/raw/master/csl-citation.json" }</w:instrText>
      </w:r>
      <w:r w:rsidR="00891AD4">
        <w:fldChar w:fldCharType="separate"/>
      </w:r>
      <w:r w:rsidR="00873E7A" w:rsidRPr="00873E7A">
        <w:rPr>
          <w:noProof/>
        </w:rPr>
        <w:t>(Kempf et al., n.d.)</w:t>
      </w:r>
      <w:r w:rsidR="00891AD4">
        <w:fldChar w:fldCharType="end"/>
      </w:r>
      <w:r w:rsidR="00891AD4">
        <w:t>. A</w:t>
      </w:r>
      <w:r w:rsidR="00891AD4" w:rsidRPr="009163B0">
        <w:t xml:space="preserve"> task force </w:t>
      </w:r>
      <w:r w:rsidR="00891AD4">
        <w:fldChar w:fldCharType="begin" w:fldLock="1"/>
      </w:r>
      <w:r w:rsidR="00873E7A">
        <w:instrText>ADDIN CSL_CITATION { "citationItems" : [ { "id" : "ITEM-1", "itemData" : { "author" : [ { "dropping-particle" : "", "family" : "EU", "given" : "", "non-dropping-particle" : "", "parse-names" : false, "suffix" : "" } ], "id" : "ITEM-1", "issued" : { "date-parts" : [ [ "2014" ] ] }, "number-of-pages" : "14", "title" : "Task Force on multiannual plans. Final report April 2014", "type" : "report" }, "uris" : [ "http://www.mendeley.com/documents/?uuid=0ee53cba-f13a-4b98-80bc-0413bc968707" ] } ], "mendeley" : { "formattedCitation" : "(EU, 2014)", "plainTextFormattedCitation" : "(EU, 2014)", "previouslyFormattedCitation" : "(EU 2014)" }, "properties" : { "noteIndex" : 0 }, "schema" : "https://github.com/citation-style-language/schema/raw/master/csl-citation.json" }</w:instrText>
      </w:r>
      <w:r w:rsidR="00891AD4">
        <w:fldChar w:fldCharType="separate"/>
      </w:r>
      <w:r w:rsidR="00873E7A" w:rsidRPr="00873E7A">
        <w:rPr>
          <w:noProof/>
        </w:rPr>
        <w:t>(EU, 2014)</w:t>
      </w:r>
      <w:r w:rsidR="00891AD4">
        <w:fldChar w:fldCharType="end"/>
      </w:r>
      <w:r w:rsidR="00891AD4">
        <w:t xml:space="preserve"> </w:t>
      </w:r>
      <w:r w:rsidR="00891AD4" w:rsidRPr="009163B0">
        <w:t>comprising the three main EU Institutions (EU Commission, EU Parliament and EU Council of Fisheries Ministers</w:t>
      </w:r>
      <w:r w:rsidR="00891AD4">
        <w:t>)</w:t>
      </w:r>
      <w:r w:rsidR="00891AD4" w:rsidRPr="00891AD4">
        <w:t xml:space="preserve"> </w:t>
      </w:r>
      <w:r w:rsidR="00891AD4">
        <w:t>suggested to use F</w:t>
      </w:r>
      <w:r w:rsidR="00521B61" w:rsidRPr="00521B61">
        <w:rPr>
          <w:vertAlign w:val="subscript"/>
        </w:rPr>
        <w:t>MSY</w:t>
      </w:r>
      <w:r w:rsidR="00891AD4">
        <w:t xml:space="preserve"> ranges </w:t>
      </w:r>
      <w:r w:rsidR="00554CFA">
        <w:t xml:space="preserve">as flexible targets for the regional management plans </w:t>
      </w:r>
      <w:r w:rsidR="00891AD4">
        <w:t xml:space="preserve">rather than prescriptive </w:t>
      </w:r>
      <w:r w:rsidR="00554CFA">
        <w:t>HCR</w:t>
      </w:r>
      <w:r w:rsidR="00437567">
        <w:t>s</w:t>
      </w:r>
      <w:r w:rsidR="00554CFA">
        <w:t xml:space="preserve"> </w:t>
      </w:r>
      <w:r w:rsidR="00891AD4">
        <w:fldChar w:fldCharType="begin" w:fldLock="1"/>
      </w:r>
      <w:r w:rsidR="00873E7A">
        <w:instrText>ADDIN CSL_CITATION { "citationItems" : [ { "id" : "ITEM-1", "itemData" : { "DOI" : "EUR 27232 EN, JRC 95959", "author" : [ { "dropping-particle" : "", "family" : "Scientific Technical and Economic Committee for Fisheries (STECF)", "given" : "", "non-dropping-particle" : "", "parse-names" : false, "suffix" : "" } ], "id" : "ITEM-1", "issued" : { "date-parts" : [ [ "2015" ] ] }, "number-of-pages" : "152 pp", "publisher-place" : "Luxembourg: Publications Office of the European Union", "title" : "Evaluation of management plans: Evaluation of the multi-annual plan for the North Sea demersal stocks (STECF-15-04)", "type" : "report" }, "uris" : [ "http://www.mendeley.com/documents/?uuid=47258b2e-dedf-4b9d-bc89-e81ac8d644dd" ] } ], "mendeley" : { "formattedCitation" : "(Scientific Technical and Economic Committee for Fisheries (STECF), 2015a)", "manualFormatting" : "(STECF 2015a)", "plainTextFormattedCitation" : "(Scientific Technical and Economic Committee for Fisheries (STECF), 2015a)", "previouslyFormattedCitation" : "(Scientific Technical and Economic Committee for Fisheries (STECF) 2015a)" }, "properties" : { "noteIndex" : 0 }, "schema" : "https://github.com/citation-style-language/schema/raw/master/csl-citation.json" }</w:instrText>
      </w:r>
      <w:r w:rsidR="00891AD4">
        <w:fldChar w:fldCharType="separate"/>
      </w:r>
      <w:r w:rsidR="00891AD4" w:rsidRPr="00F2512F">
        <w:rPr>
          <w:noProof/>
        </w:rPr>
        <w:t>(STECF 2015a)</w:t>
      </w:r>
      <w:r w:rsidR="00891AD4">
        <w:fldChar w:fldCharType="end"/>
      </w:r>
      <w:r w:rsidR="00A53034">
        <w:t xml:space="preserve">, thus considering </w:t>
      </w:r>
      <w:r w:rsidR="00891AD4" w:rsidRPr="009163B0">
        <w:t xml:space="preserve">MSY </w:t>
      </w:r>
      <w:r w:rsidR="00891AD4">
        <w:t xml:space="preserve">as a </w:t>
      </w:r>
      <w:r w:rsidR="00891AD4" w:rsidRPr="009163B0">
        <w:t>desirable multi-dimensional area</w:t>
      </w:r>
      <w:r w:rsidR="00891AD4">
        <w:t xml:space="preserve"> rather than a point estimate. </w:t>
      </w:r>
      <w:r w:rsidR="00A53034">
        <w:t xml:space="preserve">The International Council for the Exploration of the Sea </w:t>
      </w:r>
      <w:r w:rsidR="00A53034">
        <w:fldChar w:fldCharType="begin" w:fldLock="1"/>
      </w:r>
      <w:r w:rsidR="00873E7A">
        <w:instrText>ADDIN CSL_CITATION { "citationItems" : [ { "id" : "ITEM-1", "itemData" : { "author" : [ { "dropping-particle" : "", "family" : "ICES", "given" : "", "non-dropping-particle" : "", "parse-names" : false, "suffix" : "" } ], "chapter-number" : "6.2.3.1", "container-title" : "ICES Advice 2015, Book 6", "id" : "ITEM-1", "issued" : { "date-parts" : [ [ "2015" ] ] }, "page" : "11 pp", "title" : "EU request to ICES to provide FMSY ranges for selected North Sea and Baltic Sea stocks", "type" : "chapter" }, "uris" : [ "http://www.mendeley.com/documents/?uuid=ae0bd13c-71f1-490b-9ac5-2788508df8fb" ] } ], "mendeley" : { "formattedCitation" : "(ICES, 2015b)", "plainTextFormattedCitation" : "(ICES, 2015b)", "previouslyFormattedCitation" : "(ICES 2015b)" }, "properties" : { "noteIndex" : 0 }, "schema" : "https://github.com/citation-style-language/schema/raw/master/csl-citation.json" }</w:instrText>
      </w:r>
      <w:r w:rsidR="00A53034">
        <w:fldChar w:fldCharType="separate"/>
      </w:r>
      <w:r w:rsidR="00873E7A" w:rsidRPr="00873E7A">
        <w:rPr>
          <w:noProof/>
        </w:rPr>
        <w:t>(ICES, 2015b)</w:t>
      </w:r>
      <w:r w:rsidR="00A53034">
        <w:fldChar w:fldCharType="end"/>
      </w:r>
      <w:r w:rsidR="00A53034">
        <w:t xml:space="preserve"> was </w:t>
      </w:r>
      <w:r w:rsidR="00265174">
        <w:t xml:space="preserve">then </w:t>
      </w:r>
      <w:r w:rsidR="00A53034">
        <w:t>requested to provide precautionary estimates of single-stock F</w:t>
      </w:r>
      <w:r w:rsidR="00521B61" w:rsidRPr="00521B61">
        <w:rPr>
          <w:vertAlign w:val="subscript"/>
        </w:rPr>
        <w:t>MSY</w:t>
      </w:r>
      <w:r w:rsidR="00A53034">
        <w:t xml:space="preserve"> delivering at least 95% of the </w:t>
      </w:r>
      <w:r w:rsidR="00554CFA">
        <w:t>maximum yield, an</w:t>
      </w:r>
      <w:r w:rsidR="00A53034">
        <w:t xml:space="preserve"> approach referred to as Pretty Good Yield (PGY, </w:t>
      </w:r>
      <w:r w:rsidR="00A53034">
        <w:fldChar w:fldCharType="begin" w:fldLock="1"/>
      </w:r>
      <w:r w:rsidR="00873E7A">
        <w:instrText>ADDIN CSL_CITATION { "citationItems" : [ { "id" : "ITEM-1", "itemData" : { "DOI" : "10.1016/j.marpol.2009.04.013", "ISSN" : "0308597X", "abstract" : "While much of traditional fisheries theory has concentrated on maximum or optimum yield, the reality of fisheries management is that biomass yield is only one of the several indicators of fisheries performance, and desired outcomes generally only need to provide something near the maximum possible yield. A range of policies are explored to find those that produce \u201cPretty Good Yield\u201d defined as sustainable yield at least 80% of the maximum sustainable yield. Such yields are generally obtained over a broad range of stock sizes (20\u201350% of unfished stock abundance), and this range is not sensitive to the population's basic life history parameters such as natural mortality rate, somatic growth rate, or age at maturity. The most important biological parameter determining this range is the intensity of recruitment compensation. Meta-analysis shows compensation is usually strong and there is reasonably little yield lost at what are now widely accepted definitions of overfishing or risk for most stocks. Similarly, maintaining stocks at 50% of unfished stock abundance for ecological or economic reasons results in little expected loss of yield.", "author" : [ { "dropping-particle" : "", "family" : "Hilborn", "given" : "Ray", "non-dropping-particle" : "", "parse-names" : false, "suffix" : "" } ], "container-title" : "Marine Policy", "id" : "ITEM-1", "issue" : "1", "issued" : { "date-parts" : [ [ "2010", "1" ] ] }, "page" : "193-196", "title" : "Pretty Good Yield and exploited fishes", "type" : "article-journal", "volume" : "34" }, "uris" : [ "http://www.mendeley.com/documents/?uuid=7e90e17a-875c-42c8-936c-2195bc0d64e3" ] } ], "mendeley" : { "formattedCitation" : "(Hilborn, 2010)", "plainTextFormattedCitation" : "(Hilborn, 2010)", "previouslyFormattedCitation" : "(Hilborn 2010)" }, "properties" : { "noteIndex" : 0 }, "schema" : "https://github.com/citation-style-language/schema/raw/master/csl-citation.json" }</w:instrText>
      </w:r>
      <w:r w:rsidR="00A53034">
        <w:fldChar w:fldCharType="separate"/>
      </w:r>
      <w:r w:rsidR="00873E7A" w:rsidRPr="00873E7A">
        <w:rPr>
          <w:noProof/>
        </w:rPr>
        <w:t>(Hilborn, 2010)</w:t>
      </w:r>
      <w:r w:rsidR="00A53034">
        <w:fldChar w:fldCharType="end"/>
      </w:r>
      <w:r w:rsidR="00A53034">
        <w:t>.</w:t>
      </w:r>
      <w:r w:rsidR="00A53034" w:rsidRPr="009163B0">
        <w:t xml:space="preserve"> Two </w:t>
      </w:r>
      <w:r w:rsidR="00A53034">
        <w:t>values</w:t>
      </w:r>
      <w:r w:rsidR="00A53034" w:rsidRPr="009163B0">
        <w:t xml:space="preserve"> have been estimated</w:t>
      </w:r>
      <w:r w:rsidR="00A53034">
        <w:t xml:space="preserve"> that define the range of F with high yields and low risk of severe stock depletion</w:t>
      </w:r>
      <w:r w:rsidR="00A53034" w:rsidRPr="009163B0">
        <w:t xml:space="preserve">, MSY </w:t>
      </w:r>
      <w:r w:rsidR="00A53034" w:rsidRPr="0068675E">
        <w:t>F</w:t>
      </w:r>
      <w:r w:rsidR="00A53034" w:rsidRPr="0068675E">
        <w:rPr>
          <w:vertAlign w:val="subscript"/>
        </w:rPr>
        <w:t>lower</w:t>
      </w:r>
      <w:r w:rsidR="00A53034" w:rsidRPr="00B75DE6">
        <w:t xml:space="preserve"> </w:t>
      </w:r>
      <w:r w:rsidR="00A53034" w:rsidRPr="0068675E">
        <w:t>and MSY</w:t>
      </w:r>
      <w:r w:rsidR="00A53034" w:rsidRPr="009163B0">
        <w:t xml:space="preserve"> F</w:t>
      </w:r>
      <w:r w:rsidR="00A53034" w:rsidRPr="009163B0">
        <w:rPr>
          <w:vertAlign w:val="subscript"/>
        </w:rPr>
        <w:t>upper</w:t>
      </w:r>
      <w:r w:rsidR="00A53034" w:rsidRPr="009163B0">
        <w:t>.</w:t>
      </w:r>
      <w:r w:rsidR="00A53034">
        <w:t xml:space="preserve"> </w:t>
      </w:r>
      <w:r w:rsidR="00554CFA">
        <w:fldChar w:fldCharType="begin" w:fldLock="1"/>
      </w:r>
      <w:r w:rsidR="00873E7A">
        <w:instrText>ADDIN CSL_CITATION { "citationItems" : [ { "id" : "ITEM-1", "itemData" : { "author" : [ { "dropping-particle" : "", "family" : "ICES", "given" : "", "non-dropping-particle" : "", "parse-names" : false, "suffix" : "" } ], "chapter-number" : "6.2.3.1", "container-title" : "ICES Advice 2015, Book 6", "id" : "ITEM-1", "issued" : { "date-parts" : [ [ "2015" ] ] }, "page" : "11 pp", "title" : "EU request to ICES to provide FMSY ranges for selected North Sea and Baltic Sea stocks", "type" : "chapter" }, "uris" : [ "http://www.mendeley.com/documents/?uuid=ae0bd13c-71f1-490b-9ac5-2788508df8fb" ] } ], "mendeley" : { "formattedCitation" : "(ICES, 2015b)", "plainTextFormattedCitation" : "(ICES, 2015b)", "previouslyFormattedCitation" : "(ICES 2015b)" }, "properties" : { "noteIndex" : 0 }, "schema" : "https://github.com/citation-style-language/schema/raw/master/csl-citation.json" }</w:instrText>
      </w:r>
      <w:r w:rsidR="00554CFA">
        <w:fldChar w:fldCharType="separate"/>
      </w:r>
      <w:r w:rsidR="00873E7A" w:rsidRPr="00873E7A">
        <w:rPr>
          <w:noProof/>
        </w:rPr>
        <w:t>(ICES, 2015b)</w:t>
      </w:r>
      <w:r w:rsidR="00554CFA">
        <w:fldChar w:fldCharType="end"/>
      </w:r>
      <w:r w:rsidR="00554CFA">
        <w:t xml:space="preserve"> advised nevertheless that sustained fishing with values above F</w:t>
      </w:r>
      <w:r w:rsidR="00521B61" w:rsidRPr="00521B61">
        <w:rPr>
          <w:vertAlign w:val="subscript"/>
        </w:rPr>
        <w:t>MSY</w:t>
      </w:r>
      <w:r w:rsidR="00554CFA">
        <w:t xml:space="preserve"> would have adverse consequences </w:t>
      </w:r>
      <w:r w:rsidR="00265174">
        <w:t>including</w:t>
      </w:r>
      <w:r w:rsidR="00554CFA">
        <w:t xml:space="preserve"> lower biomass and more variable fishing opportunities. </w:t>
      </w:r>
    </w:p>
    <w:p w14:paraId="7ABE99D9" w14:textId="746786DC" w:rsidR="000D5217" w:rsidRDefault="000D5217" w:rsidP="005010B9">
      <w:r>
        <w:t>The objective</w:t>
      </w:r>
      <w:r w:rsidR="00554CFA">
        <w:t>s</w:t>
      </w:r>
      <w:r>
        <w:t xml:space="preserve"> of the present study </w:t>
      </w:r>
      <w:r w:rsidR="00554CFA">
        <w:t>are</w:t>
      </w:r>
      <w:r>
        <w:t xml:space="preserve"> to evaluate </w:t>
      </w:r>
      <w:r w:rsidR="00D01C28">
        <w:t xml:space="preserve">the </w:t>
      </w:r>
      <w:r>
        <w:t xml:space="preserve">ability </w:t>
      </w:r>
      <w:r w:rsidR="00D01C28">
        <w:t>of using F</w:t>
      </w:r>
      <w:r w:rsidR="00521B61" w:rsidRPr="00521B61">
        <w:rPr>
          <w:vertAlign w:val="subscript"/>
        </w:rPr>
        <w:t>MSY</w:t>
      </w:r>
      <w:r w:rsidR="00D01C28">
        <w:t xml:space="preserve"> ranges </w:t>
      </w:r>
      <w:r>
        <w:t xml:space="preserve">to </w:t>
      </w:r>
      <w:r w:rsidR="00AB7723">
        <w:t xml:space="preserve">diminish the conflict between MSY management of single species and the possibility to </w:t>
      </w:r>
      <w:r>
        <w:t>deliver operational fisheries management at regional level</w:t>
      </w:r>
      <w:r w:rsidR="00AB7723">
        <w:t xml:space="preserve"> based on mixed fisheries considerations</w:t>
      </w:r>
      <w:r>
        <w:t>.</w:t>
      </w:r>
      <w:r w:rsidR="00554CFA">
        <w:t xml:space="preserve"> </w:t>
      </w:r>
      <w:r w:rsidR="001C62E6">
        <w:t xml:space="preserve">The present study thus </w:t>
      </w:r>
      <w:r w:rsidR="00437567">
        <w:t>extends</w:t>
      </w:r>
      <w:r w:rsidR="001C62E6">
        <w:t xml:space="preserve"> the approach that has been followed </w:t>
      </w:r>
      <w:r w:rsidR="00A23BEC">
        <w:t xml:space="preserve">using FCube </w:t>
      </w:r>
      <w:r w:rsidR="001C62E6">
        <w:t xml:space="preserve">since 2009. </w:t>
      </w:r>
    </w:p>
    <w:p w14:paraId="027ABE3A" w14:textId="77777777" w:rsidR="002E1CC9" w:rsidRPr="009163B0" w:rsidRDefault="002E1CC9" w:rsidP="00DF5AFC">
      <w:pPr>
        <w:pStyle w:val="Overskrift1"/>
      </w:pPr>
      <w:r w:rsidRPr="009163B0">
        <w:t xml:space="preserve">Material and </w:t>
      </w:r>
      <w:r w:rsidR="00AF5D26" w:rsidRPr="009163B0">
        <w:t>M</w:t>
      </w:r>
      <w:r w:rsidRPr="009163B0">
        <w:t>ethods</w:t>
      </w:r>
    </w:p>
    <w:p w14:paraId="39E078EF" w14:textId="68B00042" w:rsidR="00330F98" w:rsidRDefault="00330F98" w:rsidP="00DF5AFC">
      <w:pPr>
        <w:pStyle w:val="Overskrift2"/>
      </w:pPr>
      <w:r w:rsidRPr="009163B0">
        <w:t>FCube model</w:t>
      </w:r>
      <w:r w:rsidR="00D01C28">
        <w:t xml:space="preserve">ling framework </w:t>
      </w:r>
    </w:p>
    <w:p w14:paraId="075BD568" w14:textId="5D123925" w:rsidR="00775699" w:rsidRDefault="002076F5" w:rsidP="00775699">
      <w:r w:rsidRPr="002076F5">
        <w:t xml:space="preserve">The </w:t>
      </w:r>
      <w:r w:rsidR="001C62E6">
        <w:t xml:space="preserve">FCube </w:t>
      </w:r>
      <w:r w:rsidRPr="002076F5">
        <w:t xml:space="preserve">model </w:t>
      </w:r>
      <w:r w:rsidR="001C62E6">
        <w:t xml:space="preserve">(Ulrich et al., 2011) </w:t>
      </w:r>
      <w:r w:rsidRPr="002076F5">
        <w:t xml:space="preserve">builds on FLR (Fisheries Library in R) objects and functions for the modelling of fisheries </w:t>
      </w:r>
      <w:r w:rsidR="00582415">
        <w:fldChar w:fldCharType="begin" w:fldLock="1"/>
      </w:r>
      <w:r w:rsidR="00873E7A">
        <w:instrText>ADDIN CSL_CITATION { "citationItems" : [ { "id" : "ITEM-1", "itemData" : { "DOI" : "10.1093/icesjms/fsm012", "ISBN" : "1054-3139", "ISSN" : "10543139", "abstract" : "The FLR framework (Fisheries Library for R) is a development effort directed towards the evaluation of fisheries management strategies. The overall goal is to develop a common framework to facilitate collaboration within and across disciplines (e.g. biological, ecological, statistical, mathematical, economic, and social) and, in particular, to ensure that new modelling methods and software are more easily validated and evaluated, as well as becoming widely available once developed. Specifically, the framework details how to implement and link a variety of fishery, biological, and economic software packages so that alternative management strategies and procedures can be evaluated for their robustness to uncertainty before implementation. The design of the framework, including the adoption of object-orientated programming, its feasibility to be extended to new processes, and its application to new management approaches (e.g. ecosystem affects of fishing), is discussed. The importance of open source for promoting transparency and allowing technology transfer between disciplines and researchers is stressed.", "author" : [ { "dropping-particle" : "", "family" : "Kell", "given" : "L. T.", "non-dropping-particle" : "", "parse-names" : false, "suffix" : "" }, { "dropping-particle" : "", "family" : "Mosqueira", "given" : "I.", "non-dropping-particle" : "", "parse-names" : false, "suffix" : "" }, { "dropping-particle" : "", "family" : "Grosjean", "given" : "P.", "non-dropping-particle" : "", "parse-names" : false, "suffix" : "" }, { "dropping-particle" : "", "family" : "Fromentin", "given" : "J. M.", "non-dropping-particle" : "", "parse-names" : false, "suffix" : "" }, { "dropping-particle" : "", "family" : "Garcia", "given" : "D.", "non-dropping-particle" : "", "parse-names" : false, "suffix" : "" }, { "dropping-particle" : "", "family" : "Hillary", "given" : "R.", "non-dropping-particle" : "", "parse-names" : false, "suffix" : "" }, { "dropping-particle" : "", "family" : "Jardim", "given" : "E.", "non-dropping-particle" : "", "parse-names" : false, "suffix" : "" }, { "dropping-particle" : "", "family" : "Mardle", "given" : "Simon", "non-dropping-particle" : "", "parse-names" : false, "suffix" : "" }, { "dropping-particle" : "", "family" : "Pastoors", "given" : "M. a.", "non-dropping-particle" : "", "parse-names" : false, "suffix" : "" }, { "dropping-particle" : "", "family" : "Poos", "given" : "J.J.", "non-dropping-particle" : "", "parse-names" : false, "suffix" : "" }, { "dropping-particle" : "", "family" : "Scott", "given" : "F.", "non-dropping-particle" : "", "parse-names" : false, "suffix" : "" }, { "dropping-particle" : "", "family" : "Scott", "given" : "R. D.", "non-dropping-particle" : "", "parse-names" : false, "suffix" : "" } ], "container-title" : "ICES Journal of Marine Science", "id" : "ITEM-1", "issue" : "4", "issued" : { "date-parts" : [ [ "2007" ] ] }, "page" : "640-646", "title" : "FLR: An open-source framework for the evaluation and development of management strategies", "type" : "article-journal", "volume" : "64" }, "uris" : [ "http://www.mendeley.com/documents/?uuid=a3d140e5-8246-4d14-89fc-6f1022cd2cf2" ] } ], "mendeley" : { "formattedCitation" : "(Kell et al., 2007)", "plainTextFormattedCitation" : "(Kell et al., 2007)", "previouslyFormattedCitation" : "(Kell et al. 2007)" }, "properties" : { "noteIndex" : 0 }, "schema" : "https://github.com/citation-style-language/schema/raw/master/csl-citation.json" }</w:instrText>
      </w:r>
      <w:r w:rsidR="00582415">
        <w:fldChar w:fldCharType="separate"/>
      </w:r>
      <w:r w:rsidR="00873E7A" w:rsidRPr="00873E7A">
        <w:rPr>
          <w:noProof/>
        </w:rPr>
        <w:t>(Kell et al., 2007)</w:t>
      </w:r>
      <w:r w:rsidR="00582415">
        <w:fldChar w:fldCharType="end"/>
      </w:r>
      <w:r w:rsidRPr="002076F5">
        <w:t>.</w:t>
      </w:r>
      <w:r w:rsidR="00582415">
        <w:t xml:space="preserve"> </w:t>
      </w:r>
      <w:r w:rsidR="00224AE6">
        <w:t xml:space="preserve">Inputs data are a vector of target fishing mortality by stock, as well as historical data of stock assessments, effort and catch by fleet and metier. </w:t>
      </w:r>
      <w:r w:rsidR="001C62E6">
        <w:t xml:space="preserve">Being initially developed for deterministic short-term forecasts, </w:t>
      </w:r>
      <w:r w:rsidR="00A23BEC">
        <w:t xml:space="preserve">the </w:t>
      </w:r>
      <w:r w:rsidR="00B278EE">
        <w:t>model</w:t>
      </w:r>
      <w:r w:rsidR="00416481" w:rsidRPr="009163B0">
        <w:t xml:space="preserve"> </w:t>
      </w:r>
      <w:r w:rsidR="00AB7723">
        <w:t>has been</w:t>
      </w:r>
      <w:r w:rsidR="001C62E6">
        <w:t xml:space="preserve"> extended to operate as</w:t>
      </w:r>
      <w:r w:rsidR="009474F0" w:rsidRPr="009163B0">
        <w:t xml:space="preserve"> </w:t>
      </w:r>
      <w:r w:rsidR="00437567">
        <w:t>a</w:t>
      </w:r>
      <w:r w:rsidR="009474F0" w:rsidRPr="009163B0">
        <w:t xml:space="preserve"> stochastic medium-term </w:t>
      </w:r>
      <w:r w:rsidR="009474F0" w:rsidRPr="009163B0">
        <w:lastRenderedPageBreak/>
        <w:t>Management Strategies Evaluation</w:t>
      </w:r>
      <w:r w:rsidR="00FF37AB" w:rsidRPr="009163B0">
        <w:t xml:space="preserve"> </w:t>
      </w:r>
      <w:r w:rsidR="009474F0" w:rsidRPr="009163B0">
        <w:t>(</w:t>
      </w:r>
      <w:r w:rsidR="00FF37AB" w:rsidRPr="009163B0">
        <w:t>MSE</w:t>
      </w:r>
      <w:r w:rsidR="00A23BEC">
        <w:t>,</w:t>
      </w:r>
      <w:r w:rsidR="00A23BEC">
        <w:fldChar w:fldCharType="begin" w:fldLock="1"/>
      </w:r>
      <w:r w:rsidR="00873E7A">
        <w:instrText>ADDIN CSL_CITATION { "citationItems" : [ { "id" : "ITEM-1", "itemData" : { "DOI" : "10.1006/jmsc.1999.0532", "ISSN" : "10543139", "abstract" : "A synthesis of the authors' experience with the evaluation and implementation of management procedures in Australasia, southern Africa, and the International Whaling Commission (IWC) is presented. The development of operating models for testing such procedures for the fisheries in question over their respective ranges of uncertainty, together with the statistics used to assess procedure performances, are considered first, and then suggestions are made that increasing experience is making it possible to develop a minimal set of key factors to include in such robustness trials. Some general lessons are drawn, primarily from the IWC's process of developing its Revised Management Procedure. Further implementation issues discussed are: candidate procedure selection in principle and practice, the extent of robustness testing desirable, the link to the evaluation of research priorities, and the reception accorded the management procedure approach by industry and decision-makers. Management procedures are seen to have potential benefits over the annual assessment basis for determination of Total Allowable Catch, but key problem areas that remain concern the definition of risk and the relative weights to be accorded to the various scenarios (of differing plausibilities) considered in robustness tests.", "author" : [ { "dropping-particle" : "", "family" : "Butterworth", "given" : "Doug S.", "non-dropping-particle" : "", "parse-names" : false, "suffix" : "" }, { "dropping-particle" : "", "family" : "Punt", "given" : "a. E.", "non-dropping-particle" : "", "parse-names" : false, "suffix" : "" } ], "container-title" : "ICES Journal of Marine Science", "id" : "ITEM-1", "issued" : { "date-parts" : [ [ "1999" ] ] }, "page" : "985-998", "title" : "Experiences in the evaluation and implementation of management procedures", "type" : "article-journal", "volume" : "56" }, "uris" : [ "http://www.mendeley.com/documents/?uuid=6a1911e0-672f-41a6-8eff-22aecb73b252", "http://www.mendeley.com/documents/?uuid=913ad72d-7fb2-4bd9-a3ce-913c0da4dd67" ] } ], "mendeley" : { "formattedCitation" : "(Butterworth &amp; Punt, 1999)", "plainTextFormattedCitation" : "(Butterworth &amp; Punt, 1999)", "previouslyFormattedCitation" : "(Butterworth and Punt 1999)" }, "properties" : { "noteIndex" : 0 }, "schema" : "https://github.com/citation-style-language/schema/raw/master/csl-citation.json" }</w:instrText>
      </w:r>
      <w:r w:rsidR="00A23BEC">
        <w:fldChar w:fldCharType="separate"/>
      </w:r>
      <w:r w:rsidR="00873E7A" w:rsidRPr="00873E7A">
        <w:rPr>
          <w:noProof/>
        </w:rPr>
        <w:t>(Butterworth &amp; Punt, 1999)</w:t>
      </w:r>
      <w:r w:rsidR="00A23BEC">
        <w:fldChar w:fldCharType="end"/>
      </w:r>
      <w:r w:rsidR="00773068">
        <w:t>)</w:t>
      </w:r>
      <w:r w:rsidR="007328C3">
        <w:t xml:space="preserve"> tool</w:t>
      </w:r>
      <w:r w:rsidR="00036A9A">
        <w:t>, with or without technical interactions</w:t>
      </w:r>
      <w:r w:rsidR="00403FDC">
        <w:t xml:space="preserve"> </w:t>
      </w:r>
      <w:r w:rsidR="001749CD">
        <w:fldChar w:fldCharType="begin" w:fldLock="1"/>
      </w:r>
      <w:r w:rsidR="00873E7A">
        <w:instrText>ADDIN CSL_CITATION { "citationItems" : [ { "id" : "ITEM-1", "itemData" : { "DOI" : "ICES CM 2014/ACOM:23", "author" : [ { "dropping-particle" : "", "family" : "ICES", "given" : "", "non-dropping-particle" : "", "parse-names" : false, "suffix" : "" } ], "id" : "ITEM-1", "issued" : { "date-parts" : [ [ "2014" ] ] }, "number-of-pages" : "75 pp", "title" : "Report of the Working Group on Mixed Fisheries Methods (WGMIXFISH-METH)", "type" : "report" }, "uris" : [ "http://www.mendeley.com/documents/?uuid=06f628e2-8fdb-4fce-b46d-04f13c7eec57" ] }, { "id" : "ITEM-2", "itemData" : { "DOI" : "EUR 27232 EN, JRC 95959", "author" : [ { "dropping-particle" : "", "family" : "Scientific Technical and Economic Committee for Fisheries (STECF)", "given" : "", "non-dropping-particle" : "", "parse-names" : false, "suffix" : "" } ], "id" : "ITEM-2", "issued" : { "date-parts" : [ [ "2015" ] ] }, "number-of-pages" : "152 pp", "publisher-place" : "Luxembourg: Publications Office of the European Union", "title" : "Evaluation of management plans: Evaluation of the multi-annual plan for the North Sea demersal stocks (STECF-15-04)", "type" : "report" }, "uris" : [ "http://www.mendeley.com/documents/?uuid=47258b2e-dedf-4b9d-bc89-e81ac8d644dd" ] } ], "mendeley" : { "formattedCitation" : "(ICES, 2014; Scientific Technical and Economic Committee for Fisheries (STECF), 2015a)", "manualFormatting" : "(ICES 2014; STECF 2015a)", "plainTextFormattedCitation" : "(ICES, 2014; Scientific Technical and Economic Committee for Fisheries (STECF), 2015a)", "previouslyFormattedCitation" : "(ICES 2014; Scientific Technical and Economic Committee for Fisheries (STECF) 2015a)" }, "properties" : { "noteIndex" : 0 }, "schema" : "https://github.com/citation-style-language/schema/raw/master/csl-citation.json" }</w:instrText>
      </w:r>
      <w:r w:rsidR="001749CD">
        <w:fldChar w:fldCharType="separate"/>
      </w:r>
      <w:r w:rsidR="00DD7731" w:rsidRPr="00DD7731">
        <w:rPr>
          <w:noProof/>
        </w:rPr>
        <w:t xml:space="preserve">(ICES 2014; </w:t>
      </w:r>
      <w:r w:rsidR="00A23BEC">
        <w:rPr>
          <w:noProof/>
        </w:rPr>
        <w:t>STECF</w:t>
      </w:r>
      <w:r w:rsidR="00DD7731" w:rsidRPr="00DD7731">
        <w:rPr>
          <w:noProof/>
        </w:rPr>
        <w:t xml:space="preserve"> 2015a)</w:t>
      </w:r>
      <w:r w:rsidR="001749CD">
        <w:fldChar w:fldCharType="end"/>
      </w:r>
      <w:r w:rsidR="00036A9A">
        <w:t xml:space="preserve">. </w:t>
      </w:r>
      <w:r w:rsidR="00A23BEC">
        <w:t>The MSE includes a full feedback loop, i.e. it simulates the management procedure</w:t>
      </w:r>
      <w:r w:rsidR="002F1F26">
        <w:t xml:space="preserve"> (HCR)</w:t>
      </w:r>
      <w:r w:rsidR="00A23BEC">
        <w:t xml:space="preserve"> where a TAC is defined every year based on a short-term forecast, mimicking the actual conditions of management advice </w:t>
      </w:r>
      <w:r w:rsidR="00911550">
        <w:t xml:space="preserve">where the true (realised) fishing mortality can differ from the target (intended) mortality </w:t>
      </w:r>
      <w:r w:rsidR="00A23BEC" w:rsidRPr="00755ACE">
        <w:fldChar w:fldCharType="begin" w:fldLock="1"/>
      </w:r>
      <w:r w:rsidR="00873E7A">
        <w:instrText>ADDIN CSL_CITATION { "citationItems" : [ { "id" : "ITEM-1", "itemData" : { "DOI" : "ICES CM 2013 ACOM 39", "author" : [ { "dropping-particle" : "", "family" : "ICES", "given" : "", "non-dropping-particle" : "", "parse-names" : false, "suffix" : "" } ], "id" : "ITEM-1", "issued" : { "date-parts" : [ [ "2013" ] ] }, "number-of-pages" : "128 pp", "title" : "Report of the Workshop on Guidelines for Management Strategy Evaluations (WKGMSE), 21 -23 January 2013, ICES HQ, Copenhagen, Denmark", "type" : "report" }, "uris" : [ "http://www.mendeley.com/documents/?uuid=ece84bce-854d-4f0e-9a8a-1741345c6397" ] } ], "mendeley" : { "formattedCitation" : "(ICES, 2013)", "plainTextFormattedCitation" : "(ICES, 2013)", "previouslyFormattedCitation" : "(ICES 2013)" }, "properties" : { "noteIndex" : 0 }, "schema" : "https://github.com/citation-style-language/schema/raw/master/csl-citation.json" }</w:instrText>
      </w:r>
      <w:r w:rsidR="00A23BEC" w:rsidRPr="00755ACE">
        <w:fldChar w:fldCharType="separate"/>
      </w:r>
      <w:r w:rsidR="00873E7A" w:rsidRPr="00873E7A">
        <w:rPr>
          <w:noProof/>
        </w:rPr>
        <w:t>(ICES, 2013)</w:t>
      </w:r>
      <w:r w:rsidR="00A23BEC" w:rsidRPr="00755ACE">
        <w:fldChar w:fldCharType="end"/>
      </w:r>
      <w:r w:rsidR="00A23BEC">
        <w:t xml:space="preserve">. </w:t>
      </w:r>
      <w:r w:rsidR="002F1F26">
        <w:t xml:space="preserve">MSY-based HCRs follow the ICES advice </w:t>
      </w:r>
      <w:r w:rsidR="006E7DCD">
        <w:t xml:space="preserve">sliding </w:t>
      </w:r>
      <w:r w:rsidR="002F1F26">
        <w:t>rule, i.e. the target fishing mortality is reduced if the spawning stock biomass falls below MSY B</w:t>
      </w:r>
      <w:r w:rsidR="00521B61" w:rsidRPr="00521B61">
        <w:rPr>
          <w:vertAlign w:val="subscript"/>
        </w:rPr>
        <w:t>trigger</w:t>
      </w:r>
      <w:r w:rsidR="002F1F26">
        <w:t xml:space="preserve">. </w:t>
      </w:r>
      <w:r w:rsidR="00036A9A">
        <w:t>Without technical interactions</w:t>
      </w:r>
      <w:r w:rsidR="00427AB7">
        <w:t xml:space="preserve"> the method performs </w:t>
      </w:r>
      <w:r w:rsidR="00A23BEC">
        <w:t>independent</w:t>
      </w:r>
      <w:r w:rsidR="00036A9A">
        <w:t xml:space="preserve"> MSE</w:t>
      </w:r>
      <w:r w:rsidR="00427AB7">
        <w:t>s</w:t>
      </w:r>
      <w:r w:rsidR="00A23BEC">
        <w:t xml:space="preserve"> </w:t>
      </w:r>
      <w:r w:rsidR="00036A9A">
        <w:t>for each stock</w:t>
      </w:r>
      <w:r w:rsidR="00427AB7">
        <w:t xml:space="preserve">. </w:t>
      </w:r>
      <w:r w:rsidR="003A481B">
        <w:t xml:space="preserve"> A</w:t>
      </w:r>
      <w:r w:rsidR="0098051B">
        <w:t>s a minimum</w:t>
      </w:r>
      <w:r w:rsidR="00D712A5">
        <w:t>,</w:t>
      </w:r>
      <w:r w:rsidR="00036A9A">
        <w:t xml:space="preserve"> variability of future recruitment</w:t>
      </w:r>
      <w:r w:rsidR="003A481B">
        <w:t xml:space="preserve"> is included</w:t>
      </w:r>
      <w:r w:rsidR="00911550">
        <w:t>.</w:t>
      </w:r>
      <w:r w:rsidR="00036A9A">
        <w:t xml:space="preserve"> </w:t>
      </w:r>
      <w:r w:rsidR="00AB7723">
        <w:t>O</w:t>
      </w:r>
      <w:r w:rsidR="00036A9A">
        <w:t xml:space="preserve">ther </w:t>
      </w:r>
      <w:r w:rsidR="00AB7723">
        <w:t>sources</w:t>
      </w:r>
      <w:r w:rsidR="00AB7723" w:rsidRPr="009163B0">
        <w:t xml:space="preserve"> </w:t>
      </w:r>
      <w:r w:rsidR="00A23BEC">
        <w:t xml:space="preserve">of </w:t>
      </w:r>
      <w:r w:rsidR="00036A9A" w:rsidRPr="009163B0">
        <w:t>parameter</w:t>
      </w:r>
      <w:r w:rsidR="00036A9A">
        <w:t xml:space="preserve"> </w:t>
      </w:r>
      <w:r w:rsidR="003A481B">
        <w:t>uncertainty</w:t>
      </w:r>
      <w:r w:rsidR="00036A9A">
        <w:t xml:space="preserve"> (e.g. </w:t>
      </w:r>
      <w:r w:rsidR="003A481B">
        <w:t xml:space="preserve">in </w:t>
      </w:r>
      <w:r w:rsidR="00036A9A">
        <w:t xml:space="preserve">weight at age, selectivity, discard ratio) can be </w:t>
      </w:r>
      <w:r w:rsidR="003A481B">
        <w:t>added</w:t>
      </w:r>
      <w:r w:rsidR="00AB7723">
        <w:t>,</w:t>
      </w:r>
      <w:r w:rsidR="00036A9A">
        <w:t xml:space="preserve"> </w:t>
      </w:r>
      <w:r w:rsidR="0098051B">
        <w:t>as well as</w:t>
      </w:r>
      <w:r w:rsidR="00036A9A">
        <w:t xml:space="preserve"> observation and assessment error</w:t>
      </w:r>
      <w:r w:rsidR="00AB7723">
        <w:t xml:space="preserve">. </w:t>
      </w:r>
      <w:r w:rsidR="00555BCB">
        <w:t xml:space="preserve">When technical </w:t>
      </w:r>
      <w:r w:rsidR="007242B4">
        <w:t>in</w:t>
      </w:r>
      <w:r w:rsidR="00911550">
        <w:t>teractions are implemented, the</w:t>
      </w:r>
      <w:r w:rsidR="007242B4">
        <w:t xml:space="preserve"> vector of true fishing mortality </w:t>
      </w:r>
      <w:r w:rsidR="00911550">
        <w:t>by stock enters the FCube module. I</w:t>
      </w:r>
      <w:r w:rsidR="005B6E19">
        <w:t xml:space="preserve">mplementation error in the form of over – or underquota catches </w:t>
      </w:r>
      <w:r w:rsidR="00911550">
        <w:t xml:space="preserve">is estimated accordingly, following the standard </w:t>
      </w:r>
      <w:r w:rsidR="005B6E19">
        <w:t>FCube option</w:t>
      </w:r>
      <w:r w:rsidR="00224AE6">
        <w:t>s (Min, Max or Value</w:t>
      </w:r>
      <w:r w:rsidR="005B6E19">
        <w:t>) as usually done in the ICES mixed-fisheries advice</w:t>
      </w:r>
      <w:r w:rsidR="0022026B">
        <w:t xml:space="preserve"> </w:t>
      </w:r>
      <w:r w:rsidR="0022026B">
        <w:fldChar w:fldCharType="begin" w:fldLock="1"/>
      </w:r>
      <w:r w:rsidR="00873E7A">
        <w:instrText>ADDIN CSL_CITATION { "citationItems" : [ { "id" : "ITEM-1", "itemData" : { "author" : [ { "dropping-particle" : "", "family" : "ICES", "given" : "", "non-dropping-particle" : "", "parse-names" : false, "suffix" : "" } ], "chapter-number" : "6.2.2.2", "container-title" : "ICES Advice 2015, Book 6", "id" : "ITEM-1", "issued" : { "date-parts" : [ [ "2015" ] ] }, "page" : "13 pp", "title" : "Mixed-fisheries advice for Subarea IV (North Sea) and Divisions IIIa North (Skagerrak) and VIId (Eastern Channel)", "type" : "chapter" }, "uris" : [ "http://www.mendeley.com/documents/?uuid=ed2185fe-02ab-4c01-881b-fec0e21d1cc4" ] } ], "mendeley" : { "formattedCitation" : "(ICES, 2015c)", "plainTextFormattedCitation" : "(ICES, 2015c)", "previouslyFormattedCitation" : "(ICES 2015c)" }, "properties" : { "noteIndex" : 0 }, "schema" : "https://github.com/citation-style-language/schema/raw/master/csl-citation.json" }</w:instrText>
      </w:r>
      <w:r w:rsidR="0022026B">
        <w:fldChar w:fldCharType="separate"/>
      </w:r>
      <w:r w:rsidR="00873E7A" w:rsidRPr="00873E7A">
        <w:rPr>
          <w:noProof/>
        </w:rPr>
        <w:t>(ICES, 2015c)</w:t>
      </w:r>
      <w:r w:rsidR="0022026B">
        <w:fldChar w:fldCharType="end"/>
      </w:r>
      <w:r w:rsidR="005B6E19">
        <w:t xml:space="preserve">. The </w:t>
      </w:r>
      <w:r w:rsidR="00C47268">
        <w:t xml:space="preserve">resulting </w:t>
      </w:r>
      <w:r w:rsidR="005B6E19">
        <w:t>vector of true fishing mortality by stock is then used in replacement of the init</w:t>
      </w:r>
      <w:r w:rsidR="00555BCB">
        <w:t xml:space="preserve">ial value </w:t>
      </w:r>
      <w:r w:rsidR="00C47268">
        <w:t xml:space="preserve">in the operating model </w:t>
      </w:r>
      <w:r w:rsidR="00555BCB">
        <w:t>to project the stock</w:t>
      </w:r>
      <w:r w:rsidR="00E914BC">
        <w:t>s</w:t>
      </w:r>
      <w:r w:rsidR="00555BCB">
        <w:t>.</w:t>
      </w:r>
    </w:p>
    <w:p w14:paraId="088E6624" w14:textId="132093F6" w:rsidR="004915A4" w:rsidRPr="00224AE6" w:rsidRDefault="00403FDC" w:rsidP="004915A4">
      <w:r>
        <w:t xml:space="preserve">In </w:t>
      </w:r>
      <w:r w:rsidR="00AB7723">
        <w:t>this study</w:t>
      </w:r>
      <w:r>
        <w:t>, a</w:t>
      </w:r>
      <w:r w:rsidR="009474F0" w:rsidRPr="009163B0">
        <w:t>n optimisation process</w:t>
      </w:r>
      <w:r w:rsidR="0042063A" w:rsidRPr="009163B0">
        <w:t xml:space="preserve"> </w:t>
      </w:r>
      <w:r w:rsidR="00775699">
        <w:t xml:space="preserve">was </w:t>
      </w:r>
      <w:r w:rsidR="001C62E6">
        <w:t xml:space="preserve">also </w:t>
      </w:r>
      <w:r w:rsidR="00775699">
        <w:t>developed</w:t>
      </w:r>
      <w:r w:rsidR="00911550">
        <w:t xml:space="preserve">, that can be applied for a single-year </w:t>
      </w:r>
      <w:r w:rsidR="00C8093F">
        <w:t xml:space="preserve">deterministic </w:t>
      </w:r>
      <w:r w:rsidR="00911550">
        <w:t>short-term forecast. It identifies</w:t>
      </w:r>
      <w:r w:rsidR="00416481" w:rsidRPr="009163B0">
        <w:t xml:space="preserve"> the set of fishing mortality by stock maximising a given objective function </w:t>
      </w:r>
      <w:r w:rsidR="0042063A" w:rsidRPr="009163B0">
        <w:t>(“what’s best”)</w:t>
      </w:r>
      <w:r w:rsidR="009474F0" w:rsidRPr="009163B0">
        <w:t xml:space="preserve"> </w:t>
      </w:r>
      <w:r w:rsidR="00416481" w:rsidRPr="009163B0">
        <w:t xml:space="preserve">in addition to the usual </w:t>
      </w:r>
      <w:r w:rsidR="0042063A" w:rsidRPr="009163B0">
        <w:t xml:space="preserve">(“what if”) </w:t>
      </w:r>
      <w:r w:rsidR="00BA1014" w:rsidRPr="009163B0">
        <w:t>set-up</w:t>
      </w:r>
      <w:r w:rsidR="00576AF2">
        <w:t xml:space="preserve"> </w:t>
      </w:r>
      <w:r w:rsidR="0022026B">
        <w:fldChar w:fldCharType="begin" w:fldLock="1"/>
      </w:r>
      <w:r w:rsidR="00873E7A">
        <w:instrText>ADDIN CSL_CITATION { "citationItems" : [ { "id" : "ITEM-1", "itemData" : { "DOI" : "ICES CM 2015/ACOM:22", "author" : [ { "dropping-particle" : "", "family" : "ICES", "given" : "", "non-dropping-particle" : "", "parse-names" : false, "suffix" : "" } ], "id" : "ITEM-1", "issued" : { "date-parts" : [ [ "2015" ] ] }, "number-of-pages" : "51 pp", "title" : "Report of the Working Group on Mixed Fisheries Advice Methodology (WGMIXFISH-METH), 5\u20139 October 2015, DTU-Aqua, Charlottenlund, Denmark.", "type" : "report" }, "uris" : [ "http://www.mendeley.com/documents/?uuid=aa37afc6-5361-4220-a25d-aef0920bf44f" ] } ], "mendeley" : { "formattedCitation" : "(ICES, 2015f)", "plainTextFormattedCitation" : "(ICES, 2015f)", "previouslyFormattedCitation" : "(ICES 2015f)" }, "properties" : { "noteIndex" : 0 }, "schema" : "https://github.com/citation-style-language/schema/raw/master/csl-citation.json" }</w:instrText>
      </w:r>
      <w:r w:rsidR="0022026B">
        <w:fldChar w:fldCharType="separate"/>
      </w:r>
      <w:r w:rsidR="00873E7A" w:rsidRPr="00873E7A">
        <w:rPr>
          <w:noProof/>
        </w:rPr>
        <w:t>(ICES, 2015f)</w:t>
      </w:r>
      <w:r w:rsidR="0022026B">
        <w:fldChar w:fldCharType="end"/>
      </w:r>
      <w:r w:rsidR="00BA1014" w:rsidRPr="009163B0">
        <w:t xml:space="preserve">. </w:t>
      </w:r>
      <w:r w:rsidR="004915A4">
        <w:t>Ranges</w:t>
      </w:r>
      <w:r w:rsidR="00224AE6">
        <w:t xml:space="preserve"> of fishing mortalities by stock </w:t>
      </w:r>
      <w:r w:rsidR="004915A4">
        <w:t>are</w:t>
      </w:r>
      <w:r w:rsidR="00224AE6">
        <w:t xml:space="preserve"> used as inputs, instead of a </w:t>
      </w:r>
      <w:r w:rsidR="004915A4">
        <w:t xml:space="preserve">single </w:t>
      </w:r>
      <w:r w:rsidR="00224AE6">
        <w:t xml:space="preserve">vector. </w:t>
      </w:r>
      <w:r w:rsidR="00775699" w:rsidRPr="009163B0">
        <w:t xml:space="preserve">The optimisation </w:t>
      </w:r>
      <w:r w:rsidR="00775699">
        <w:t>is</w:t>
      </w:r>
      <w:r w:rsidR="00775699" w:rsidRPr="009163B0">
        <w:t xml:space="preserve"> carried out using </w:t>
      </w:r>
      <w:r w:rsidR="003A481B">
        <w:t xml:space="preserve">a genetic algorithm implemented in </w:t>
      </w:r>
      <w:r w:rsidR="00775699" w:rsidRPr="009163B0">
        <w:t>the function rbga() from the R package genalg</w:t>
      </w:r>
      <w:r w:rsidR="00224AE6">
        <w:t xml:space="preserve">. </w:t>
      </w:r>
      <w:r w:rsidR="004915A4">
        <w:t>We aimed to minimise the mixed-fisheries imbalance, so t</w:t>
      </w:r>
      <w:r w:rsidR="00224AE6">
        <w:t xml:space="preserve">he objective function to be minimised </w:t>
      </w:r>
      <w:r w:rsidR="004915A4">
        <w:t>was defined as</w:t>
      </w:r>
      <w:r w:rsidR="00224AE6">
        <w:t xml:space="preserve"> the </w:t>
      </w:r>
      <w:r w:rsidR="00224AE6" w:rsidRPr="009163B0">
        <w:t>catch difference</w:t>
      </w:r>
      <w:r w:rsidR="00224AE6">
        <w:t xml:space="preserve"> </w:t>
      </w:r>
      <w:r w:rsidR="00224AE6" w:rsidRPr="009163B0">
        <w:t xml:space="preserve">between FCube </w:t>
      </w:r>
      <w:r w:rsidR="00224AE6">
        <w:t>Min</w:t>
      </w:r>
      <w:r w:rsidR="00224AE6" w:rsidRPr="009163B0">
        <w:t xml:space="preserve"> and </w:t>
      </w:r>
      <w:r w:rsidR="00224AE6">
        <w:t>Max</w:t>
      </w:r>
      <w:r w:rsidR="00224AE6" w:rsidRPr="009163B0">
        <w:t xml:space="preserve"> options</w:t>
      </w:r>
      <w:r w:rsidR="008B6000">
        <w:t xml:space="preserve"> (sum of squared differences by stock in total tonnes)</w:t>
      </w:r>
      <w:r w:rsidR="004915A4">
        <w:t>.</w:t>
      </w:r>
    </w:p>
    <w:p w14:paraId="06FDA41A" w14:textId="4FB74227" w:rsidR="00D01C28" w:rsidRDefault="00D01C28" w:rsidP="00D01C28">
      <w:pPr>
        <w:pStyle w:val="Overskrift2"/>
      </w:pPr>
      <w:r>
        <w:t>Data and conditioning</w:t>
      </w:r>
    </w:p>
    <w:p w14:paraId="05B86853" w14:textId="0DD4BB57" w:rsidR="00762F15" w:rsidRDefault="00403FDC" w:rsidP="00DF5AFC">
      <w:r>
        <w:t>Th</w:t>
      </w:r>
      <w:r w:rsidR="00D712A5">
        <w:t>is</w:t>
      </w:r>
      <w:r>
        <w:t xml:space="preserve"> </w:t>
      </w:r>
      <w:r w:rsidR="00D712A5">
        <w:t xml:space="preserve">extended FCube model </w:t>
      </w:r>
      <w:r>
        <w:t>model</w:t>
      </w:r>
      <w:r w:rsidR="00C35F24">
        <w:t xml:space="preserve"> </w:t>
      </w:r>
      <w:r>
        <w:t xml:space="preserve">involves projections for </w:t>
      </w:r>
      <w:r w:rsidR="00555DAA">
        <w:t xml:space="preserve">5 </w:t>
      </w:r>
      <w:r>
        <w:t>stocks (Cod in the North Sea, Skagerrak and Eastern Channel</w:t>
      </w:r>
      <w:r w:rsidR="00AE120C">
        <w:t xml:space="preserve"> (COD)</w:t>
      </w:r>
      <w:r>
        <w:t>; Haddock in the North Sea and Skagerrak</w:t>
      </w:r>
      <w:r w:rsidR="00AE120C">
        <w:t xml:space="preserve"> (HAD)</w:t>
      </w:r>
      <w:r>
        <w:t xml:space="preserve">; Saithe </w:t>
      </w:r>
      <w:r w:rsidRPr="005A073C">
        <w:rPr>
          <w:i/>
        </w:rPr>
        <w:t>Pollachius virens</w:t>
      </w:r>
      <w:r>
        <w:t xml:space="preserve"> in the North Sea, Skagerrak, Kattegat and West of Scotland</w:t>
      </w:r>
      <w:r w:rsidR="00AE120C">
        <w:t xml:space="preserve"> (POK)</w:t>
      </w:r>
      <w:r>
        <w:t xml:space="preserve">; Sole </w:t>
      </w:r>
      <w:r w:rsidRPr="005A073C">
        <w:rPr>
          <w:i/>
        </w:rPr>
        <w:t>Solea solea</w:t>
      </w:r>
      <w:r>
        <w:t xml:space="preserve"> in the North Sea</w:t>
      </w:r>
      <w:r w:rsidR="00AE120C">
        <w:t xml:space="preserve"> (SOL)</w:t>
      </w:r>
      <w:r>
        <w:t xml:space="preserve">; Plaice </w:t>
      </w:r>
      <w:r w:rsidRPr="005A073C">
        <w:rPr>
          <w:i/>
        </w:rPr>
        <w:t>Pleuronectes platessa</w:t>
      </w:r>
      <w:r>
        <w:t xml:space="preserve"> in the North Sea</w:t>
      </w:r>
      <w:r w:rsidR="00AE120C">
        <w:t xml:space="preserve"> (PLE)</w:t>
      </w:r>
      <w:r w:rsidR="00C35F24">
        <w:t xml:space="preserve">. </w:t>
      </w:r>
      <w:r w:rsidR="00002849">
        <w:t>Th</w:t>
      </w:r>
      <w:r w:rsidR="003A481B">
        <w:t>e model</w:t>
      </w:r>
      <w:r w:rsidR="00002849">
        <w:t xml:space="preserve"> </w:t>
      </w:r>
      <w:r w:rsidR="00682747">
        <w:t>is conditioned on the 2015 assessments</w:t>
      </w:r>
      <w:r w:rsidR="00D01C28" w:rsidRPr="002076F5">
        <w:t xml:space="preserve"> </w:t>
      </w:r>
      <w:r w:rsidR="00682747">
        <w:t xml:space="preserve">and </w:t>
      </w:r>
      <w:r w:rsidR="00682747">
        <w:lastRenderedPageBreak/>
        <w:t xml:space="preserve">forecasts </w:t>
      </w:r>
      <w:r w:rsidR="0022026B">
        <w:fldChar w:fldCharType="begin" w:fldLock="1"/>
      </w:r>
      <w:r w:rsidR="00873E7A">
        <w:instrText>ADDIN CSL_CITATION { "citationItems" : [ { "id" : "ITEM-1", "itemData" : { "DOI" : "ICES CM 2015/ACOM:13", "author" : [ { "dropping-particle" : "", "family" : "ICES", "given" : "", "non-dropping-particle" : "", "parse-names" : false, "suffix" : "" } ], "id" : "ITEM-1", "issued" : { "date-parts" : [ [ "2015" ] ] }, "number-of-pages" : "1182 pp", "publisher-place" : "Copenhagen, Denmark", "title" : "Report of the Working Group on the Assessment of Demersal Stocks in the North Sea and Skagerrak (WGNSSK), 28 April-7 May 2015", "type" : "report" }, "uris" : [ "http://www.mendeley.com/documents/?uuid=8ebb22d1-b22b-46da-8aa4-0354eefb9c66" ] } ], "mendeley" : { "formattedCitation" : "(ICES, 2015g)", "plainTextFormattedCitation" : "(ICES, 2015g)", "previouslyFormattedCitation" : "(ICES 2015g)" }, "properties" : { "noteIndex" : 0 }, "schema" : "https://github.com/citation-style-language/schema/raw/master/csl-citation.json" }</w:instrText>
      </w:r>
      <w:r w:rsidR="0022026B">
        <w:fldChar w:fldCharType="separate"/>
      </w:r>
      <w:r w:rsidR="00873E7A" w:rsidRPr="00873E7A">
        <w:rPr>
          <w:noProof/>
        </w:rPr>
        <w:t>(ICES, 2015g)</w:t>
      </w:r>
      <w:r w:rsidR="0022026B">
        <w:fldChar w:fldCharType="end"/>
      </w:r>
      <w:r w:rsidR="00682747">
        <w:t xml:space="preserve"> and the 2014</w:t>
      </w:r>
      <w:r w:rsidR="00D01C28" w:rsidRPr="002076F5">
        <w:t xml:space="preserve"> international catch and effort data by fleet and metier</w:t>
      </w:r>
      <w:r w:rsidR="0022026B">
        <w:t xml:space="preserve"> </w:t>
      </w:r>
      <w:r w:rsidR="0022026B">
        <w:fldChar w:fldCharType="begin" w:fldLock="1"/>
      </w:r>
      <w:r w:rsidR="00873E7A">
        <w:instrText>ADDIN CSL_CITATION { "citationItems" : [ { "id" : "ITEM-1", "itemData" : { "DOI" : "ICES CM 2015/ACOM", "author" : [ { "dropping-particle" : "", "family" : "ICES", "given" : "", "non-dropping-particle" : "", "parse-names" : false, "suffix" : "" } ], "id" : "ITEM-1", "issue" : "May", "issued" : { "date-parts" : [ [ "2015" ] ] }, "number-of-pages" : "171", "publisher-place" : "Copenhagen", "title" : "Report of the Working Group on Mixed Fisheries Advice (WGMIXFISH- ADVICE), 25\u201329 May 2015", "type" : "report", "volume" : "21" }, "uris" : [ "http://www.mendeley.com/documents/?uuid=c3bc0cad-c78d-4952-9333-11c690d34897" ] } ], "mendeley" : { "formattedCitation" : "(ICES, 2015e)", "plainTextFormattedCitation" : "(ICES, 2015e)", "previouslyFormattedCitation" : "(ICES 2015e)" }, "properties" : { "noteIndex" : 0 }, "schema" : "https://github.com/citation-style-language/schema/raw/master/csl-citation.json" }</w:instrText>
      </w:r>
      <w:r w:rsidR="0022026B">
        <w:fldChar w:fldCharType="separate"/>
      </w:r>
      <w:r w:rsidR="00873E7A" w:rsidRPr="00873E7A">
        <w:rPr>
          <w:noProof/>
        </w:rPr>
        <w:t>(ICES, 2015e)</w:t>
      </w:r>
      <w:r w:rsidR="0022026B">
        <w:fldChar w:fldCharType="end"/>
      </w:r>
      <w:r w:rsidR="00D01C28" w:rsidRPr="002076F5">
        <w:t>.</w:t>
      </w:r>
      <w:r>
        <w:t xml:space="preserve"> </w:t>
      </w:r>
      <w:r w:rsidR="00682747">
        <w:t>The s</w:t>
      </w:r>
      <w:r w:rsidR="00D802E2">
        <w:t xml:space="preserve">tock recruitment relationships </w:t>
      </w:r>
      <w:r w:rsidR="00682747">
        <w:t xml:space="preserve">used in the </w:t>
      </w:r>
      <w:r w:rsidR="00E914BC">
        <w:t>MSE</w:t>
      </w:r>
      <w:r w:rsidR="00682747">
        <w:t xml:space="preserve"> </w:t>
      </w:r>
      <w:r w:rsidR="00D802E2">
        <w:t>are consistent with those used to derive F</w:t>
      </w:r>
      <w:r w:rsidR="00521B61" w:rsidRPr="00521B61">
        <w:rPr>
          <w:vertAlign w:val="subscript"/>
        </w:rPr>
        <w:t>MSY</w:t>
      </w:r>
      <w:r w:rsidR="00D802E2">
        <w:t xml:space="preserve"> ranges</w:t>
      </w:r>
      <w:r w:rsidR="005A073C">
        <w:t xml:space="preserve"> </w:t>
      </w:r>
      <w:r w:rsidR="00290F6E">
        <w:fldChar w:fldCharType="begin" w:fldLock="1"/>
      </w:r>
      <w:r w:rsidR="00873E7A">
        <w:instrText>ADDIN CSL_CITATION { "citationItems" : [ { "id" : "ITEM-1", "itemData" : { "DOI" : "ICES CM 2014/ACOM:64", "author" : [ { "dropping-particle" : "", "family" : "ICES", "given" : "", "non-dropping-particle" : "", "parse-names" : false, "suffix" : "" } ], "id" : "ITEM-1", "issued" : { "date-parts" : [ [ "2015" ] ] }, "number-of-pages" : "156 pp", "title" : "Report of the Joint ICES-MYFISH Workshop to consider the basis for FMSY ranges for all stocks (WKMSYREF3), 17\u201321 November 2014, Charlottenlund, Denmark.", "type" : "report" }, "uris" : [ "http://www.mendeley.com/documents/?uuid=f1b2c391-ad4a-4874-a984-e9db61ef97c9" ] } ], "mendeley" : { "formattedCitation" : "(ICES, 2015d)", "plainTextFormattedCitation" : "(ICES, 2015d)", "previouslyFormattedCitation" : "(ICES 2015d)" }, "properties" : { "noteIndex" : 0 }, "schema" : "https://github.com/citation-style-language/schema/raw/master/csl-citation.json" }</w:instrText>
      </w:r>
      <w:r w:rsidR="00290F6E">
        <w:fldChar w:fldCharType="separate"/>
      </w:r>
      <w:r w:rsidR="00873E7A" w:rsidRPr="00873E7A">
        <w:rPr>
          <w:noProof/>
        </w:rPr>
        <w:t>(ICES, 2015d)</w:t>
      </w:r>
      <w:r w:rsidR="00290F6E">
        <w:fldChar w:fldCharType="end"/>
      </w:r>
      <w:r w:rsidR="00D802E2">
        <w:t xml:space="preserve">, using the “Hockey Stick” segmented regression model in FLR </w:t>
      </w:r>
      <w:r w:rsidR="005A073C">
        <w:t>fitted on</w:t>
      </w:r>
      <w:r w:rsidR="00D802E2">
        <w:t xml:space="preserve"> the entire time series, except for North Sea cod where only the recent low recruitments (since 1988) are used as in </w:t>
      </w:r>
      <w:r w:rsidR="005A073C">
        <w:t xml:space="preserve">ICES </w:t>
      </w:r>
      <w:r w:rsidR="00290F6E">
        <w:fldChar w:fldCharType="begin" w:fldLock="1"/>
      </w:r>
      <w:r w:rsidR="00873E7A">
        <w:instrText>ADDIN CSL_CITATION { "citationItems" : [ { "id" : "ITEM-1", "itemData" : { "DOI" : "ICES CM 2015/ACOM:13", "author" : [ { "dropping-particle" : "", "family" : "ICES", "given" : "", "non-dropping-particle" : "", "parse-names" : false, "suffix" : "" } ], "id" : "ITEM-1", "issued" : { "date-parts" : [ [ "2015" ] ] }, "number-of-pages" : "1182 pp", "publisher-place" : "Copenhagen, Denmark", "title" : "Report of the Working Group on the Assessment of Demersal Stocks in the North Sea and Skagerrak (WGNSSK), 28 April-7 May 2015", "type" : "report" }, "uris" : [ "http://www.mendeley.com/documents/?uuid=8ebb22d1-b22b-46da-8aa4-0354eefb9c66" ] } ], "mendeley" : { "formattedCitation" : "(ICES, 2015g)", "plainTextFormattedCitation" : "(ICES, 2015g)", "previouslyFormattedCitation" : "(ICES 2015g)" }, "properties" : { "noteIndex" : 0 }, "schema" : "https://github.com/citation-style-language/schema/raw/master/csl-citation.json" }</w:instrText>
      </w:r>
      <w:r w:rsidR="00290F6E">
        <w:fldChar w:fldCharType="separate"/>
      </w:r>
      <w:r w:rsidR="00873E7A" w:rsidRPr="00873E7A">
        <w:rPr>
          <w:noProof/>
        </w:rPr>
        <w:t>(ICES, 2015g)</w:t>
      </w:r>
      <w:r w:rsidR="00290F6E">
        <w:fldChar w:fldCharType="end"/>
      </w:r>
      <w:r w:rsidR="00AF3FC9">
        <w:t>.</w:t>
      </w:r>
      <w:r w:rsidR="00E70AAC" w:rsidRPr="009163B0">
        <w:t xml:space="preserve"> </w:t>
      </w:r>
      <w:r w:rsidR="00D802E2">
        <w:t>Growth and selectivity parameters are</w:t>
      </w:r>
      <w:r w:rsidR="00E914BC">
        <w:t xml:space="preserve"> fixed at the 2012-2014 average, and no observation or assessment error is included.</w:t>
      </w:r>
      <w:r w:rsidR="00D802E2">
        <w:t xml:space="preserve"> </w:t>
      </w:r>
      <w:r w:rsidR="00176DF3">
        <w:t>The F</w:t>
      </w:r>
      <w:r w:rsidR="00521B61" w:rsidRPr="00521B61">
        <w:rPr>
          <w:vertAlign w:val="subscript"/>
        </w:rPr>
        <w:t>MSY</w:t>
      </w:r>
      <w:r w:rsidR="00176DF3">
        <w:t xml:space="preserve"> ranges were taken from</w:t>
      </w:r>
      <w:r w:rsidR="004A14CE">
        <w:t xml:space="preserve"> </w:t>
      </w:r>
      <w:r w:rsidR="004A14CE">
        <w:fldChar w:fldCharType="begin" w:fldLock="1"/>
      </w:r>
      <w:r w:rsidR="00873E7A">
        <w:instrText>ADDIN CSL_CITATION { "citationItems" : [ { "id" : "ITEM-1", "itemData" : { "author" : [ { "dropping-particle" : "", "family" : "ICES", "given" : "", "non-dropping-particle" : "", "parse-names" : false, "suffix" : "" } ], "chapter-number" : "6.2.3.1", "container-title" : "ICES Advice 2015, Book 6", "id" : "ITEM-1", "issued" : { "date-parts" : [ [ "2015" ] ] }, "page" : "11 pp", "title" : "EU request to ICES to provide FMSY ranges for selected North Sea and Baltic Sea stocks", "type" : "chapter" }, "uris" : [ "http://www.mendeley.com/documents/?uuid=ae0bd13c-71f1-490b-9ac5-2788508df8fb" ] } ], "mendeley" : { "formattedCitation" : "(ICES, 2015b)", "plainTextFormattedCitation" : "(ICES, 2015b)", "previouslyFormattedCitation" : "(ICES 2015b)" }, "properties" : { "noteIndex" : 0 }, "schema" : "https://github.com/citation-style-language/schema/raw/master/csl-citation.json" }</w:instrText>
      </w:r>
      <w:r w:rsidR="004A14CE">
        <w:fldChar w:fldCharType="separate"/>
      </w:r>
      <w:r w:rsidR="00873E7A" w:rsidRPr="00873E7A">
        <w:rPr>
          <w:noProof/>
        </w:rPr>
        <w:t>(ICES, 2015b)</w:t>
      </w:r>
      <w:r w:rsidR="004A14CE">
        <w:fldChar w:fldCharType="end"/>
      </w:r>
      <w:r w:rsidR="00176DF3">
        <w:t xml:space="preserve"> </w:t>
      </w:r>
      <w:r w:rsidR="004A14CE">
        <w:t>(</w:t>
      </w:r>
      <w:r w:rsidR="004A14CE">
        <w:fldChar w:fldCharType="begin"/>
      </w:r>
      <w:r w:rsidR="004A14CE">
        <w:instrText xml:space="preserve"> REF _Ref441830138 \h </w:instrText>
      </w:r>
      <w:r w:rsidR="00521B61">
        <w:instrText xml:space="preserve"> \* MERGEFORMAT </w:instrText>
      </w:r>
      <w:r w:rsidR="004A14CE">
        <w:fldChar w:fldCharType="separate"/>
      </w:r>
      <w:r w:rsidR="004A14CE" w:rsidRPr="00192214">
        <w:t>Table 1</w:t>
      </w:r>
      <w:r w:rsidR="004A14CE">
        <w:fldChar w:fldCharType="end"/>
      </w:r>
      <w:r w:rsidR="004A14CE">
        <w:t xml:space="preserve">). </w:t>
      </w:r>
    </w:p>
    <w:p w14:paraId="19FC2247" w14:textId="2FB9C875" w:rsidR="00F85000" w:rsidRPr="009163B0" w:rsidRDefault="00E70AAC" w:rsidP="00DF5AFC">
      <w:r w:rsidRPr="009163B0">
        <w:t>The MSE presented here w</w:t>
      </w:r>
      <w:r w:rsidR="00AF3FC9">
        <w:t>as</w:t>
      </w:r>
      <w:r w:rsidRPr="009163B0">
        <w:t xml:space="preserve"> run </w:t>
      </w:r>
      <w:r w:rsidR="00E43249">
        <w:t xml:space="preserve">with 200 iterations </w:t>
      </w:r>
      <w:r w:rsidRPr="009163B0">
        <w:t>o</w:t>
      </w:r>
      <w:r w:rsidR="00AF3FC9">
        <w:t>ver</w:t>
      </w:r>
      <w:r w:rsidR="00E43249">
        <w:t xml:space="preserve"> a 30 year period</w:t>
      </w:r>
      <w:r w:rsidR="00B324D8">
        <w:t>, but the main focus o</w:t>
      </w:r>
      <w:r w:rsidR="00AF3FC9">
        <w:t>f</w:t>
      </w:r>
      <w:r w:rsidR="00B324D8">
        <w:t xml:space="preserve"> the analysis is the short-term impact for the annual management advice</w:t>
      </w:r>
      <w:r w:rsidR="00F85000">
        <w:t xml:space="preserve">. All runs presented </w:t>
      </w:r>
      <w:r w:rsidR="00AF3FC9">
        <w:t>assume</w:t>
      </w:r>
      <w:r w:rsidR="00F85000">
        <w:t xml:space="preserve"> </w:t>
      </w:r>
      <w:r w:rsidR="00E914BC">
        <w:t xml:space="preserve">also </w:t>
      </w:r>
      <w:r w:rsidR="00F85000">
        <w:t xml:space="preserve">a </w:t>
      </w:r>
      <w:r w:rsidR="00E914BC">
        <w:t xml:space="preserve">perfect implementation of the landings obligation as in </w:t>
      </w:r>
      <w:r w:rsidR="00290F6E">
        <w:fldChar w:fldCharType="begin" w:fldLock="1"/>
      </w:r>
      <w:r w:rsidR="00873E7A">
        <w:instrText>ADDIN CSL_CITATION { "citationItems" : [ { "id" : "ITEM-1", "itemData" : { "author" : [ { "dropping-particle" : "", "family" : "ICES", "given" : "", "non-dropping-particle" : "", "parse-names" : false, "suffix" : "" } ], "chapter-number" : "6.2.2.2", "container-title" : "ICES Advice 2015, Book 6", "id" : "ITEM-1", "issued" : { "date-parts" : [ [ "2015" ] ] }, "page" : "13 pp", "title" : "Mixed-fisheries advice for Subarea IV (North Sea) and Divisions IIIa North (Skagerrak) and VIId (Eastern Channel)", "type" : "chapter" }, "uris" : [ "http://www.mendeley.com/documents/?uuid=ed2185fe-02ab-4c01-881b-fec0e21d1cc4" ] }, { "id" : "ITEM-2", "itemData" : { "DOI" : "EUR 27232 EN, JRC 95959", "author" : [ { "dropping-particle" : "", "family" : "Scientific Technical and Economic Committee for Fisheries (STECF)", "given" : "", "non-dropping-particle" : "", "parse-names" : false, "suffix" : "" } ], "id" : "ITEM-2", "issued" : { "date-parts" : [ [ "2015" ] ] }, "number-of-pages" : "152 pp", "publisher-place" : "Luxembourg: Publications Office of the European Union", "title" : "Evaluation of management plans: Evaluation of the multi-annual plan for the North Sea demersal stocks (STECF-15-04)", "type" : "report" }, "uris" : [ "http://www.mendeley.com/documents/?uuid=47258b2e-dedf-4b9d-bc89-e81ac8d644dd" ] } ], "mendeley" : { "formattedCitation" : "(ICES, 2015c; Scientific Technical and Economic Committee for Fisheries (STECF), 2015a)", "manualFormatting" : "(ICES 2015b; STECF 2015a)", "plainTextFormattedCitation" : "(ICES, 2015c; Scientific Technical and Economic Committee for Fisheries (STECF), 2015a)", "previouslyFormattedCitation" : "(ICES 2015c; Scientific Technical and Economic Committee for Fisheries (STECF) 2015a)" }, "properties" : { "noteIndex" : 0 }, "schema" : "https://github.com/citation-style-language/schema/raw/master/csl-citation.json" }</w:instrText>
      </w:r>
      <w:r w:rsidR="00290F6E">
        <w:fldChar w:fldCharType="separate"/>
      </w:r>
      <w:r w:rsidR="00002849" w:rsidRPr="00002849">
        <w:rPr>
          <w:noProof/>
        </w:rPr>
        <w:t>(ICES 2015b; STECF 2015a)</w:t>
      </w:r>
      <w:r w:rsidR="00290F6E">
        <w:fldChar w:fldCharType="end"/>
      </w:r>
      <w:r w:rsidR="00D802E2">
        <w:t xml:space="preserve">, i.e. that all </w:t>
      </w:r>
      <w:r w:rsidR="00E914BC">
        <w:t>catches</w:t>
      </w:r>
      <w:r w:rsidR="00D802E2">
        <w:t xml:space="preserve"> are landed</w:t>
      </w:r>
      <w:r w:rsidR="00E914BC">
        <w:t xml:space="preserve"> from 2016 on</w:t>
      </w:r>
      <w:r w:rsidR="001020F4">
        <w:t>, but without changes of the selectivity patterns.</w:t>
      </w:r>
    </w:p>
    <w:p w14:paraId="567D93DB" w14:textId="7E927104" w:rsidR="00330F98" w:rsidRPr="009163B0" w:rsidRDefault="0059048E" w:rsidP="00DF5AFC">
      <w:pPr>
        <w:pStyle w:val="Overskrift2"/>
      </w:pPr>
      <w:r>
        <w:t>Analyses</w:t>
      </w:r>
    </w:p>
    <w:p w14:paraId="2A9E0C68" w14:textId="7F2AAC5E" w:rsidR="00B5736A" w:rsidRPr="009163B0" w:rsidRDefault="00290F6E" w:rsidP="00DF5AFC">
      <w:r>
        <w:fldChar w:fldCharType="begin" w:fldLock="1"/>
      </w:r>
      <w:r w:rsidR="00873E7A">
        <w:instrText>ADDIN CSL_CITATION { "citationItems" : [ { "id" : "ITEM-1", "itemData" : { "DOI" : "EUR 27232 EN, JRC 95959", "author" : [ { "dropping-particle" : "", "family" : "Scientific Technical and Economic Committee for Fisheries (STECF)", "given" : "", "non-dropping-particle" : "", "parse-names" : false, "suffix" : "" } ], "id" : "ITEM-1", "issued" : { "date-parts" : [ [ "2015" ] ] }, "number-of-pages" : "152 pp", "publisher-place" : "Luxembourg: Publications Office of the European Union", "title" : "Evaluation of management plans: Evaluation of the multi-annual plan for the North Sea demersal stocks (STECF-15-04)", "type" : "report" }, "uris" : [ "http://www.mendeley.com/documents/?uuid=47258b2e-dedf-4b9d-bc89-e81ac8d644dd" ] } ], "mendeley" : { "formattedCitation" : "(Scientific Technical and Economic Committee for Fisheries (STECF), 2015a)", "manualFormatting" : "(STECF 2015a)", "plainTextFormattedCitation" : "(Scientific Technical and Economic Committee for Fisheries (STECF), 2015a)", "previouslyFormattedCitation" : "(Scientific Technical and Economic Committee for Fisheries (STECF) 2015a)" }, "properties" : { "noteIndex" : 0 }, "schema" : "https://github.com/citation-style-language/schema/raw/master/csl-citation.json" }</w:instrText>
      </w:r>
      <w:r>
        <w:fldChar w:fldCharType="separate"/>
      </w:r>
      <w:r w:rsidR="00002849">
        <w:rPr>
          <w:noProof/>
        </w:rPr>
        <w:t>(STECF</w:t>
      </w:r>
      <w:r w:rsidR="00DD7731" w:rsidRPr="00DD7731">
        <w:rPr>
          <w:noProof/>
        </w:rPr>
        <w:t xml:space="preserve"> 2015a)</w:t>
      </w:r>
      <w:r>
        <w:fldChar w:fldCharType="end"/>
      </w:r>
      <w:r w:rsidR="0063520C" w:rsidRPr="009163B0">
        <w:t xml:space="preserve"> investigated a </w:t>
      </w:r>
      <w:r w:rsidR="00E914BC">
        <w:t xml:space="preserve">large </w:t>
      </w:r>
      <w:r w:rsidR="0063520C" w:rsidRPr="009163B0">
        <w:t xml:space="preserve">number of </w:t>
      </w:r>
      <w:r w:rsidR="004A29B9">
        <w:t xml:space="preserve">management </w:t>
      </w:r>
      <w:r w:rsidR="0063520C" w:rsidRPr="009163B0">
        <w:t xml:space="preserve">scenarios formulated by the EU Commission, including options </w:t>
      </w:r>
      <w:r w:rsidR="00E914BC">
        <w:t>allowing for longer time periods (five or ten years) before reaching F</w:t>
      </w:r>
      <w:r w:rsidR="00521B61" w:rsidRPr="00521B61">
        <w:rPr>
          <w:vertAlign w:val="subscript"/>
        </w:rPr>
        <w:t>MSY</w:t>
      </w:r>
      <w:r w:rsidR="0063520C" w:rsidRPr="009163B0">
        <w:t xml:space="preserve">. </w:t>
      </w:r>
      <w:r w:rsidR="00E914BC">
        <w:t xml:space="preserve">Based on the outcomes of </w:t>
      </w:r>
      <w:r w:rsidR="0063520C" w:rsidRPr="009163B0">
        <w:t>this first screening, only a subset</w:t>
      </w:r>
      <w:r w:rsidR="00E914BC">
        <w:t xml:space="preserve"> of scenarios</w:t>
      </w:r>
      <w:r w:rsidR="0063520C" w:rsidRPr="009163B0">
        <w:t xml:space="preserve"> </w:t>
      </w:r>
      <w:r w:rsidR="00DE0D69" w:rsidRPr="009163B0">
        <w:t>ha</w:t>
      </w:r>
      <w:r w:rsidR="00D712A5">
        <w:t>s</w:t>
      </w:r>
      <w:r w:rsidR="00DE0D69" w:rsidRPr="009163B0">
        <w:t xml:space="preserve"> been</w:t>
      </w:r>
      <w:r w:rsidR="0063520C" w:rsidRPr="009163B0">
        <w:t xml:space="preserve"> selected and updated here</w:t>
      </w:r>
      <w:r w:rsidR="00833284">
        <w:t xml:space="preserve"> (</w:t>
      </w:r>
      <w:r w:rsidR="00833284">
        <w:fldChar w:fldCharType="begin"/>
      </w:r>
      <w:r w:rsidR="00833284">
        <w:instrText xml:space="preserve"> REF _Ref441836590 \h </w:instrText>
      </w:r>
      <w:r w:rsidR="00521B61">
        <w:instrText xml:space="preserve"> \* MERGEFORMAT </w:instrText>
      </w:r>
      <w:r w:rsidR="00833284">
        <w:fldChar w:fldCharType="separate"/>
      </w:r>
      <w:r w:rsidR="00833284">
        <w:t xml:space="preserve">Table </w:t>
      </w:r>
      <w:r w:rsidR="00833284">
        <w:rPr>
          <w:noProof/>
        </w:rPr>
        <w:t>2</w:t>
      </w:r>
      <w:r w:rsidR="00833284">
        <w:fldChar w:fldCharType="end"/>
      </w:r>
      <w:r w:rsidR="00833284">
        <w:t>)</w:t>
      </w:r>
      <w:r w:rsidR="0063520C" w:rsidRPr="009163B0">
        <w:t xml:space="preserve">. </w:t>
      </w:r>
      <w:r w:rsidR="00E26EAE">
        <w:t>Four</w:t>
      </w:r>
      <w:r w:rsidR="0063520C" w:rsidRPr="009163B0">
        <w:t xml:space="preserve"> </w:t>
      </w:r>
      <w:r w:rsidR="00E26EAE">
        <w:t>evaluation aspects</w:t>
      </w:r>
      <w:r w:rsidR="00E26EAE" w:rsidRPr="009163B0">
        <w:t xml:space="preserve"> </w:t>
      </w:r>
      <w:r w:rsidR="00330F98" w:rsidRPr="009163B0">
        <w:t xml:space="preserve">were </w:t>
      </w:r>
      <w:r w:rsidR="00E26EAE">
        <w:t>analysed</w:t>
      </w:r>
      <w:r w:rsidR="00B5736A" w:rsidRPr="009163B0">
        <w:t xml:space="preserve">: </w:t>
      </w:r>
    </w:p>
    <w:p w14:paraId="0C4EAF13" w14:textId="7C8E673A" w:rsidR="00B5736A" w:rsidRPr="009163B0" w:rsidRDefault="00B5736A" w:rsidP="00DF5AFC">
      <w:r w:rsidRPr="009163B0">
        <w:t>1)</w:t>
      </w:r>
      <w:r w:rsidRPr="009163B0">
        <w:tab/>
      </w:r>
      <w:r w:rsidRPr="009163B0">
        <w:rPr>
          <w:i/>
        </w:rPr>
        <w:t>Performance</w:t>
      </w:r>
      <w:r w:rsidRPr="009163B0">
        <w:t xml:space="preserve"> of the different </w:t>
      </w:r>
      <w:r w:rsidR="00D7384F">
        <w:t>single-stock HCR</w:t>
      </w:r>
      <w:r w:rsidRPr="009163B0">
        <w:t xml:space="preserve"> without account</w:t>
      </w:r>
      <w:r w:rsidR="004A14CE">
        <w:t xml:space="preserve">ing for technical interactions. These runs are used as a baseline, and they also </w:t>
      </w:r>
      <w:r w:rsidR="006E7DCD">
        <w:t>evaluate</w:t>
      </w:r>
      <w:r w:rsidR="004A14CE">
        <w:t xml:space="preserve"> the outcomes of the MSY ranges, </w:t>
      </w:r>
      <w:r w:rsidR="006E7DCD">
        <w:t>which</w:t>
      </w:r>
      <w:r w:rsidR="004A14CE">
        <w:t xml:space="preserve"> were identified through long-term simulations with multiple sources of uncertainty </w:t>
      </w:r>
      <w:r w:rsidR="006E7DCD">
        <w:t xml:space="preserve">using the EqSim model </w:t>
      </w:r>
      <w:r w:rsidR="004A14CE">
        <w:fldChar w:fldCharType="begin" w:fldLock="1"/>
      </w:r>
      <w:r w:rsidR="00873E7A">
        <w:instrText>ADDIN CSL_CITATION { "citationItems" : [ { "id" : "ITEM-1", "itemData" : { "DOI" : "ICES CM 2014/ACOM:64", "author" : [ { "dropping-particle" : "", "family" : "ICES", "given" : "", "non-dropping-particle" : "", "parse-names" : false, "suffix" : "" } ], "id" : "ITEM-1", "issued" : { "date-parts" : [ [ "2015" ] ] }, "number-of-pages" : "156 pp", "title" : "Report of the Joint ICES-MYFISH Workshop to consider the basis for FMSY ranges for all stocks (WKMSYREF3), 17\u201321 November 2014, Charlottenlund, Denmark.", "type" : "report" }, "uris" : [ "http://www.mendeley.com/documents/?uuid=f1b2c391-ad4a-4874-a984-e9db61ef97c9" ] } ], "mendeley" : { "formattedCitation" : "(ICES, 2015d)", "plainTextFormattedCitation" : "(ICES, 2015d)", "previouslyFormattedCitation" : "(ICES 2015d)" }, "properties" : { "noteIndex" : 0 }, "schema" : "https://github.com/citation-style-language/schema/raw/master/csl-citation.json" }</w:instrText>
      </w:r>
      <w:r w:rsidR="004A14CE">
        <w:fldChar w:fldCharType="separate"/>
      </w:r>
      <w:r w:rsidR="00873E7A" w:rsidRPr="00873E7A">
        <w:rPr>
          <w:noProof/>
        </w:rPr>
        <w:t>(ICES, 2015d)</w:t>
      </w:r>
      <w:r w:rsidR="004A14CE">
        <w:fldChar w:fldCharType="end"/>
      </w:r>
      <w:r w:rsidR="006E7DCD">
        <w:t>, in a short/ medium approach using FCube. Four HCR</w:t>
      </w:r>
      <w:r w:rsidR="00047C49">
        <w:t>s</w:t>
      </w:r>
      <w:r w:rsidR="006E7DCD">
        <w:t xml:space="preserve"> are compared for the five stocks</w:t>
      </w:r>
      <w:r w:rsidR="00047C49">
        <w:t xml:space="preserve">: </w:t>
      </w:r>
      <w:r w:rsidR="0063520C" w:rsidRPr="009163B0">
        <w:t>F</w:t>
      </w:r>
      <w:r w:rsidR="00521B61" w:rsidRPr="00521B61">
        <w:rPr>
          <w:vertAlign w:val="subscript"/>
        </w:rPr>
        <w:t>MSY</w:t>
      </w:r>
      <w:r w:rsidR="0063520C" w:rsidRPr="009163B0">
        <w:t xml:space="preserve">, </w:t>
      </w:r>
      <w:r w:rsidR="003263AB" w:rsidRPr="009163B0">
        <w:t>MSY F</w:t>
      </w:r>
      <w:r w:rsidR="003263AB" w:rsidRPr="00E914BC">
        <w:rPr>
          <w:vertAlign w:val="subscript"/>
        </w:rPr>
        <w:t>upper</w:t>
      </w:r>
      <w:r w:rsidR="0063520C" w:rsidRPr="009163B0">
        <w:t xml:space="preserve">, </w:t>
      </w:r>
      <w:r w:rsidR="003263AB" w:rsidRPr="009163B0">
        <w:t>MSY F</w:t>
      </w:r>
      <w:r w:rsidR="003263AB" w:rsidRPr="00E914BC">
        <w:rPr>
          <w:vertAlign w:val="subscript"/>
        </w:rPr>
        <w:t>lower</w:t>
      </w:r>
      <w:r w:rsidR="0063520C" w:rsidRPr="009163B0">
        <w:t xml:space="preserve">, </w:t>
      </w:r>
      <w:r w:rsidR="006E7DCD">
        <w:t>(</w:t>
      </w:r>
      <w:r w:rsidR="00047C49">
        <w:t xml:space="preserve">all three </w:t>
      </w:r>
      <w:r w:rsidR="006E7DCD">
        <w:t xml:space="preserve">with ICES </w:t>
      </w:r>
      <w:r w:rsidR="00D712A5">
        <w:t xml:space="preserve">advice </w:t>
      </w:r>
      <w:r w:rsidR="006E7DCD">
        <w:t>sliding rule</w:t>
      </w:r>
      <w:r w:rsidR="00D712A5">
        <w:t xml:space="preserve"> </w:t>
      </w:r>
      <w:r w:rsidR="00D712A5">
        <w:fldChar w:fldCharType="begin" w:fldLock="1"/>
      </w:r>
      <w:r w:rsidR="00873E7A">
        <w:instrText>ADDIN CSL_CITATION { "citationItems" : [ { "id" : "ITEM-1", "itemData" : { "author" : [ { "dropping-particle" : "", "family" : "ICES", "given" : "", "non-dropping-particle" : "", "parse-names" : false, "suffix" : "" } ], "id" : "ITEM-1", "issued" : { "date-parts" : [ [ "2015" ] ] }, "number-of-pages" : "13", "publisher-place" : "Copenhagen, Denmark", "title" : "Advice Basis", "type" : "report" }, "uris" : [ "http://www.mendeley.com/documents/?uuid=11a93347-53a0-4721-8181-d5483afc19dc" ] } ], "mendeley" : { "formattedCitation" : "(ICES, 2015a)", "plainTextFormattedCitation" : "(ICES, 2015a)", "previouslyFormattedCitation" : "(ICES 2015a)" }, "properties" : { "noteIndex" : 0 }, "schema" : "https://github.com/citation-style-language/schema/raw/master/csl-citation.json" }</w:instrText>
      </w:r>
      <w:r w:rsidR="00D712A5">
        <w:fldChar w:fldCharType="separate"/>
      </w:r>
      <w:r w:rsidR="00873E7A" w:rsidRPr="00873E7A">
        <w:rPr>
          <w:noProof/>
        </w:rPr>
        <w:t>(ICES, 2015a)</w:t>
      </w:r>
      <w:r w:rsidR="00D712A5">
        <w:fldChar w:fldCharType="end"/>
      </w:r>
      <w:r w:rsidR="006E7DCD">
        <w:t xml:space="preserve">), and current </w:t>
      </w:r>
      <w:r w:rsidR="0063520C" w:rsidRPr="009163B0">
        <w:t>s</w:t>
      </w:r>
      <w:r w:rsidR="0077557A" w:rsidRPr="009163B0">
        <w:t>ingle-stock management plans</w:t>
      </w:r>
      <w:r w:rsidR="006E7DCD">
        <w:t xml:space="preserve"> (LTMP</w:t>
      </w:r>
      <w:r w:rsidR="00833284">
        <w:t xml:space="preserve">, including the respective sliding rules where appropriate, </w:t>
      </w:r>
      <w:r w:rsidR="00833284">
        <w:fldChar w:fldCharType="begin" w:fldLock="1"/>
      </w:r>
      <w:r w:rsidR="00873E7A">
        <w:instrText>ADDIN CSL_CITATION { "citationItems" : [ { "id" : "ITEM-1", "itemData" : { "DOI" : "ICES CM 2015/ACOM", "author" : [ { "dropping-particle" : "", "family" : "ICES", "given" : "", "non-dropping-particle" : "", "parse-names" : false, "suffix" : "" } ], "id" : "ITEM-1", "issue" : "May", "issued" : { "date-parts" : [ [ "2015" ] ] }, "number-of-pages" : "171", "publisher-place" : "Copenhagen", "title" : "Report of the Working Group on Mixed Fisheries Advice (WGMIXFISH- ADVICE), 25\u201329 May 2015", "type" : "report", "volume" : "21" }, "uris" : [ "http://www.mendeley.com/documents/?uuid=c3bc0cad-c78d-4952-9333-11c690d34897" ] } ], "mendeley" : { "formattedCitation" : "(ICES, 2015e)", "plainTextFormattedCitation" : "(ICES, 2015e)", "previouslyFormattedCitation" : "(ICES 2015e)" }, "properties" : { "noteIndex" : 0 }, "schema" : "https://github.com/citation-style-language/schema/raw/master/csl-citation.json" }</w:instrText>
      </w:r>
      <w:r w:rsidR="00833284">
        <w:fldChar w:fldCharType="separate"/>
      </w:r>
      <w:r w:rsidR="00873E7A" w:rsidRPr="00873E7A">
        <w:rPr>
          <w:noProof/>
        </w:rPr>
        <w:t>(ICES, 2015e)</w:t>
      </w:r>
      <w:r w:rsidR="00833284">
        <w:fldChar w:fldCharType="end"/>
      </w:r>
      <w:r w:rsidR="006E7DCD">
        <w:t>)</w:t>
      </w:r>
      <w:r w:rsidR="0077557A" w:rsidRPr="009163B0">
        <w:t>.</w:t>
      </w:r>
    </w:p>
    <w:p w14:paraId="419F35B5" w14:textId="5C905482" w:rsidR="00330F98" w:rsidRPr="009163B0" w:rsidRDefault="00B5736A" w:rsidP="00DF5AFC">
      <w:r w:rsidRPr="009163B0">
        <w:t>2)</w:t>
      </w:r>
      <w:r w:rsidRPr="009163B0">
        <w:tab/>
      </w:r>
      <w:r w:rsidRPr="009163B0">
        <w:rPr>
          <w:i/>
        </w:rPr>
        <w:t>Robustness</w:t>
      </w:r>
      <w:r w:rsidRPr="009163B0">
        <w:t xml:space="preserve"> of the</w:t>
      </w:r>
      <w:r w:rsidR="00D7384F">
        <w:t xml:space="preserve">se four HCRs to mixed-fisheries implementation error, </w:t>
      </w:r>
      <w:r w:rsidRPr="009163B0">
        <w:t xml:space="preserve">where the true catches for each stock differ from the expected catches due to </w:t>
      </w:r>
      <w:r w:rsidR="00C605B1" w:rsidRPr="009163B0">
        <w:t>quota ove</w:t>
      </w:r>
      <w:r w:rsidR="00C605B1">
        <w:t>r-</w:t>
      </w:r>
      <w:r w:rsidR="00C605B1" w:rsidRPr="009163B0">
        <w:t xml:space="preserve"> or under</w:t>
      </w:r>
      <w:r w:rsidR="00497523">
        <w:t>-</w:t>
      </w:r>
      <w:r w:rsidR="00D7384F">
        <w:t>shoot</w:t>
      </w:r>
      <w:r w:rsidR="00C605B1">
        <w:t xml:space="preserve">s. </w:t>
      </w:r>
      <w:r w:rsidR="00D7384F">
        <w:t xml:space="preserve">For each HCR, 3 FCube options are run (Min, Max, Value). </w:t>
      </w:r>
      <w:r w:rsidR="00CF471D">
        <w:t xml:space="preserve">In addition, a run is performed fixing fishing effort at its 2014 </w:t>
      </w:r>
      <w:r w:rsidR="00CF471D">
        <w:lastRenderedPageBreak/>
        <w:t>level (thus assuming constant fishing mortality).</w:t>
      </w:r>
      <w:r w:rsidR="00D712A5">
        <w:t xml:space="preserve"> </w:t>
      </w:r>
      <w:r w:rsidR="00330F98" w:rsidRPr="009163B0">
        <w:t xml:space="preserve">The outcomes of this analysis </w:t>
      </w:r>
      <w:r w:rsidR="00497523">
        <w:t>were</w:t>
      </w:r>
      <w:r w:rsidR="00330F98" w:rsidRPr="009163B0">
        <w:t xml:space="preserve"> the comparison of levels of </w:t>
      </w:r>
      <w:r w:rsidR="00D87264">
        <w:t>im</w:t>
      </w:r>
      <w:r w:rsidR="00D87264" w:rsidRPr="009163B0">
        <w:t xml:space="preserve">balance </w:t>
      </w:r>
      <w:r w:rsidR="00330F98" w:rsidRPr="009163B0">
        <w:t>and risk in the system</w:t>
      </w:r>
      <w:r w:rsidR="00D7384F">
        <w:t xml:space="preserve"> under different target fishing mortalities</w:t>
      </w:r>
      <w:r w:rsidR="00330F98" w:rsidRPr="009163B0">
        <w:t>.</w:t>
      </w:r>
    </w:p>
    <w:p w14:paraId="2E94FCEC" w14:textId="45257CA4" w:rsidR="000B5C8C" w:rsidRPr="00C8093F" w:rsidRDefault="008813A7" w:rsidP="00DF5AFC">
      <w:r w:rsidRPr="009163B0">
        <w:t>3)</w:t>
      </w:r>
      <w:r w:rsidRPr="009163B0">
        <w:tab/>
      </w:r>
      <w:r w:rsidR="00D7384F">
        <w:rPr>
          <w:i/>
        </w:rPr>
        <w:t>Minimum imbalance</w:t>
      </w:r>
      <w:r w:rsidRPr="009163B0">
        <w:t xml:space="preserve">. </w:t>
      </w:r>
      <w:r w:rsidR="00677082">
        <w:t xml:space="preserve">The optimisation module was used to identify which vector of target fishing mortalities in 2016 </w:t>
      </w:r>
      <w:r w:rsidR="00C8093F">
        <w:t xml:space="preserve">within the MSY ranges </w:t>
      </w:r>
      <w:r w:rsidR="00677082">
        <w:t>would minimise the mixed-fisheries imbalance</w:t>
      </w:r>
      <w:r w:rsidR="00C8093F">
        <w:t xml:space="preserve">, in the deterministic short-term forecast setup as used in </w:t>
      </w:r>
      <w:r w:rsidR="00C8093F">
        <w:fldChar w:fldCharType="begin" w:fldLock="1"/>
      </w:r>
      <w:r w:rsidR="00873E7A">
        <w:instrText>ADDIN CSL_CITATION { "citationItems" : [ { "id" : "ITEM-1", "itemData" : { "author" : [ { "dropping-particle" : "", "family" : "ICES", "given" : "", "non-dropping-particle" : "", "parse-names" : false, "suffix" : "" } ], "chapter-number" : "6.2.2.2", "container-title" : "ICES Advice 2015, Book 6", "id" : "ITEM-1", "issued" : { "date-parts" : [ [ "2015" ] ] }, "page" : "13 pp", "title" : "Mixed-fisheries advice for Subarea IV (North Sea) and Divisions IIIa North (Skagerrak) and VIId (Eastern Channel)", "type" : "chapter" }, "uris" : [ "http://www.mendeley.com/documents/?uuid=ed2185fe-02ab-4c01-881b-fec0e21d1cc4" ] } ], "mendeley" : { "formattedCitation" : "(ICES, 2015c)", "plainTextFormattedCitation" : "(ICES, 2015c)", "previouslyFormattedCitation" : "(ICES 2015c)" }, "properties" : { "noteIndex" : 0 }, "schema" : "https://github.com/citation-style-language/schema/raw/master/csl-citation.json" }</w:instrText>
      </w:r>
      <w:r w:rsidR="00C8093F">
        <w:fldChar w:fldCharType="separate"/>
      </w:r>
      <w:r w:rsidR="00873E7A" w:rsidRPr="00873E7A">
        <w:rPr>
          <w:noProof/>
        </w:rPr>
        <w:t>(ICES, 2015c)</w:t>
      </w:r>
      <w:r w:rsidR="00C8093F">
        <w:fldChar w:fldCharType="end"/>
      </w:r>
      <w:r w:rsidR="00C8093F">
        <w:t>. The resulting vector of fishing mortalities is referred to as Foptim</w:t>
      </w:r>
      <w:r w:rsidR="00D712A5">
        <w:t>.</w:t>
      </w:r>
    </w:p>
    <w:p w14:paraId="34AF36EE" w14:textId="6C5EE205" w:rsidR="00B555A7" w:rsidRDefault="008813A7" w:rsidP="00892123">
      <w:r w:rsidRPr="000E34DB">
        <w:t>4</w:t>
      </w:r>
      <w:r w:rsidR="00B5736A" w:rsidRPr="000E34DB">
        <w:t>)</w:t>
      </w:r>
      <w:r w:rsidR="00B5736A" w:rsidRPr="000E34DB">
        <w:tab/>
      </w:r>
      <w:r w:rsidR="00B5736A" w:rsidRPr="000E34DB">
        <w:rPr>
          <w:i/>
        </w:rPr>
        <w:t>Impact assessment</w:t>
      </w:r>
      <w:r w:rsidR="00B5736A" w:rsidRPr="000E34DB">
        <w:t xml:space="preserve"> of the different </w:t>
      </w:r>
      <w:r w:rsidR="00C8093F">
        <w:t>HCR</w:t>
      </w:r>
      <w:r w:rsidR="00CF471D">
        <w:t xml:space="preserve"> on stocks and fleets accounting for technical interactions, </w:t>
      </w:r>
      <w:r w:rsidR="000E34DB">
        <w:t>performed</w:t>
      </w:r>
      <w:r w:rsidR="00B5736A" w:rsidRPr="000E34DB">
        <w:t xml:space="preserve"> </w:t>
      </w:r>
      <w:r w:rsidR="000E34DB">
        <w:t>using</w:t>
      </w:r>
      <w:r w:rsidR="00B5736A" w:rsidRPr="000E34DB">
        <w:t xml:space="preserve"> the “</w:t>
      </w:r>
      <w:r w:rsidR="00892123" w:rsidRPr="000E34DB">
        <w:t>Value” FC</w:t>
      </w:r>
      <w:r w:rsidR="00B5736A" w:rsidRPr="000E34DB">
        <w:t>ube scenario</w:t>
      </w:r>
      <w:r w:rsidR="00892123" w:rsidRPr="000E34DB">
        <w:t xml:space="preserve"> </w:t>
      </w:r>
      <w:r w:rsidR="00E50175" w:rsidRPr="000E34DB">
        <w:t>(</w:t>
      </w:r>
      <w:r w:rsidR="00290F6E">
        <w:fldChar w:fldCharType="begin" w:fldLock="1"/>
      </w:r>
      <w:r w:rsidR="00873E7A">
        <w:instrText>ADDIN CSL_CITATION { "citationItems" : [ { "id" : "ITEM-1", "itemData" : { "author" : [ { "dropping-particle" : "", "family" : "ICES", "given" : "", "non-dropping-particle" : "", "parse-names" : false, "suffix" : "" } ], "chapter-number" : "6.2.2.2", "container-title" : "ICES Advice 2015, Book 6", "id" : "ITEM-1", "issued" : { "date-parts" : [ [ "2015" ] ] }, "page" : "13 pp", "title" : "Mixed-fisheries advice for Subarea IV (North Sea) and Divisions IIIa North (Skagerrak) and VIId (Eastern Channel)", "type" : "chapter" }, "uris" : [ "http://www.mendeley.com/documents/?uuid=ed2185fe-02ab-4c01-881b-fec0e21d1cc4" ] }, { "id" : "ITEM-2", "itemData" : { "DOI" : "EUR 27232 EN, JRC 95959", "author" : [ { "dropping-particle" : "", "family" : "Scientific Technical and Economic Committee for Fisheries (STECF)", "given" : "", "non-dropping-particle" : "", "parse-names" : false, "suffix" : "" } ], "id" : "ITEM-2", "issued" : { "date-parts" : [ [ "2015" ] ] }, "number-of-pages" : "152 pp", "publisher-place" : "Luxembourg: Publications Office of the European Union", "title" : "Evaluation of management plans: Evaluation of the multi-annual plan for the North Sea demersal stocks (STECF-15-04)", "type" : "report" }, "uris" : [ "http://www.mendeley.com/documents/?uuid=47258b2e-dedf-4b9d-bc89-e81ac8d644dd" ] } ], "mendeley" : { "formattedCitation" : "(ICES, 2015c; Scientific Technical and Economic Committee for Fisheries (STECF), 2015a)", "manualFormatting" : "(ICES, 2015b; (STECF, 2015a)", "plainTextFormattedCitation" : "(ICES, 2015c; Scientific Technical and Economic Committee for Fisheries (STECF), 2015a)", "previouslyFormattedCitation" : "(ICES 2015c; Scientific Technical and Economic Committee for Fisheries (STECF) 2015a)" }, "properties" : { "noteIndex" : 0 }, "schema" : "https://github.com/citation-style-language/schema/raw/master/csl-citation.json" }</w:instrText>
      </w:r>
      <w:r w:rsidR="00290F6E">
        <w:fldChar w:fldCharType="separate"/>
      </w:r>
      <w:r w:rsidR="00064D40" w:rsidRPr="00064D40">
        <w:rPr>
          <w:noProof/>
        </w:rPr>
        <w:t>(ICES, 2015b; (STECF, 2015a)</w:t>
      </w:r>
      <w:r w:rsidR="00290F6E">
        <w:fldChar w:fldCharType="end"/>
      </w:r>
      <w:r w:rsidR="00290F6E">
        <w:t>.</w:t>
      </w:r>
      <w:r w:rsidR="00BE7C0A" w:rsidRPr="000E34DB">
        <w:t xml:space="preserve"> </w:t>
      </w:r>
      <w:r w:rsidR="00892123">
        <w:t xml:space="preserve">Although the validity of this proxy in an economic perspective is questionable </w:t>
      </w:r>
      <w:r w:rsidR="00892123">
        <w:fldChar w:fldCharType="begin" w:fldLock="1"/>
      </w:r>
      <w:r w:rsidR="00873E7A">
        <w:instrText>ADDIN CSL_CITATION { "citationItems" : [ { "id" : "ITEM-1", "itemData" : { "DOI" : "10.1093/icesjms/fsq076", "ISBN" : "1054-3139", "ISSN" : "10543139", "abstract" : "Applying single-species assessment and quotas in multispecies fisheries can lead to overfishing or quota underutilization, because advice can be conflicting when different stocks are caught within the same fishery. During the past decade, increased focus on this issue has resulted in the development of management tools based on fleets, fisheries, and areas, rather than on unit fish stocks. A natural consequence of this has been to consider effort rather than quota management, a final effort decision being based on fleet-harvest potential and fish-stock-preservation considerations. Effort allocation between fleets should not be based on biological considerations alone, but also on the economic behaviour of fishers, because fisheries management has a significant impact on human behaviour as well as on ecosystem development. The FcubEcon management framework for effort allocation between fleets and fisheries is presented, based on the economic optimization of a fishery\u2019s earnings while complying with stock-pres- ervation criteria. Through case studies of two European fisheries, it is shown how fishery earnings can be increased significantly by reallocating effort between fisheries in an economically optimal manner, in both effort-management and single-quota management settings.", "author" : [ { "dropping-particle" : "", "family" : "Hoff", "given" : "Ayoe", "non-dropping-particle" : "", "parse-names" : false, "suffix" : "" }, { "dropping-particle" : "", "family" : "Frost", "given" : "Hans", "non-dropping-particle" : "", "parse-names" : false, "suffix" : "" }, { "dropping-particle" : "", "family" : "Ulrich", "given" : "Clara", "non-dropping-particle" : "", "parse-names" : false, "suffix" : "" }, { "dropping-particle" : "", "family" : "Damalas", "given" : "Dimitrios", "non-dropping-particle" : "", "parse-names" : false, "suffix" : "" }, { "dropping-particle" : "", "family" : "Maravelias", "given" : "Christos D.", "non-dropping-particle" : "", "parse-names" : false, "suffix" : "" }, { "dropping-particle" : "", "family" : "Goti", "given" : "Leyre", "non-dropping-particle" : "", "parse-names" : false, "suffix" : "" }, { "dropping-particle" : "", "family" : "Santurt\u00fan", "given" : "Marina", "non-dropping-particle" : "", "parse-names" : false, "suffix" : "" } ], "container-title" : "ICES Journal of Marine Science", "id" : "ITEM-1", "issue" : "8", "issued" : { "date-parts" : [ [ "2010" ] ] }, "page" : "1802-1810", "title" : "Economic effort management in multispecies fisheries: The FcubEcon model", "type" : "article-journal", "volume" : "67" }, "uris" : [ "http://www.mendeley.com/documents/?uuid=be936828-be37-4028-b3ce-b2bd7ab12df6" ] } ], "mendeley" : { "formattedCitation" : "(Hoff et al., 2010)", "plainTextFormattedCitation" : "(Hoff et al., 2010)", "previouslyFormattedCitation" : "(Hoff et al. 2010)" }, "properties" : { "noteIndex" : 0 }, "schema" : "https://github.com/citation-style-language/schema/raw/master/csl-citation.json" }</w:instrText>
      </w:r>
      <w:r w:rsidR="00892123">
        <w:fldChar w:fldCharType="separate"/>
      </w:r>
      <w:r w:rsidR="00873E7A" w:rsidRPr="00873E7A">
        <w:rPr>
          <w:noProof/>
        </w:rPr>
        <w:t>(Hoff et al., 2010)</w:t>
      </w:r>
      <w:r w:rsidR="00892123">
        <w:fldChar w:fldCharType="end"/>
      </w:r>
      <w:r w:rsidR="00892123">
        <w:t xml:space="preserve">, this scenario is a convenient intermediate between the </w:t>
      </w:r>
      <w:r w:rsidR="004278A9">
        <w:t>Min</w:t>
      </w:r>
      <w:r w:rsidR="00892123">
        <w:t xml:space="preserve"> and the </w:t>
      </w:r>
      <w:r w:rsidR="004278A9">
        <w:t>Max</w:t>
      </w:r>
      <w:r w:rsidR="00892123">
        <w:t xml:space="preserve"> options</w:t>
      </w:r>
      <w:r w:rsidR="00CF471D">
        <w:t xml:space="preserve"> i</w:t>
      </w:r>
      <w:r w:rsidR="00CF471D" w:rsidRPr="000E34DB">
        <w:t xml:space="preserve">n the absence of an accurate </w:t>
      </w:r>
      <w:r w:rsidR="00CF471D">
        <w:t>behaviour algorithm predicting</w:t>
      </w:r>
      <w:r w:rsidR="00CF471D" w:rsidRPr="000E34DB">
        <w:t xml:space="preserve"> </w:t>
      </w:r>
      <w:r w:rsidR="00CF471D">
        <w:t xml:space="preserve">future </w:t>
      </w:r>
      <w:r w:rsidR="00CF471D" w:rsidRPr="000E34DB">
        <w:t xml:space="preserve">effort by fleet, </w:t>
      </w:r>
      <w:r w:rsidR="000E34DB">
        <w:t xml:space="preserve">It has also historically predicted effort levels reasonably close to the observed effort </w:t>
      </w:r>
      <w:r w:rsidR="00290F6E">
        <w:fldChar w:fldCharType="begin" w:fldLock="1"/>
      </w:r>
      <w:r w:rsidR="00873E7A">
        <w:instrText>ADDIN CSL_CITATION { "citationItems" : [ { "id" : "ITEM-1", "itemData" : { "DOI" : "10.1093/icesjms/fsr060", "ISSN" : "10543139", "abstract" : "Single-species management is a cause of discarding in mixed fisheries, because individual management objectives may not be consist- ent with each other and the species are caught simultaneously in relatively unselective fishing operations. As such, the total allowable catch (TAC) of one species may be exhausted before the TAC of another, leading to catches of valuable fish that cannot be landed legally. This important issue is, however, usually not quantified and not accounted for in traditional management advice. A simple approach using traditional catch and effort information was developed, estimating catch potentials for distinct fleets (groups of vessels) and me \u00b4tiers (type of activity), and hence quantifying the risks of over- and underquota utilization for the various stocks. This method, named Fcube (Fleet and Fisheries Forecast), was applied successfully to international demersal fisheries in the North Sea and shaped into the advice framework. The substantial overquota catches of North Sea cod likely under the current fisheries regimes are quantified, and it is estimated that the single-species management targets for North Sea cod cannot be achieved unless substantial reductions in TACs of all other stocks and corresponding effort reductions are applied.", "author" : [ { "dropping-particle" : "", "family" : "Ulrich", "given" : "Clara", "non-dropping-particle" : "", "parse-names" : false, "suffix" : "" }, { "dropping-particle" : "", "family" : "Reeves", "given" : "Stuart a.", "non-dropping-particle" : "", "parse-names" : false, "suffix" : "" }, { "dropping-particle" : "", "family" : "Vermard", "given" : "Youen", "non-dropping-particle" : "", "parse-names" : false, "suffix" : "" }, { "dropping-particle" : "", "family" : "Holmes", "given" : "Steven J.", "non-dropping-particle" : "", "parse-names" : false, "suffix" : "" }, { "dropping-particle" : "", "family" : "Vanhee", "given" : "Willy", "non-dropping-particle" : "", "parse-names" : false, "suffix" : "" } ], "container-title" : "ICES Journal of Marine Science", "id" : "ITEM-1", "issue" : "7", "issued" : { "date-parts" : [ [ "2011" ] ] }, "page" : "1535-1547", "title" : "Reconciling single-species TACs in the North Sea demersal fisheries using the Fcube mixed-fisheries advice framework", "type" : "article-journal", "volume" : "68" }, "uris" : [ "http://www.mendeley.com/documents/?uuid=c625aba0-ab25-4a3d-8d19-2d9b462ddf68" ] } ], "mendeley" : { "formattedCitation" : "(Ulrich et al., 2011)", "plainTextFormattedCitation" : "(Ulrich et al., 2011)", "previouslyFormattedCitation" : "(Ulrich et al. 2011)" }, "properties" : { "noteIndex" : 0 }, "schema" : "https://github.com/citation-style-language/schema/raw/master/csl-citation.json" }</w:instrText>
      </w:r>
      <w:r w:rsidR="00290F6E">
        <w:fldChar w:fldCharType="separate"/>
      </w:r>
      <w:r w:rsidR="00873E7A" w:rsidRPr="00873E7A">
        <w:rPr>
          <w:noProof/>
        </w:rPr>
        <w:t>(Ulrich et al., 2011)</w:t>
      </w:r>
      <w:r w:rsidR="00290F6E">
        <w:fldChar w:fldCharType="end"/>
      </w:r>
      <w:r w:rsidR="000E34DB">
        <w:t xml:space="preserve">. </w:t>
      </w:r>
      <w:r w:rsidR="00CF471D">
        <w:t xml:space="preserve">More specifically, </w:t>
      </w:r>
      <w:r w:rsidR="004A6FC1">
        <w:t>we</w:t>
      </w:r>
      <w:r w:rsidR="00CF471D">
        <w:t xml:space="preserve"> compare</w:t>
      </w:r>
      <w:r w:rsidR="004A6FC1">
        <w:t>d</w:t>
      </w:r>
      <w:r w:rsidR="00CF471D">
        <w:t xml:space="preserve"> the impact in 2016 of applying TAC based on F</w:t>
      </w:r>
      <w:r w:rsidR="00521B61" w:rsidRPr="00521B61">
        <w:rPr>
          <w:vertAlign w:val="subscript"/>
        </w:rPr>
        <w:t>MSY</w:t>
      </w:r>
      <w:r w:rsidR="00CF471D">
        <w:t xml:space="preserve"> point estimate, or with the Foptim. </w:t>
      </w:r>
    </w:p>
    <w:p w14:paraId="2EDCF6E2" w14:textId="77777777" w:rsidR="00330F98" w:rsidRDefault="00126C7B" w:rsidP="00DF5AFC">
      <w:pPr>
        <w:pStyle w:val="Overskrift1"/>
      </w:pPr>
      <w:r w:rsidRPr="009163B0">
        <w:t>Results</w:t>
      </w:r>
    </w:p>
    <w:p w14:paraId="6DF8066E" w14:textId="418FC7DF" w:rsidR="00126C7B" w:rsidRPr="009163B0" w:rsidRDefault="007748BA" w:rsidP="00DF5AFC">
      <w:pPr>
        <w:pStyle w:val="Overskrift2"/>
      </w:pPr>
      <w:r>
        <w:rPr>
          <w:i/>
        </w:rPr>
        <w:t>Medium-term p</w:t>
      </w:r>
      <w:r w:rsidR="00126C7B" w:rsidRPr="009163B0">
        <w:rPr>
          <w:i/>
        </w:rPr>
        <w:t>erformance</w:t>
      </w:r>
      <w:r w:rsidR="00126C7B" w:rsidRPr="009163B0">
        <w:t xml:space="preserve"> </w:t>
      </w:r>
      <w:r w:rsidR="000D5193">
        <w:t>of</w:t>
      </w:r>
      <w:r w:rsidR="00833284">
        <w:t xml:space="preserve"> single-stocks HCR</w:t>
      </w:r>
      <w:r w:rsidR="00E667E5">
        <w:t>s</w:t>
      </w:r>
    </w:p>
    <w:p w14:paraId="234628C3" w14:textId="75102244" w:rsidR="002A29BF" w:rsidRDefault="000D58A3" w:rsidP="008A7037">
      <w:r>
        <w:t xml:space="preserve">Using the </w:t>
      </w:r>
      <w:r w:rsidR="00E1596D">
        <w:t>MSY F</w:t>
      </w:r>
      <w:r w:rsidR="00521B61" w:rsidRPr="00521B61">
        <w:rPr>
          <w:vertAlign w:val="subscript"/>
        </w:rPr>
        <w:t>upper</w:t>
      </w:r>
      <w:r w:rsidR="00E1596D">
        <w:t xml:space="preserve"> </w:t>
      </w:r>
      <w:r w:rsidR="00A47605">
        <w:t xml:space="preserve">mortality values </w:t>
      </w:r>
      <w:r>
        <w:t>in our medium term MSE appeared</w:t>
      </w:r>
      <w:r w:rsidR="00E1596D">
        <w:t xml:space="preserve"> potentially risky</w:t>
      </w:r>
      <w:r w:rsidR="00AE19E0">
        <w:t>, mainly for sole and saithe, with more than 5% risk to fall below B</w:t>
      </w:r>
      <w:r w:rsidR="00521B61" w:rsidRPr="00521B61">
        <w:rPr>
          <w:vertAlign w:val="subscript"/>
        </w:rPr>
        <w:t>lim</w:t>
      </w:r>
      <w:r w:rsidR="002A29BF">
        <w:t xml:space="preserve"> in 2020</w:t>
      </w:r>
      <w:r w:rsidR="00D712A5">
        <w:t xml:space="preserve"> (Figure 1</w:t>
      </w:r>
      <w:r w:rsidR="00874B32">
        <w:t>)</w:t>
      </w:r>
      <w:r w:rsidR="00AE19E0">
        <w:t xml:space="preserve">. This is higher than the risk </w:t>
      </w:r>
      <w:r w:rsidR="00E1596D">
        <w:t>identified in the</w:t>
      </w:r>
      <w:r w:rsidR="002D4009">
        <w:t xml:space="preserve"> </w:t>
      </w:r>
      <w:r>
        <w:fldChar w:fldCharType="begin" w:fldLock="1"/>
      </w:r>
      <w:r w:rsidR="00873E7A">
        <w:instrText>ADDIN CSL_CITATION { "citationItems" : [ { "id" : "ITEM-1", "itemData" : { "author" : [ { "dropping-particle" : "", "family" : "ICES", "given" : "", "non-dropping-particle" : "", "parse-names" : false, "suffix" : "" } ], "chapter-number" : "6.2.3.1", "container-title" : "ICES Advice 2015, Book 6", "id" : "ITEM-1", "issued" : { "date-parts" : [ [ "2015" ] ] }, "page" : "11 pp", "title" : "EU request to ICES to provide FMSY ranges for selected North Sea and Baltic Sea stocks", "type" : "chapter" }, "uris" : [ "http://www.mendeley.com/documents/?uuid=ae0bd13c-71f1-490b-9ac5-2788508df8fb" ] } ], "mendeley" : { "formattedCitation" : "(ICES, 2015b)", "plainTextFormattedCitation" : "(ICES, 2015b)", "previouslyFormattedCitation" : "(ICES 2015b)" }, "properties" : { "noteIndex" : 0 }, "schema" : "https://github.com/citation-style-language/schema/raw/master/csl-citation.json" }</w:instrText>
      </w:r>
      <w:r>
        <w:fldChar w:fldCharType="separate"/>
      </w:r>
      <w:r w:rsidR="00873E7A" w:rsidRPr="00873E7A">
        <w:rPr>
          <w:noProof/>
        </w:rPr>
        <w:t>(ICES, 2015b)</w:t>
      </w:r>
      <w:r>
        <w:fldChar w:fldCharType="end"/>
      </w:r>
      <w:r>
        <w:t xml:space="preserve"> </w:t>
      </w:r>
      <w:r w:rsidR="00E1596D">
        <w:t xml:space="preserve">long-term stochastic </w:t>
      </w:r>
      <w:r w:rsidR="00A47605">
        <w:t xml:space="preserve">projections </w:t>
      </w:r>
      <w:r w:rsidR="00944D63">
        <w:t>which consider</w:t>
      </w:r>
      <w:r w:rsidR="00A47605">
        <w:t xml:space="preserve"> large fluctuat</w:t>
      </w:r>
      <w:r w:rsidR="007D371C">
        <w:t>ions across several generations</w:t>
      </w:r>
      <w:r w:rsidR="00A47605">
        <w:t xml:space="preserve">. </w:t>
      </w:r>
      <w:r w:rsidR="00D712A5">
        <w:t>Also, the risk of falling below B</w:t>
      </w:r>
      <w:r w:rsidR="00521B61" w:rsidRPr="00521B61">
        <w:rPr>
          <w:vertAlign w:val="subscript"/>
        </w:rPr>
        <w:t>trigger</w:t>
      </w:r>
      <w:r w:rsidR="00D712A5">
        <w:t xml:space="preserve"> is very high for these two stocks</w:t>
      </w:r>
      <w:r w:rsidR="00DC2044">
        <w:t xml:space="preserve"> (around 40% in 2020)</w:t>
      </w:r>
      <w:r w:rsidR="00D712A5">
        <w:t xml:space="preserve">, implying </w:t>
      </w:r>
      <w:r w:rsidR="00DC2044">
        <w:t xml:space="preserve">increased inter-annual variability in the </w:t>
      </w:r>
      <w:r w:rsidR="00D712A5">
        <w:t xml:space="preserve">advised fishing opportunities </w:t>
      </w:r>
      <w:r w:rsidR="00DC2044">
        <w:t>including frequent TAC reductions to rebuild the stock above B</w:t>
      </w:r>
      <w:r w:rsidR="00521B61" w:rsidRPr="00521B61">
        <w:rPr>
          <w:vertAlign w:val="subscript"/>
        </w:rPr>
        <w:t>trigger</w:t>
      </w:r>
      <w:r w:rsidR="00DC2044">
        <w:t>, and higher dependency of the biomass on incoming year classes.</w:t>
      </w:r>
      <w:r w:rsidR="00BC4995">
        <w:t xml:space="preserve"> </w:t>
      </w:r>
    </w:p>
    <w:p w14:paraId="5F1B8AFE" w14:textId="4C86593D" w:rsidR="00E70AAC" w:rsidRPr="009163B0" w:rsidRDefault="00DC2044" w:rsidP="008A7037">
      <w:r>
        <w:lastRenderedPageBreak/>
        <w:t>In accordance with the PGY concept, it is observed that f</w:t>
      </w:r>
      <w:r w:rsidR="008B7004">
        <w:t>or most stocks</w:t>
      </w:r>
      <w:r w:rsidR="00CA3339">
        <w:t xml:space="preserve"> except haddock</w:t>
      </w:r>
      <w:r w:rsidR="008B7004">
        <w:t xml:space="preserve">, landings </w:t>
      </w:r>
      <w:r w:rsidR="00CA3339">
        <w:t xml:space="preserve">levels in 2020 are fairly similar across the range of fishing </w:t>
      </w:r>
      <w:r w:rsidR="00172FC4">
        <w:t xml:space="preserve">mortality targets </w:t>
      </w:r>
      <w:r w:rsidR="00AE19E0">
        <w:t>(Figure 1)</w:t>
      </w:r>
      <w:r w:rsidR="002A29BF">
        <w:t xml:space="preserve">, but </w:t>
      </w:r>
      <w:r>
        <w:t xml:space="preserve">arising from </w:t>
      </w:r>
      <w:r w:rsidR="002A29BF">
        <w:t>large differences</w:t>
      </w:r>
      <w:r w:rsidR="002A29BF" w:rsidRPr="00F50C72">
        <w:t xml:space="preserve"> in the </w:t>
      </w:r>
      <w:r>
        <w:t>underlying</w:t>
      </w:r>
      <w:r w:rsidR="002A29BF">
        <w:t xml:space="preserve"> biomass. </w:t>
      </w:r>
    </w:p>
    <w:p w14:paraId="3EB014CE" w14:textId="297DB984" w:rsidR="008813A7" w:rsidRDefault="007748BA" w:rsidP="00DF5AFC">
      <w:pPr>
        <w:pStyle w:val="Overskrift2"/>
      </w:pPr>
      <w:r>
        <w:rPr>
          <w:i/>
        </w:rPr>
        <w:t>Medium-Term r</w:t>
      </w:r>
      <w:r w:rsidR="008813A7" w:rsidRPr="009163B0">
        <w:rPr>
          <w:i/>
        </w:rPr>
        <w:t>obustness</w:t>
      </w:r>
      <w:r w:rsidR="008813A7" w:rsidRPr="009163B0">
        <w:t xml:space="preserve"> of the </w:t>
      </w:r>
      <w:r w:rsidR="008A7037">
        <w:t xml:space="preserve">single stock HCR to </w:t>
      </w:r>
      <w:r w:rsidR="008813A7" w:rsidRPr="009163B0">
        <w:t>mixed-fisheries implementation</w:t>
      </w:r>
      <w:r w:rsidR="008A7037">
        <w:t xml:space="preserve"> error</w:t>
      </w:r>
    </w:p>
    <w:p w14:paraId="78AD38DF" w14:textId="7C4DD4B4" w:rsidR="004D1D2A" w:rsidRDefault="004235E3" w:rsidP="00DF5AFC">
      <w:r>
        <w:t xml:space="preserve">The robustness of the HCR is primarily investigated by inspecting the worst case Max option. </w:t>
      </w:r>
      <w:r w:rsidR="001C06E1">
        <w:t>In these simulations high effort increase</w:t>
      </w:r>
      <w:r w:rsidR="00CC4B5F">
        <w:t>s</w:t>
      </w:r>
      <w:r w:rsidR="001C06E1">
        <w:t xml:space="preserve"> lead to increase</w:t>
      </w:r>
      <w:r w:rsidR="00CC4B5F">
        <w:t>s</w:t>
      </w:r>
      <w:r w:rsidR="001C06E1">
        <w:t xml:space="preserve"> of fishing mortality for all stocks except the least limiting ones, such as plaice and haddock (Figure </w:t>
      </w:r>
      <w:r w:rsidR="00CF7072">
        <w:t>2)</w:t>
      </w:r>
      <w:r w:rsidR="001C06E1">
        <w:t xml:space="preserve">. </w:t>
      </w:r>
      <w:r w:rsidR="00CF7072">
        <w:t>Interestingly, the risk to the stocks is higher with the current set of long-term management plans than with MSY F</w:t>
      </w:r>
      <w:r w:rsidR="00521B61" w:rsidRPr="00521B61">
        <w:rPr>
          <w:vertAlign w:val="subscript"/>
        </w:rPr>
        <w:t>upper</w:t>
      </w:r>
      <w:r w:rsidR="00CF7072">
        <w:t xml:space="preserve">. This </w:t>
      </w:r>
      <w:r w:rsidR="00521B61">
        <w:t>result arises from</w:t>
      </w:r>
      <w:r w:rsidR="00CF7072">
        <w:t xml:space="preserve"> the </w:t>
      </w:r>
      <w:r w:rsidR="003D5F9F">
        <w:t>fact that plaice is the least limiting stock for many fleets, and is also the only stock for which MSY F</w:t>
      </w:r>
      <w:r w:rsidR="00521B61" w:rsidRPr="00521B61">
        <w:rPr>
          <w:vertAlign w:val="subscript"/>
        </w:rPr>
        <w:t>upper</w:t>
      </w:r>
      <w:r w:rsidR="003D5F9F">
        <w:t xml:space="preserve"> is lower than the current LTMP target</w:t>
      </w:r>
      <w:r w:rsidR="00331D18">
        <w:t>,</w:t>
      </w:r>
      <w:r w:rsidR="003D5F9F">
        <w:t xml:space="preserve"> </w:t>
      </w:r>
      <w:r w:rsidR="00331D18">
        <w:t>s</w:t>
      </w:r>
      <w:r w:rsidR="003D5F9F">
        <w:t xml:space="preserve">o </w:t>
      </w:r>
      <w:r w:rsidR="00521B61">
        <w:t xml:space="preserve">fishing </w:t>
      </w:r>
      <w:r w:rsidR="003D5F9F">
        <w:t>effort is comparatively higher with the LTMP target. In comparison, setting the target at F</w:t>
      </w:r>
      <w:r w:rsidR="00521B61" w:rsidRPr="00521B61">
        <w:rPr>
          <w:vertAlign w:val="subscript"/>
        </w:rPr>
        <w:t>MSY</w:t>
      </w:r>
      <w:r w:rsidR="003D5F9F">
        <w:t xml:space="preserve"> is robust to mixed-fisheries interactions, as the risk remains low for all stocks even in the </w:t>
      </w:r>
      <w:r>
        <w:t xml:space="preserve">Max </w:t>
      </w:r>
      <w:r w:rsidR="003D5F9F">
        <w:t xml:space="preserve">option. </w:t>
      </w:r>
    </w:p>
    <w:p w14:paraId="041AF736" w14:textId="27FF2F29" w:rsidR="00F42543" w:rsidRPr="00F42543" w:rsidRDefault="004D1D2A" w:rsidP="00DF5AFC">
      <w:r>
        <w:t>For the F</w:t>
      </w:r>
      <w:r w:rsidR="00900606">
        <w:t>C</w:t>
      </w:r>
      <w:r>
        <w:t>ube scenario</w:t>
      </w:r>
      <w:r w:rsidR="00BC4995">
        <w:t>s</w:t>
      </w:r>
      <w:r>
        <w:t xml:space="preserve"> </w:t>
      </w:r>
      <w:r w:rsidR="00900606">
        <w:t>Max</w:t>
      </w:r>
      <w:r>
        <w:t xml:space="preserve"> and to a less extent also </w:t>
      </w:r>
      <w:r w:rsidR="00900606">
        <w:t>Value</w:t>
      </w:r>
      <w:r>
        <w:t xml:space="preserve"> </w:t>
      </w:r>
      <w:r w:rsidR="003D5F9F">
        <w:t xml:space="preserve">the results obtained </w:t>
      </w:r>
      <w:r>
        <w:t xml:space="preserve">when the </w:t>
      </w:r>
      <w:r w:rsidR="003D5F9F">
        <w:t>F</w:t>
      </w:r>
      <w:r w:rsidR="00521B61" w:rsidRPr="00521B61">
        <w:rPr>
          <w:vertAlign w:val="subscript"/>
        </w:rPr>
        <w:t>MSY</w:t>
      </w:r>
      <w:r>
        <w:t xml:space="preserve"> point estimate is used as </w:t>
      </w:r>
      <w:r w:rsidR="00331D18">
        <w:t xml:space="preserve">a </w:t>
      </w:r>
      <w:r>
        <w:t xml:space="preserve">management target </w:t>
      </w:r>
      <w:r w:rsidR="003D5F9F">
        <w:t>are close to those obtained with the “status-quo Effort” FCube option</w:t>
      </w:r>
      <w:r w:rsidR="00900606">
        <w:t xml:space="preserve"> (Table 3)</w:t>
      </w:r>
      <w:r w:rsidR="00BC4995">
        <w:t>. Indeed, c</w:t>
      </w:r>
      <w:r w:rsidR="00765D06">
        <w:t xml:space="preserve">onsidering the </w:t>
      </w:r>
      <w:r w:rsidR="00E412DF">
        <w:t xml:space="preserve">landings only (corresponding to catches in the results presented here), many options provide fairly similar yield. In 2020, most scenarios display a total yield within </w:t>
      </w:r>
      <w:r w:rsidR="0063076F">
        <w:t xml:space="preserve">[-20, </w:t>
      </w:r>
      <w:r w:rsidR="00E412DF">
        <w:t>+</w:t>
      </w:r>
      <w:r w:rsidR="0063076F">
        <w:t xml:space="preserve">10] % </w:t>
      </w:r>
      <w:r w:rsidR="00E412DF">
        <w:t>of the sum of the single-stock projections at F</w:t>
      </w:r>
      <w:r w:rsidR="00521B61" w:rsidRPr="00521B61">
        <w:rPr>
          <w:vertAlign w:val="subscript"/>
        </w:rPr>
        <w:t>MSY</w:t>
      </w:r>
      <w:r w:rsidR="00900606">
        <w:t xml:space="preserve"> (Table 3</w:t>
      </w:r>
      <w:r w:rsidR="0063076F">
        <w:t xml:space="preserve">), which itself is almost twice the level of 2014 catches for these five stocks. This means that for any </w:t>
      </w:r>
      <w:r w:rsidR="00053ADC">
        <w:t>of the considered</w:t>
      </w:r>
      <w:r w:rsidR="0063076F">
        <w:t xml:space="preserve"> </w:t>
      </w:r>
      <w:r w:rsidR="00765D06">
        <w:t>target</w:t>
      </w:r>
      <w:r w:rsidR="00053ADC">
        <w:t>s</w:t>
      </w:r>
      <w:r w:rsidR="00765D06">
        <w:t xml:space="preserve">, preventing short-term </w:t>
      </w:r>
      <w:r w:rsidR="002A29BF">
        <w:t>increases in fishing mortality</w:t>
      </w:r>
      <w:r w:rsidR="00765D06">
        <w:t xml:space="preserve"> </w:t>
      </w:r>
      <w:r w:rsidR="0063076F">
        <w:t>will largely</w:t>
      </w:r>
      <w:r w:rsidR="00765D06">
        <w:t xml:space="preserve"> pay off within a few years.</w:t>
      </w:r>
    </w:p>
    <w:p w14:paraId="198A73F7" w14:textId="500CB8EA" w:rsidR="00F216CB" w:rsidRDefault="00900606" w:rsidP="00DF5AFC">
      <w:pPr>
        <w:pStyle w:val="Overskrift2"/>
      </w:pPr>
      <w:r>
        <w:rPr>
          <w:i/>
        </w:rPr>
        <w:t>Minimum imbalance</w:t>
      </w:r>
      <w:r w:rsidR="007748BA">
        <w:t xml:space="preserve"> within the MSY ranges</w:t>
      </w:r>
      <w:r w:rsidR="00F216CB" w:rsidRPr="009163B0">
        <w:t>.</w:t>
      </w:r>
    </w:p>
    <w:p w14:paraId="6F8F77AF" w14:textId="7675EEA6" w:rsidR="007D371C" w:rsidRDefault="00DF5AFC" w:rsidP="00BC4995">
      <w:r>
        <w:t xml:space="preserve">The </w:t>
      </w:r>
      <w:r w:rsidR="00D25461">
        <w:t xml:space="preserve">genetic </w:t>
      </w:r>
      <w:r>
        <w:t xml:space="preserve">algorithm </w:t>
      </w:r>
      <w:r w:rsidR="00331D18">
        <w:t>is permitted to run for up to</w:t>
      </w:r>
      <w:r w:rsidR="00F50C72">
        <w:t xml:space="preserve"> </w:t>
      </w:r>
      <w:r w:rsidRPr="00DF5AFC">
        <w:t xml:space="preserve">30 generations </w:t>
      </w:r>
      <w:r>
        <w:t>but a stable solution was r</w:t>
      </w:r>
      <w:r w:rsidRPr="00DF5AFC">
        <w:t>eached</w:t>
      </w:r>
      <w:r>
        <w:t xml:space="preserve"> after 15 </w:t>
      </w:r>
      <w:r w:rsidR="00B86A4F">
        <w:t>generations</w:t>
      </w:r>
      <w:r w:rsidRPr="00DF5AFC">
        <w:t xml:space="preserve">. The optimal fishing mortality values </w:t>
      </w:r>
      <w:r w:rsidR="001020F4">
        <w:t xml:space="preserve">obtained </w:t>
      </w:r>
      <w:r w:rsidR="00066F62">
        <w:t>(Figure 3)</w:t>
      </w:r>
      <w:r w:rsidR="001020F4">
        <w:t xml:space="preserve"> were</w:t>
      </w:r>
      <w:r w:rsidRPr="00DF5AFC">
        <w:t xml:space="preserve"> close to the lower bound of the F</w:t>
      </w:r>
      <w:r w:rsidR="00521B61" w:rsidRPr="00521B61">
        <w:rPr>
          <w:vertAlign w:val="subscript"/>
        </w:rPr>
        <w:t>MSY</w:t>
      </w:r>
      <w:r w:rsidRPr="00DF5AFC">
        <w:t xml:space="preserve"> range for haddock and plaice, while they </w:t>
      </w:r>
      <w:r w:rsidR="001020F4">
        <w:t>were</w:t>
      </w:r>
      <w:r w:rsidRPr="00DF5AFC">
        <w:t xml:space="preserve"> higher than the F</w:t>
      </w:r>
      <w:r w:rsidR="00521B61" w:rsidRPr="00521B61">
        <w:rPr>
          <w:vertAlign w:val="subscript"/>
        </w:rPr>
        <w:t>MSY</w:t>
      </w:r>
      <w:r w:rsidRPr="00DF5AFC">
        <w:t xml:space="preserve"> value for cod, saithe and sole, approximately halfway between F</w:t>
      </w:r>
      <w:r w:rsidR="00521B61" w:rsidRPr="00521B61">
        <w:rPr>
          <w:vertAlign w:val="subscript"/>
        </w:rPr>
        <w:t>MSY</w:t>
      </w:r>
      <w:r w:rsidRPr="00DF5AFC">
        <w:t xml:space="preserve"> and </w:t>
      </w:r>
      <w:r w:rsidR="00331D18">
        <w:t xml:space="preserve">MSY </w:t>
      </w:r>
      <w:r w:rsidR="00C143D7">
        <w:t>F</w:t>
      </w:r>
      <w:r w:rsidR="00521B61" w:rsidRPr="00521B61">
        <w:rPr>
          <w:vertAlign w:val="subscript"/>
        </w:rPr>
        <w:t>upper</w:t>
      </w:r>
      <w:r w:rsidR="006F48D5">
        <w:t xml:space="preserve">. </w:t>
      </w:r>
      <w:r w:rsidRPr="00DF5AFC">
        <w:t xml:space="preserve">It is noticeable that </w:t>
      </w:r>
      <w:r w:rsidR="002E78FE">
        <w:t>the</w:t>
      </w:r>
      <w:r w:rsidRPr="00DF5AFC">
        <w:t xml:space="preserve"> </w:t>
      </w:r>
      <w:r w:rsidR="006F48D5">
        <w:t xml:space="preserve">2016 </w:t>
      </w:r>
      <w:r w:rsidR="001020F4">
        <w:t>F</w:t>
      </w:r>
      <w:r w:rsidR="002E78FE" w:rsidRPr="002E78FE">
        <w:rPr>
          <w:vertAlign w:val="subscript"/>
        </w:rPr>
        <w:t>optim</w:t>
      </w:r>
      <w:r w:rsidR="001020F4">
        <w:t xml:space="preserve"> values were</w:t>
      </w:r>
      <w:r w:rsidRPr="00DF5AFC">
        <w:t xml:space="preserve"> quite </w:t>
      </w:r>
      <w:r w:rsidRPr="00DF5AFC">
        <w:lastRenderedPageBreak/>
        <w:t xml:space="preserve">close to current </w:t>
      </w:r>
      <w:r w:rsidR="006F48D5">
        <w:t xml:space="preserve">(2014) </w:t>
      </w:r>
      <w:r w:rsidR="00BC4995">
        <w:t xml:space="preserve">fishing mortalities. This is in accordance with the latest mixed fisheries advice </w:t>
      </w:r>
      <w:r w:rsidR="00BC4995">
        <w:fldChar w:fldCharType="begin" w:fldLock="1"/>
      </w:r>
      <w:r w:rsidR="00873E7A">
        <w:instrText>ADDIN CSL_CITATION { "citationItems" : [ { "id" : "ITEM-1", "itemData" : { "author" : [ { "dropping-particle" : "", "family" : "ICES", "given" : "", "non-dropping-particle" : "", "parse-names" : false, "suffix" : "" } ], "chapter-number" : "6.2.2.2", "container-title" : "ICES Advice 2015, Book 6", "id" : "ITEM-1", "issued" : { "date-parts" : [ [ "2015" ] ] }, "page" : "13 pp", "title" : "Mixed-fisheries advice for Subarea IV (North Sea) and Divisions IIIa North (Skagerrak) and VIId (Eastern Channel)", "type" : "chapter" }, "uris" : [ "http://www.mendeley.com/documents/?uuid=ed2185fe-02ab-4c01-881b-fec0e21d1cc4" ] } ], "mendeley" : { "formattedCitation" : "(ICES, 2015c)", "plainTextFormattedCitation" : "(ICES, 2015c)", "previouslyFormattedCitation" : "(ICES 2015c)" }, "properties" : { "noteIndex" : 0 }, "schema" : "https://github.com/citation-style-language/schema/raw/master/csl-citation.json" }</w:instrText>
      </w:r>
      <w:r w:rsidR="00BC4995">
        <w:fldChar w:fldCharType="separate"/>
      </w:r>
      <w:r w:rsidR="00873E7A" w:rsidRPr="00873E7A">
        <w:rPr>
          <w:noProof/>
        </w:rPr>
        <w:t>(ICES, 2015c)</w:t>
      </w:r>
      <w:r w:rsidR="00BC4995">
        <w:fldChar w:fldCharType="end"/>
      </w:r>
      <w:r w:rsidR="00BC4995">
        <w:t xml:space="preserve">, which underlined that the North Sea fisheries were in better balance in 2014 than in the previous decade, with cod not being estimated to be the most limiting stock. </w:t>
      </w:r>
    </w:p>
    <w:p w14:paraId="6DEF742D" w14:textId="31DA2F34" w:rsidR="006F48D5" w:rsidRDefault="006F48D5" w:rsidP="006F48D5">
      <w:r>
        <w:t xml:space="preserve">The FCube model was then run </w:t>
      </w:r>
      <w:r w:rsidR="001020F4">
        <w:t xml:space="preserve">again </w:t>
      </w:r>
      <w:r>
        <w:t>to mimic the short-term mixed fisheries advice comparing the single-stock advice based on either the F</w:t>
      </w:r>
      <w:r w:rsidR="00521B61" w:rsidRPr="00521B61">
        <w:rPr>
          <w:vertAlign w:val="subscript"/>
        </w:rPr>
        <w:t>MSY</w:t>
      </w:r>
      <w:r>
        <w:t xml:space="preserve"> point estimates or </w:t>
      </w:r>
      <w:r w:rsidR="00AA244E">
        <w:t>F</w:t>
      </w:r>
      <w:r w:rsidR="00AA244E" w:rsidRPr="002E78FE">
        <w:rPr>
          <w:vertAlign w:val="subscript"/>
        </w:rPr>
        <w:t>optim</w:t>
      </w:r>
      <w:r>
        <w:t xml:space="preserve"> (Figure </w:t>
      </w:r>
      <w:r w:rsidR="001020F4">
        <w:t>4</w:t>
      </w:r>
      <w:r>
        <w:t xml:space="preserve">). The differences in the 2016 single-stock advice (horizontal bars on Figure </w:t>
      </w:r>
      <w:r w:rsidR="001020F4">
        <w:t>4</w:t>
      </w:r>
      <w:r>
        <w:t xml:space="preserve">) are direct consequences of the different </w:t>
      </w:r>
      <w:r w:rsidR="002E78FE">
        <w:t>vectors of target fishing mortality</w:t>
      </w:r>
      <w:r>
        <w:t xml:space="preserve"> applied in the three management scenarios</w:t>
      </w:r>
      <w:r w:rsidR="002A6AA1">
        <w:t xml:space="preserve"> (Table </w:t>
      </w:r>
      <w:r w:rsidR="00236981">
        <w:t>4</w:t>
      </w:r>
      <w:r w:rsidR="002A6AA1">
        <w:t>)</w:t>
      </w:r>
      <w:r>
        <w:t>. Projections based on the optimised F values resulted in larger TACs for cod, saithe and sole, and smaller TAC</w:t>
      </w:r>
      <w:r w:rsidR="00212231">
        <w:t>s</w:t>
      </w:r>
      <w:r>
        <w:t xml:space="preserve"> for plaice and haddock. Plaice is the least limiting stock, requiring the largest effort to fully catch the TAC. </w:t>
      </w:r>
      <w:r w:rsidR="00B32D8E">
        <w:t>With F</w:t>
      </w:r>
      <w:r w:rsidR="00B32D8E" w:rsidRPr="00B32D8E">
        <w:rPr>
          <w:vertAlign w:val="subscript"/>
        </w:rPr>
        <w:t>optim</w:t>
      </w:r>
      <w:r w:rsidR="00B32D8E">
        <w:t xml:space="preserve"> </w:t>
      </w:r>
      <w:r>
        <w:t xml:space="preserve">the </w:t>
      </w:r>
      <w:r w:rsidR="0049176E">
        <w:t>“</w:t>
      </w:r>
      <w:r>
        <w:t>effort</w:t>
      </w:r>
      <w:r w:rsidR="0049176E">
        <w:t>-by-stock”</w:t>
      </w:r>
      <w:r>
        <w:t xml:space="preserve"> required </w:t>
      </w:r>
      <w:r w:rsidR="00B32D8E">
        <w:t xml:space="preserve">for </w:t>
      </w:r>
      <w:r w:rsidR="002E78FE">
        <w:t>catching</w:t>
      </w:r>
      <w:r>
        <w:t xml:space="preserve"> </w:t>
      </w:r>
      <w:r w:rsidR="00B32D8E">
        <w:t xml:space="preserve">the </w:t>
      </w:r>
      <w:r>
        <w:t>plaice TAC be</w:t>
      </w:r>
      <w:r w:rsidR="001904E1">
        <w:t>came</w:t>
      </w:r>
      <w:r>
        <w:t xml:space="preserve"> smaller </w:t>
      </w:r>
      <w:r w:rsidR="001904E1">
        <w:t xml:space="preserve">while the effort needed to take </w:t>
      </w:r>
      <w:r>
        <w:t xml:space="preserve">the </w:t>
      </w:r>
      <w:r w:rsidR="001904E1">
        <w:t xml:space="preserve"> </w:t>
      </w:r>
      <w:r>
        <w:t>TACs for cod, saithe and sole be</w:t>
      </w:r>
      <w:r w:rsidR="001904E1">
        <w:t>came</w:t>
      </w:r>
      <w:r>
        <w:t xml:space="preserve"> larger</w:t>
      </w:r>
      <w:r w:rsidR="001904E1">
        <w:t xml:space="preserve">. </w:t>
      </w:r>
      <w:r w:rsidR="00487829">
        <w:t>I</w:t>
      </w:r>
      <w:r w:rsidR="001904E1">
        <w:t>n</w:t>
      </w:r>
      <w:r w:rsidR="00487829">
        <w:t xml:space="preserve"> </w:t>
      </w:r>
      <w:r w:rsidR="001904E1">
        <w:t>consequence</w:t>
      </w:r>
      <w:r>
        <w:t xml:space="preserve"> the overall TAC overshoot </w:t>
      </w:r>
      <w:r w:rsidR="0049176E">
        <w:t xml:space="preserve">in the </w:t>
      </w:r>
      <w:r w:rsidR="00487829">
        <w:t xml:space="preserve">Max </w:t>
      </w:r>
      <w:r w:rsidR="0049176E">
        <w:t xml:space="preserve">scenario </w:t>
      </w:r>
      <w:r w:rsidR="001904E1">
        <w:t>was</w:t>
      </w:r>
      <w:r>
        <w:t xml:space="preserve"> smaller than for the</w:t>
      </w:r>
      <w:r w:rsidR="002D4009">
        <w:t xml:space="preserve"> single species</w:t>
      </w:r>
      <w:r>
        <w:t xml:space="preserve"> </w:t>
      </w:r>
      <w:r w:rsidR="0049176E">
        <w:t>F</w:t>
      </w:r>
      <w:r w:rsidR="00521B61" w:rsidRPr="00521B61">
        <w:rPr>
          <w:vertAlign w:val="subscript"/>
        </w:rPr>
        <w:t>MSY</w:t>
      </w:r>
      <w:r w:rsidR="0049176E">
        <w:t xml:space="preserve"> </w:t>
      </w:r>
      <w:r w:rsidR="002D4009">
        <w:t xml:space="preserve">point estimate </w:t>
      </w:r>
      <w:r w:rsidR="0049176E">
        <w:t>projection</w:t>
      </w:r>
      <w:r>
        <w:t xml:space="preserve">. </w:t>
      </w:r>
      <w:r w:rsidR="0049176E">
        <w:t>Conversely, i</w:t>
      </w:r>
      <w:r>
        <w:t xml:space="preserve">n the </w:t>
      </w:r>
      <w:r w:rsidR="00487829">
        <w:t>Min scenario</w:t>
      </w:r>
      <w:r>
        <w:t>, the limiting TAC (for sole) be</w:t>
      </w:r>
      <w:r w:rsidR="008743BD">
        <w:t>came</w:t>
      </w:r>
      <w:r>
        <w:t xml:space="preserve"> higher, and the largest TACs b</w:t>
      </w:r>
      <w:r w:rsidR="008743BD">
        <w:t>ecame</w:t>
      </w:r>
      <w:r>
        <w:t xml:space="preserve"> reduced, </w:t>
      </w:r>
      <w:r w:rsidR="008743BD">
        <w:t xml:space="preserve">leading to </w:t>
      </w:r>
      <w:r>
        <w:t xml:space="preserve">the overall magnitude of the TAC under-consumption </w:t>
      </w:r>
      <w:r w:rsidR="008743BD">
        <w:t>being</w:t>
      </w:r>
      <w:r>
        <w:t xml:space="preserve"> reduced. The overall difference in the predicted 2016 catches between the </w:t>
      </w:r>
      <w:r w:rsidR="00487829">
        <w:t>Max</w:t>
      </w:r>
      <w:r>
        <w:t xml:space="preserve"> and </w:t>
      </w:r>
      <w:r w:rsidR="00487829">
        <w:t>Min</w:t>
      </w:r>
      <w:r>
        <w:t xml:space="preserve"> scenarios is </w:t>
      </w:r>
      <w:r w:rsidR="0049176E">
        <w:t xml:space="preserve">thus </w:t>
      </w:r>
      <w:r>
        <w:t>much smaller when the single species TAC are gi</w:t>
      </w:r>
      <w:r w:rsidR="0049176E">
        <w:t xml:space="preserve">ven based on the </w:t>
      </w:r>
      <w:r w:rsidR="00487829">
        <w:t>Foptim</w:t>
      </w:r>
      <w:r w:rsidR="0049176E">
        <w:t xml:space="preserve"> values, </w:t>
      </w:r>
      <w:r w:rsidR="00B241F7">
        <w:t>reflecting</w:t>
      </w:r>
      <w:r w:rsidR="0049176E">
        <w:t xml:space="preserve"> a trade-off between the most and the least productive stocks. </w:t>
      </w:r>
      <w:r w:rsidR="00B32D8E">
        <w:t>Incidentally, the Min option returned less quota undershoot than with a constant effort at 2014 level, indicating very little risk of a ‘choke’ effect of a given stock compared to the current situation of the fishery.</w:t>
      </w:r>
    </w:p>
    <w:p w14:paraId="1648C914" w14:textId="534D9211" w:rsidR="008813A7" w:rsidRPr="009163B0" w:rsidRDefault="007748BA" w:rsidP="00DF5AFC">
      <w:pPr>
        <w:pStyle w:val="Overskrift2"/>
      </w:pPr>
      <w:r>
        <w:rPr>
          <w:i/>
        </w:rPr>
        <w:t xml:space="preserve">Short-term </w:t>
      </w:r>
      <w:r w:rsidR="008813A7" w:rsidRPr="009163B0">
        <w:rPr>
          <w:i/>
        </w:rPr>
        <w:t>Impact assessment</w:t>
      </w:r>
      <w:r w:rsidR="008813A7" w:rsidRPr="009163B0">
        <w:t xml:space="preserve"> of the different management scenarios on stocks and fleets</w:t>
      </w:r>
    </w:p>
    <w:p w14:paraId="0156B8F2" w14:textId="546450AB" w:rsidR="00286245" w:rsidRPr="009163B0" w:rsidRDefault="006E7F22" w:rsidP="00DF5AFC">
      <w:r>
        <w:t>T</w:t>
      </w:r>
      <w:r w:rsidR="00646D26">
        <w:t xml:space="preserve">he potential effect of using the optimised F values within the </w:t>
      </w:r>
      <w:r w:rsidR="0026753A">
        <w:t>F</w:t>
      </w:r>
      <w:r w:rsidR="00521B61" w:rsidRPr="00521B61">
        <w:rPr>
          <w:vertAlign w:val="subscript"/>
        </w:rPr>
        <w:t>MSY</w:t>
      </w:r>
      <w:r w:rsidR="00646D26">
        <w:t xml:space="preserve"> range rather than the F</w:t>
      </w:r>
      <w:r w:rsidR="00521B61" w:rsidRPr="00521B61">
        <w:rPr>
          <w:vertAlign w:val="subscript"/>
        </w:rPr>
        <w:t>MSY</w:t>
      </w:r>
      <w:r w:rsidR="00646D26">
        <w:t xml:space="preserve"> point estimate in 2016 were investigated</w:t>
      </w:r>
      <w:r>
        <w:t>, using the FCube “Value” scenario</w:t>
      </w:r>
      <w:r w:rsidR="00646D26">
        <w:t xml:space="preserve"> (Figure 5). </w:t>
      </w:r>
      <w:r w:rsidR="00662267">
        <w:t xml:space="preserve">For most countries, the outcomes of 2016 would be within 20% of the 2014 levels, and </w:t>
      </w:r>
      <w:r w:rsidR="00B32D8E">
        <w:t>F</w:t>
      </w:r>
      <w:r w:rsidR="00B32D8E" w:rsidRPr="00B32D8E">
        <w:rPr>
          <w:vertAlign w:val="subscript"/>
        </w:rPr>
        <w:t>optim</w:t>
      </w:r>
      <w:r w:rsidR="00662267">
        <w:t xml:space="preserve"> would lead to slightly higher catches than with F</w:t>
      </w:r>
      <w:r w:rsidR="00521B61" w:rsidRPr="00521B61">
        <w:rPr>
          <w:vertAlign w:val="subscript"/>
        </w:rPr>
        <w:t>MSY</w:t>
      </w:r>
      <w:r w:rsidR="00662267">
        <w:t xml:space="preserve">. As the difference in F is largest for haddock, the </w:t>
      </w:r>
      <w:r w:rsidR="00630FA7">
        <w:t xml:space="preserve">impact would be greatest for the countries catching this stock, and primarily Scotland. </w:t>
      </w:r>
      <w:r w:rsidR="00B32D8E">
        <w:t xml:space="preserve">Conversely, the effect is negative on the fleets catching plaice, as the </w:t>
      </w:r>
      <w:r w:rsidR="00B32D8E">
        <w:lastRenderedPageBreak/>
        <w:t>F</w:t>
      </w:r>
      <w:r w:rsidR="00B32D8E" w:rsidRPr="0012638A">
        <w:rPr>
          <w:vertAlign w:val="subscript"/>
        </w:rPr>
        <w:t>optim</w:t>
      </w:r>
      <w:r w:rsidR="00B32D8E">
        <w:t xml:space="preserve"> is lower than F</w:t>
      </w:r>
      <w:r w:rsidR="0012638A" w:rsidRPr="0012638A">
        <w:rPr>
          <w:vertAlign w:val="subscript"/>
        </w:rPr>
        <w:t>MSY</w:t>
      </w:r>
      <w:r w:rsidR="00B32D8E">
        <w:t xml:space="preserve"> for this stock. </w:t>
      </w:r>
      <w:r w:rsidR="0012638A">
        <w:t>Nevertheless, this impact assessment assumes full uptake of the TAC, which has not happened for North Sea plaice since 2010, and therefore it is not unlikely that the actual F will be below F</w:t>
      </w:r>
      <w:r w:rsidR="0012638A" w:rsidRPr="0012638A">
        <w:rPr>
          <w:vertAlign w:val="subscript"/>
        </w:rPr>
        <w:t>MSY</w:t>
      </w:r>
      <w:r w:rsidR="0012638A">
        <w:t xml:space="preserve"> in 2016</w:t>
      </w:r>
      <w:r w:rsidR="00350E41">
        <w:t>.</w:t>
      </w:r>
    </w:p>
    <w:p w14:paraId="7701C39F" w14:textId="77777777" w:rsidR="00D27BA5" w:rsidRDefault="00364F57" w:rsidP="00DF5AFC">
      <w:pPr>
        <w:pStyle w:val="Overskrift1"/>
      </w:pPr>
      <w:r w:rsidRPr="009163B0">
        <w:t>Discussion</w:t>
      </w:r>
    </w:p>
    <w:p w14:paraId="2ACA512C" w14:textId="45429DF6" w:rsidR="00344089" w:rsidRPr="00F50C72" w:rsidRDefault="009163B0" w:rsidP="00DF5AFC">
      <w:pPr>
        <w:rPr>
          <w:lang w:val="fr-FR"/>
        </w:rPr>
      </w:pPr>
      <w:r w:rsidRPr="009163B0">
        <w:t xml:space="preserve">The work presented here </w:t>
      </w:r>
      <w:r>
        <w:t xml:space="preserve">is the outcome of a process developed </w:t>
      </w:r>
      <w:r w:rsidR="00DF45DB">
        <w:t>over</w:t>
      </w:r>
      <w:r>
        <w:t xml:space="preserve"> several years, where scientists, managers and stakeholders have together matured </w:t>
      </w:r>
      <w:r w:rsidR="00487829">
        <w:t>new</w:t>
      </w:r>
      <w:r>
        <w:t xml:space="preserve"> conceptual thinking o</w:t>
      </w:r>
      <w:r w:rsidR="00487829">
        <w:t xml:space="preserve">n the design of </w:t>
      </w:r>
      <w:r>
        <w:t xml:space="preserve">mixed-fisheries management </w:t>
      </w:r>
      <w:r w:rsidR="00487829">
        <w:t>plans</w:t>
      </w:r>
      <w:r w:rsidR="00290F6E">
        <w:t xml:space="preserve"> </w:t>
      </w:r>
      <w:r w:rsidR="003B4ECA" w:rsidRPr="003B4ECA">
        <w:fldChar w:fldCharType="begin" w:fldLock="1"/>
      </w:r>
      <w:r w:rsidR="00873E7A">
        <w:instrText>ADDIN CSL_CITATION { "citationItems" : [ { "id" : "ITEM-1", "itemData" : { "author" : [ { "dropping-particle" : "", "family" : "Kempf", "given" : "Alexander", "non-dropping-particle" : "", "parse-names" : false, "suffix" : "" }, { "dropping-particle" : "", "family" : "Mumford", "given" : "John", "non-dropping-particle" : "", "parse-names" : false, "suffix" : "" }, { "dropping-particle" : "", "family" : "Polina", "given" : "Levontin", "non-dropping-particle" : "", "parse-names" : false, "suffix" : "" }, { "dropping-particle" : "", "family" : "Adrian", "given" : "Leach", "non-dropping-particle" : "", "parse-names" : false, "suffix" : "" }, { "dropping-particle" : "", "family" : "Ayoe", "given" : "Hoff", "non-dropping-particle" : "", "parse-names" : false, "suffix" : "" }, { "dropping-particle" : "", "family" : "Hamon", "given" : "K. G.", "non-dropping-particle" : "", "parse-names" : false, "suffix" : "" }, { "dropping-particle" : "", "family" : "Bartelings", "given" : "Heleen", "non-dropping-particle" : "", "parse-names" : false, "suffix" : "" }, { "dropping-particle" : "", "family" : "Vinther", "given" : "Morten", "non-dropping-particle" : "", "parse-names" : false, "suffix" : "" }, { "dropping-particle" : "", "family" : "Staebler", "given" : "Moritz", "non-dropping-particle" : "", "parse-names" : false, "suffix" : "" }, { "dropping-particle" : "", "family" : "Poos", "given" : "Jan Jaap", "non-dropping-particle" : "", "parse-names" : false, "suffix" : "" }, { "dropping-particle" : "", "family" : "Smout", "given" : "Sophie", "non-dropping-particle" : "", "parse-names" : false, "suffix" : "" }, { "dropping-particle" : "", "family" : "Frost", "given" : "Hans", "non-dropping-particle" : "", "parse-names" : false, "suffix" : "" }, { "dropping-particle" : "", "family" : "Burg", "given" : "Sander", "non-dropping-particle" : "van den", "parse-names" : false, "suffix" : "" }, { "dropping-particle" : "", "family" : "Ulrich", "given" : "Clara", "non-dropping-particle" : "", "parse-names" : false, "suffix" : "" }, { "dropping-particle" : "", "family" : "Rindorf", "given" : "Anna", "non-dropping-particle" : "", "parse-names" : false, "suffix" : "" } ], "container-title" : "Marine Policy", "id" : "ITEM-1", "issued" : { "date-parts" : [ [ "0" ] ] }, "title" : "The MSY concept in a multi-objective fisheries environment \u2013 lessons learned from the North Sea", "type" : "article-journal", "volume" : "submitted" }, "uris" : [ "http://www.mendeley.com/documents/?uuid=b4700855-51c6-4598-9b37-e0427364f4b4" ] } ], "mendeley" : { "formattedCitation" : "(Kempf et al., n.d.)", "plainTextFormattedCitation" : "(Kempf et al., n.d.)", "previouslyFormattedCitation" : "(Kempf et al. n.d.)" }, "properties" : { "noteIndex" : 0 }, "schema" : "https://github.com/citation-style-language/schema/raw/master/csl-citation.json" }</w:instrText>
      </w:r>
      <w:r w:rsidR="003B4ECA" w:rsidRPr="003B4ECA">
        <w:fldChar w:fldCharType="separate"/>
      </w:r>
      <w:r w:rsidR="00873E7A" w:rsidRPr="00873E7A">
        <w:rPr>
          <w:noProof/>
        </w:rPr>
        <w:t>(Kempf et al., n.d.)</w:t>
      </w:r>
      <w:r w:rsidR="003B4ECA" w:rsidRPr="003B4ECA">
        <w:fldChar w:fldCharType="end"/>
      </w:r>
      <w:r>
        <w:t xml:space="preserve">. The objectives have </w:t>
      </w:r>
      <w:r w:rsidR="0022493D">
        <w:t>been shaped by the various</w:t>
      </w:r>
      <w:r>
        <w:t xml:space="preserve"> institutional </w:t>
      </w:r>
      <w:r w:rsidR="007D371C">
        <w:t xml:space="preserve">and legal </w:t>
      </w:r>
      <w:r>
        <w:t xml:space="preserve">constraints </w:t>
      </w:r>
      <w:r w:rsidR="007D371C">
        <w:t>within</w:t>
      </w:r>
      <w:r>
        <w:t xml:space="preserve"> the European fisheries management system</w:t>
      </w:r>
      <w:r w:rsidR="007D371C">
        <w:t xml:space="preserve">, which are different </w:t>
      </w:r>
      <w:r w:rsidR="00771A99">
        <w:t xml:space="preserve">from other regions in the world  </w:t>
      </w:r>
      <w:r w:rsidR="00771A99">
        <w:fldChar w:fldCharType="begin" w:fldLock="1"/>
      </w:r>
      <w:r w:rsidR="00873E7A">
        <w:instrText>ADDIN CSL_CITATION { "citationItems" : [ { "id" : "ITEM-1", "itemData" : { "author" : [ { "dropping-particle" : "", "family" : "Marchal", "given" : "P.", "non-dropping-particle" : "", "parse-names" : false, "suffix" : "" } ], "container-title" : "Fish and Fisheries", "id" : "ITEM-1", "issued" : { "date-parts" : [ [ "2016" ] ] }, "title" : "A comparative review of fisheries management experiences in the European Union and in other countries worldwide: Iceland, Australia and New Zealand", "type" : "article-journal" }, "uris" : [ "http://www.mendeley.com/documents/?uuid=042e5ee6-932d-4dfd-be4e-d44c54bd27e4" ] } ], "mendeley" : { "formattedCitation" : "(Marchal, 2016)", "manualFormatting" : "(Marchal et al., 2016)", "plainTextFormattedCitation" : "(Marchal, 2016)", "previouslyFormattedCitation" : "(Marchal 2016)" }, "properties" : { "noteIndex" : 0 }, "schema" : "https://github.com/citation-style-language/schema/raw/master/csl-citation.json" }</w:instrText>
      </w:r>
      <w:r w:rsidR="00771A99">
        <w:fldChar w:fldCharType="separate"/>
      </w:r>
      <w:r w:rsidR="00771A99" w:rsidRPr="00771A99">
        <w:rPr>
          <w:noProof/>
        </w:rPr>
        <w:t xml:space="preserve">(Marchal </w:t>
      </w:r>
      <w:r w:rsidR="00771A99">
        <w:rPr>
          <w:noProof/>
        </w:rPr>
        <w:t xml:space="preserve">et al., </w:t>
      </w:r>
      <w:r w:rsidR="00771A99" w:rsidRPr="00771A99">
        <w:rPr>
          <w:noProof/>
        </w:rPr>
        <w:t>2016)</w:t>
      </w:r>
      <w:r w:rsidR="00771A99">
        <w:fldChar w:fldCharType="end"/>
      </w:r>
      <w:r w:rsidR="007D371C">
        <w:t xml:space="preserve">. </w:t>
      </w:r>
      <w:r>
        <w:t xml:space="preserve">MSY is the overall objective stated in the basic regulation, but the need to account for mixed-fisheries and ecosystem interactions is also written in the law </w:t>
      </w:r>
      <w:r w:rsidR="00771A99">
        <w:fldChar w:fldCharType="begin" w:fldLock="1"/>
      </w:r>
      <w:r w:rsidR="00873E7A">
        <w:instrText>ADDIN CSL_CITATION { "citationItems" : [ { "id" : "ITEM-1", "itemData" : { "abstract" : "on the Common Fisheries Policy, amending Council Regulations (EC) No 1954/2003 and (EC) No 1224/2009 and repealing Council Regulations (EC) No 2371/2002 and (EC) No 639/2004 and Council Decision 2004/585/EC", "author" : [ { "dropping-particle" : "", "family" : "EU", "given" : "", "non-dropping-particle" : "", "parse-names" : false, "suffix" : "" } ], "container-title" : "Official Journal of the European Union", "id" : "ITEM-1", "issue" : "28.12.2013", "issued" : { "date-parts" : [ [ "2013" ] ] }, "page" : "22-61", "title" : "REGULATION (EU) No 1380/2013 OF THE EUROPEAN PARLIAMENT AND OF THE COUNCIL of 11 December 2013, on the Common Fisheries Policy, amending Council Regulations (EC) No 1954/2003 and (EC) No 1224/2009 and repealing Council Regulations (EC) No 2371/2002 and (E", "type" : "article-journal", "volume" : "L354" }, "uris" : [ "http://www.mendeley.com/documents/?uuid=aa45bb69-4a70-4dee-8fea-422f1513654a" ] } ], "mendeley" : { "formattedCitation" : "(EU, 2013)", "plainTextFormattedCitation" : "(EU, 2013)", "previouslyFormattedCitation" : "(EU 2013)" }, "properties" : { "noteIndex" : 0 }, "schema" : "https://github.com/citation-style-language/schema/raw/master/csl-citation.json" }</w:instrText>
      </w:r>
      <w:r w:rsidR="00771A99">
        <w:fldChar w:fldCharType="separate"/>
      </w:r>
      <w:r w:rsidR="00873E7A" w:rsidRPr="00873E7A">
        <w:rPr>
          <w:noProof/>
        </w:rPr>
        <w:t>(EU, 2013)</w:t>
      </w:r>
      <w:r w:rsidR="00771A99">
        <w:fldChar w:fldCharType="end"/>
      </w:r>
      <w:r w:rsidR="00771A99">
        <w:t xml:space="preserve"> </w:t>
      </w:r>
      <w:r w:rsidRPr="00771A99">
        <w:t xml:space="preserve">article </w:t>
      </w:r>
      <w:r w:rsidR="0002365E" w:rsidRPr="00771A99">
        <w:t>9</w:t>
      </w:r>
      <w:r w:rsidRPr="0002365E">
        <w:t>)</w:t>
      </w:r>
      <w:r>
        <w:t xml:space="preserve">. </w:t>
      </w:r>
      <w:r w:rsidR="0022493D">
        <w:t xml:space="preserve">Scientific evidence has accumulated since the seventies to </w:t>
      </w:r>
      <w:r w:rsidR="00EE27D2">
        <w:t>show</w:t>
      </w:r>
      <w:r w:rsidR="0022493D">
        <w:t xml:space="preserve"> that MSY </w:t>
      </w:r>
      <w:r w:rsidR="00B50F50">
        <w:t>is</w:t>
      </w:r>
      <w:r w:rsidR="00EE27D2">
        <w:t xml:space="preserve"> inherently variable</w:t>
      </w:r>
      <w:r w:rsidR="00C353A8">
        <w:t xml:space="preserve"> and difficult to define</w:t>
      </w:r>
      <w:r w:rsidR="00EE27D2">
        <w:t xml:space="preserve">, not only due to multi-species </w:t>
      </w:r>
      <w:r w:rsidR="00F3689C">
        <w:t xml:space="preserve">and mixed-fisheries </w:t>
      </w:r>
      <w:r w:rsidR="00EE27D2">
        <w:t>interactions</w:t>
      </w:r>
      <w:r w:rsidR="002121FC">
        <w:t xml:space="preserve"> </w:t>
      </w:r>
      <w:r w:rsidR="002121FC">
        <w:fldChar w:fldCharType="begin" w:fldLock="1"/>
      </w:r>
      <w:r w:rsidR="00873E7A">
        <w:instrText>ADDIN CSL_CITATION { "citationItems" : [ { "id" : "ITEM-1", "itemData" : { "DOI" : "10.1139/F09-057", "ISBN" : "1205-7533", "ISSN" : "0706-652X", "abstract" : "Signatories of the 2002 World Summit on Sustainable Development declaration committed to maintain or restore fish stocks to levels that can produce the maximum sustainable yield (MSY), a goal that has been challenged on a number of grounds. The European Commission has stated an objective to manage fisheries (independently) to achieve MSY by 2015, which has catalysed the Regional Advisory Councils\u2019 (RACs) thinking on MSY and how it relates to their goal of developing long-term management plans. This study uses an ecosystem model of the North Sea to investigate questions relating to MSY in the context of mixed demersal fisheries for cod, haddock, and whiting. Results suggest that it is not possible to simultaneously achieve yields corresponding to MSYs predicted from single-species assessments and that the contradictory response of whiting is central to the trade-offs in yield and value for mixed demersal fisheries. Incompatibility between mixed-fishery and ecosystem-scale considerations exemplifies the difficult conceptual and practical challenges faced when moving toward an ecosystem approach.", "author" : [ { "dropping-particle" : "", "family" : "Mackinson", "given" : "Steven", "non-dropping-particle" : "", "parse-names" : false, "suffix" : "" }, { "dropping-particle" : "", "family" : "Deas", "given" : "Barrie", "non-dropping-particle" : "", "parse-names" : false, "suffix" : "" }, { "dropping-particle" : "", "family" : "Beveridge", "given" : "Doug", "non-dropping-particle" : "", "parse-names" : false, "suffix" : "" }, { "dropping-particle" : "", "family" : "Casey", "given" : "John", "non-dropping-particle" : "", "parse-names" : false, "suffix" : "" } ], "container-title" : "Canadian Journal of Fisheries and Aquatic Sciences", "id" : "ITEM-1", "issue" : "7", "issued" : { "date-parts" : [ [ "2009" ] ] }, "page" : "1107-1129", "title" : "Mixed-fishery or ecosystem conundrum? Multispecies considerations inform thinking on long-term management of North Sea demersal stocks", "type" : "article-journal", "volume" : "66" }, "uris" : [ "http://www.mendeley.com/documents/?uuid=8c334b87-fedc-4723-ac63-8eaf4ce7a4c2" ] } ], "mendeley" : { "formattedCitation" : "(Mackinson, Deas, Beveridge, &amp; Casey, 2009)", "plainTextFormattedCitation" : "(Mackinson, Deas, Beveridge, &amp; Casey, 2009)", "previouslyFormattedCitation" : "(Mackinson et al. 2009)" }, "properties" : { "noteIndex" : 0 }, "schema" : "https://github.com/citation-style-language/schema/raw/master/csl-citation.json" }</w:instrText>
      </w:r>
      <w:r w:rsidR="002121FC">
        <w:fldChar w:fldCharType="separate"/>
      </w:r>
      <w:r w:rsidR="00873E7A" w:rsidRPr="00873E7A">
        <w:rPr>
          <w:noProof/>
        </w:rPr>
        <w:t>(Mackinson, Deas, Beveridge, &amp; Casey, 2009)</w:t>
      </w:r>
      <w:r w:rsidR="002121FC">
        <w:fldChar w:fldCharType="end"/>
      </w:r>
      <w:r w:rsidR="00EE27D2">
        <w:t xml:space="preserve">, but </w:t>
      </w:r>
      <w:r w:rsidR="00F3689C">
        <w:t xml:space="preserve">even </w:t>
      </w:r>
      <w:r w:rsidR="00EE27D2">
        <w:t>in the narrow single-stock approach, where the productivity and the growth of fish populations are constantly changing</w:t>
      </w:r>
      <w:r w:rsidR="00C353A8">
        <w:t xml:space="preserve">. </w:t>
      </w:r>
      <w:r>
        <w:t xml:space="preserve">In addition, the </w:t>
      </w:r>
      <w:r w:rsidR="00172FC4">
        <w:t>agreement</w:t>
      </w:r>
      <w:r>
        <w:t xml:space="preserve"> between the Council of </w:t>
      </w:r>
      <w:r w:rsidR="00172FC4">
        <w:t>Ministers</w:t>
      </w:r>
      <w:r>
        <w:t xml:space="preserve"> and the EU parliament </w:t>
      </w:r>
      <w:r w:rsidR="00172FC4">
        <w:t>resulted in</w:t>
      </w:r>
      <w:r w:rsidR="0022493D">
        <w:t xml:space="preserve"> the removal of binding harvest control rules, in order to maintain some room for </w:t>
      </w:r>
      <w:r w:rsidR="00F3689C">
        <w:t xml:space="preserve">political </w:t>
      </w:r>
      <w:r w:rsidR="0022493D">
        <w:t>flexibility in the annual TAC negotiations</w:t>
      </w:r>
      <w:r w:rsidR="00D20E28">
        <w:t xml:space="preserve"> </w:t>
      </w:r>
      <w:r w:rsidR="00290F6E">
        <w:fldChar w:fldCharType="begin" w:fldLock="1"/>
      </w:r>
      <w:r w:rsidR="00873E7A">
        <w:instrText>ADDIN CSL_CITATION { "citationItems" : [ { "id" : "ITEM-1", "itemData" : { "author" : [ { "dropping-particle" : "", "family" : "EU", "given" : "", "non-dropping-particle" : "", "parse-names" : false, "suffix" : "" } ], "id" : "ITEM-1", "issued" : { "date-parts" : [ [ "2014" ] ] }, "number-of-pages" : "14", "title" : "Task Force on multiannual plans. Final report April 2014", "type" : "report" }, "uris" : [ "http://www.mendeley.com/documents/?uuid=0ee53cba-f13a-4b98-80bc-0413bc968707" ] } ], "mendeley" : { "formattedCitation" : "(EU, 2014)", "plainTextFormattedCitation" : "(EU, 2014)", "previouslyFormattedCitation" : "(EU 2014)" }, "properties" : { "noteIndex" : 0 }, "schema" : "https://github.com/citation-style-language/schema/raw/master/csl-citation.json" }</w:instrText>
      </w:r>
      <w:r w:rsidR="00290F6E">
        <w:fldChar w:fldCharType="separate"/>
      </w:r>
      <w:r w:rsidR="00873E7A" w:rsidRPr="00873E7A">
        <w:rPr>
          <w:noProof/>
        </w:rPr>
        <w:t>(EU, 2014)</w:t>
      </w:r>
      <w:r w:rsidR="00290F6E">
        <w:fldChar w:fldCharType="end"/>
      </w:r>
      <w:r w:rsidR="0022493D">
        <w:t>. As a consequence,</w:t>
      </w:r>
      <w:r w:rsidR="00844067">
        <w:t xml:space="preserve"> </w:t>
      </w:r>
      <w:r w:rsidR="00E03E73">
        <w:t xml:space="preserve">identifying ranges of </w:t>
      </w:r>
      <w:r w:rsidR="009B2CCC">
        <w:t>fishing mortality</w:t>
      </w:r>
      <w:r w:rsidR="00E03E73">
        <w:t xml:space="preserve"> around F</w:t>
      </w:r>
      <w:r w:rsidR="00521B61" w:rsidRPr="00521B61">
        <w:rPr>
          <w:vertAlign w:val="subscript"/>
        </w:rPr>
        <w:t>MSY</w:t>
      </w:r>
      <w:r w:rsidR="00E03E73">
        <w:t xml:space="preserve"> has emerged as a pragmatic fisheries management approach integrating these institutional </w:t>
      </w:r>
      <w:r w:rsidR="00B86A4F">
        <w:t xml:space="preserve">and ecological </w:t>
      </w:r>
      <w:r w:rsidR="00E03E73">
        <w:t>constraints</w:t>
      </w:r>
      <w:r w:rsidR="002121FC">
        <w:t xml:space="preserve"> </w:t>
      </w:r>
      <w:r w:rsidR="002121FC">
        <w:fldChar w:fldCharType="begin" w:fldLock="1"/>
      </w:r>
      <w:r w:rsidR="00873E7A">
        <w:instrText>ADDIN CSL_CITATION { "citationItems" : [ { "id" : "ITEM-1", "itemData" : { "author" : [ { "dropping-particle" : "", "family" : "Rindorf", "given" : "A.", "non-dropping-particle" : "", "parse-names" : false, "suffix" : "" }, { "dropping-particle" : "", "family" : "Mumford", "given" : "J.", "non-dropping-particle" : "", "parse-names" : false, "suffix" : "" }, { "dropping-particle" : "", "family" : "Baranowski", "given" : "P.", "non-dropping-particle" : "", "parse-names" : false, "suffix" : "" }, { "dropping-particle" : "", "family" : "Clausen", "given" : "L. W.", "non-dropping-particle" : "", "parse-names" : false, "suffix" : "" }, { "dropping-particle" : "", "family" : "Garcia", "given" : "L.", "non-dropping-particle" : "", "parse-names" : false, "suffix" : "" }, { "dropping-particle" : "", "family" : "Hintzen", "given" : "N.", "non-dropping-particle" : "", "parse-names" : false, "suffix" : "" }, { "dropping-particle" : "", "family" : "Holt", "given" : "J.", "non-dropping-particle" : "", "parse-names" : false, "suffix" : "" }, { "dropping-particle" : "", "family" : "Kempf", "given" : "A.", "non-dropping-particle" : "", "parse-names" : false, "suffix" : "" }, { "dropping-particle" : "", "family" : "Leach", "given" : "A.", "non-dropping-particle" : "", "parse-names" : false, "suffix" : "" }, { "dropping-particle" : "", "family" : "Levontin", "given" : "P.", "non-dropping-particle" : "", "parse-names" : false, "suffix" : "" }, { "dropping-particle" : "", "family" : "Mace", "given" : "P.", "non-dropping-particle" : "", "parse-names" : false, "suffix" : "" }, { "dropping-particle" : "", "family" : "Mackinson", "given" : "S.", "non-dropping-particle" : "", "parse-names" : false, "suffix" : "" }, { "dropping-particle" : "", "family" : "Maravelias", "given" : "C.", "non-dropping-particle" : "", "parse-names" : false, "suffix" : "" }, { "dropping-particle" : "", "family" : "Prellezo", "given" : "R.", "non-dropping-particle" : "", "parse-names" : false, "suffix" : "" }, { "dropping-particle" : "", "family" : "Quetglas", "given" : "A.", "non-dropping-particle" : "", "parse-names" : false, "suffix" : "" }, { "dropping-particle" : "", "family" : "Tserpes", "given" : "G.", "non-dropping-particle" : "", "parse-names" : false, "suffix" : "" }, { "dropping-particle" : "", "family" : "Voss", "given" : "R.", "non-dropping-particle" : "", "parse-names" : false, "suffix" : "" }, { "dropping-particle" : "", "family" : "Reid", "given" : "D.", "non-dropping-particle" : "", "parse-names" : false, "suffix" : "" } ], "container-title" : "ICES Journal of Marine Science", "id" : "ITEM-1", "issued" : { "date-parts" : [ [ "0" ] ] }, "title" : "Expanding the MSY concept to reflect multidimensional fisheries management objectives Submitted to ICES Journal of Marine Science (Topic issue on targets and limits in long term fisheries management).", "type" : "article-journal", "volume" : "submitted" }, "uris" : [ "http://www.mendeley.com/documents/?uuid=720bc04f-b1bc-4756-8599-12e751609744" ] } ], "mendeley" : { "formattedCitation" : "(Rindorf, Mumford, et al., n.d.)", "plainTextFormattedCitation" : "(Rindorf, Mumford, et al., n.d.)", "previouslyFormattedCitation" : "(Rindorf, Mumford, et al. n.d.)" }, "properties" : { "noteIndex" : 0 }, "schema" : "https://github.com/citation-style-language/schema/raw/master/csl-citation.json" }</w:instrText>
      </w:r>
      <w:r w:rsidR="002121FC">
        <w:fldChar w:fldCharType="separate"/>
      </w:r>
      <w:r w:rsidR="00873E7A" w:rsidRPr="00873E7A">
        <w:rPr>
          <w:noProof/>
        </w:rPr>
        <w:t>(Rindorf, Mumford, et al., n.d.)</w:t>
      </w:r>
      <w:r w:rsidR="002121FC">
        <w:fldChar w:fldCharType="end"/>
      </w:r>
      <w:r w:rsidR="00E03E73">
        <w:t xml:space="preserve">, </w:t>
      </w:r>
      <w:r w:rsidR="00CF46AE">
        <w:t xml:space="preserve">potentially </w:t>
      </w:r>
      <w:r w:rsidR="00E03E73">
        <w:t xml:space="preserve">allowing some flexibility in decision-making </w:t>
      </w:r>
      <w:r w:rsidR="00CF46AE">
        <w:t>within the</w:t>
      </w:r>
      <w:r w:rsidR="009B2CCC">
        <w:t xml:space="preserve"> </w:t>
      </w:r>
      <w:r w:rsidR="00CF46AE">
        <w:t>frame</w:t>
      </w:r>
      <w:r w:rsidR="009B2CCC">
        <w:t>work</w:t>
      </w:r>
      <w:r w:rsidR="00CF46AE">
        <w:t xml:space="preserve"> of MSY and </w:t>
      </w:r>
      <w:r w:rsidR="00A10B98">
        <w:t xml:space="preserve">the </w:t>
      </w:r>
      <w:r w:rsidR="00CF46AE">
        <w:t>precautionary objectives</w:t>
      </w:r>
      <w:r w:rsidR="002121FC">
        <w:t xml:space="preserve"> </w:t>
      </w:r>
      <w:r w:rsidR="002121FC">
        <w:fldChar w:fldCharType="begin" w:fldLock="1"/>
      </w:r>
      <w:r w:rsidR="00873E7A">
        <w:instrText>ADDIN CSL_CITATION { "citationItems" : [ { "id" : "ITEM-1", "itemData" : { "DOI" : "EUR 27232 EN, JRC 95959", "author" : [ { "dropping-particle" : "", "family" : "Scientific Technical and Economic Committee for Fisheries (STECF)", "given" : "", "non-dropping-particle" : "", "parse-names" : false, "suffix" : "" } ], "id" : "ITEM-1", "issued" : { "date-parts" : [ [ "2015" ] ] }, "number-of-pages" : "152 pp", "publisher-place" : "Luxembourg: Publications Office of the European Union", "title" : "Evaluation of management plans: Evaluation of the multi-annual plan for the North Sea demersal stocks (STECF-15-04)", "type" : "report" }, "uris" : [ "http://www.mendeley.com/documents/?uuid=47258b2e-dedf-4b9d-bc89-e81ac8d644dd" ] } ], "mendeley" : { "formattedCitation" : "(Scientific Technical and Economic Committee for Fisheries (STECF), 2015a)", "manualFormatting" : "(STECF 2015a)", "plainTextFormattedCitation" : "(Scientific Technical and Economic Committee for Fisheries (STECF), 2015a)", "previouslyFormattedCitation" : "(Scientific Technical and Economic Committee for Fisheries (STECF) 2015a)" }, "properties" : { "noteIndex" : 0 }, "schema" : "https://github.com/citation-style-language/schema/raw/master/csl-citation.json" }</w:instrText>
      </w:r>
      <w:r w:rsidR="002121FC">
        <w:fldChar w:fldCharType="separate"/>
      </w:r>
      <w:r w:rsidR="002121FC" w:rsidRPr="002121FC">
        <w:rPr>
          <w:noProof/>
        </w:rPr>
        <w:t>(STECF 2015a)</w:t>
      </w:r>
      <w:r w:rsidR="002121FC">
        <w:fldChar w:fldCharType="end"/>
      </w:r>
      <w:r w:rsidR="00CF46AE">
        <w:t xml:space="preserve">. Our work is intended to inform this debate on the potential challenges, risks and opportunities of moving along this path, and hopefully to contribute to informed decision-making for the management plans in </w:t>
      </w:r>
      <w:r w:rsidR="00344089">
        <w:t>development</w:t>
      </w:r>
      <w:r w:rsidR="00CF46AE">
        <w:t xml:space="preserve">. </w:t>
      </w:r>
      <w:r w:rsidR="006A459E">
        <w:t>Progresses are also on the way to include management objectives for data-poor and bycatch stocks, where</w:t>
      </w:r>
      <w:r w:rsidR="00902BBF">
        <w:t xml:space="preserve"> the ranges of options for the commercial stocks may be reduced if they lead to unprecautionary risks to the other stocks </w:t>
      </w:r>
      <w:r w:rsidR="00902BBF">
        <w:fldChar w:fldCharType="begin" w:fldLock="1"/>
      </w:r>
      <w:r w:rsidR="00873E7A">
        <w:instrText>ADDIN CSL_CITATION { "citationItems" : [ { "id" : "ITEM-1", "itemData" : { "author" : [ { "dropping-particle" : "", "family" : "Rindorf", "given" : "A.", "non-dropping-particle" : "", "parse-names" : false, "suffix" : "" }, { "dropping-particle" : "", "family" : "Dichmont", "given" : "C.", "non-dropping-particle" : "", "parse-names" : false, "suffix" : "" }, { "dropping-particle" : "", "family" : "Levin", "given" : "P.", "non-dropping-particle" : "", "parse-names" : false, "suffix" : "" }, { "dropping-particle" : "", "family" : "Mace", "given" : "P.", "non-dropping-particle" : "", "parse-names" : false, "suffix" : "" }, { "dropping-particle" : "", "family" : "Pascoe", "given" : "S.", "non-dropping-particle" : "", "parse-names" : false, "suffix" : "" }, { "dropping-particle" : "", "family" : "Prellezo", "given" : "R.", "non-dropping-particle" : "", "parse-names" : false, "suffix" : "" }, { "dropping-particle" : "", "family" : "Punt", "given" : "A. E.", "non-dropping-particle" : "", "parse-names" : false, "suffix" : "" }, { "dropping-particle" : "", "family" : "Reid", "given" : "D.", "non-dropping-particle" : "", "parse-names" : false, "suffix" : "" }, { "dropping-particle" : "", "family" : "Stephenson", "given" : "R.", "non-dropping-particle" : "", "parse-names" : false, "suffix" : "" }, { "dropping-particle" : "", "family" : "Ulrich", "given" : "C.", "non-dropping-particle" : "", "parse-names" : false, "suffix" : "" }, { "dropping-particle" : "", "family" : "Vinther", "given" : "M.", "non-dropping-particle" : "", "parse-names" : false, "suffix" : "" }, { "dropping-particle" : "", "family" : "Clausen", "given" : "L. W.", "non-dropping-particle" : "", "parse-names" : false, "suffix" : "" } ], "container-title" : "ICES Journal of Marine Science", "id" : "ITEM-1", "issued" : { "date-parts" : [ [ "0" ] ] }, "title" : "Food for thought: Pretty good multispecies yield. Submitted to ICES Journal of Marine Science (Topic issue on targets and limits in long term fisheries management)", "type" : "article-journal", "volume" : "submitted" }, "uris" : [ "http://www.mendeley.com/documents/?uuid=df6fb044-c45a-4f3c-a6ac-9d3ddeb1ba71" ] }, { "id" : "ITEM-2", "itemData" : { "DOI" : "ICES CM 2015/ACOM:22", "author" : [ { "dropping-particle" : "", "family" : "ICES", "given" : "", "non-dropping-particle" : "", "parse-names" : false, "suffix" : "" } ], "id" : "ITEM-2", "issued" : { "date-parts" : [ [ "2015" ] ] }, "number-of-pages" : "51 pp", "title" : "Report of the Working Group on Mixed Fisheries Advice Methodology (WGMIXFISH-METH), 5\u20139 October 2015, DTU-Aqua, Charlottenlund, Den</w:instrText>
      </w:r>
      <w:r w:rsidR="00873E7A" w:rsidRPr="00873E7A">
        <w:rPr>
          <w:lang w:val="fr-FR"/>
        </w:rPr>
        <w:instrText>mark.", "type" : "report" }, "uris" : [ "http://www.mendeley.com/documents/?uuid=aa37afc6-5361-4220-a25d-aef0920bf44f" ] }, { "id" : "ITEM-3", "itemData" : { "DOI" : "EUR 27232 EN, JRC 95959", "author" : [ { "dropping-particle" : "", "family" : "Scientific Technical and Economic Committee for Fisheries (STECF)", "given" : "", "non-dropping-particle" : "", "parse-names" : false, "suffix" : "" } ], "id" : "ITEM-3", "issued" : { "date-parts" : [ [ "2015" ] ] }, "number-of-pages" : "152 pp", "publisher-place" : "Luxembourg: Publications Office of the European Union", "title" : "Evaluation of management plans: Evaluation of the multi-annual plan for the North Sea demersal stocks (STECF-15-04)", "type" : "report" }, "uris" : [ "http://www.mendeley.com/documents/?uuid=47258b2e-dedf-4b9d-bc89-e81ac8d644dd" ] } ], "mendeley" : { "formattedCitation" : "(ICES, 2015f; Rindorf, Dichmont, et al., n.d.; Scientific Technical and Economic Committee for Fisheries (STECF), 2015a)", "manualFormatting" : "(Rindorf, Dichmont, et al. n.d.; ICES 2015e; STECF 2015a)", "plainTextFormattedCitation" : "(ICES, 2015f; Rindorf, Dichmont, et al., n.d.; Scientific Technical and Economic Committee for Fisheries (STECF), 2015a)", "previouslyFormattedCitation" : "(ICES 2015f; Rindorf, Dichmont, et al. n.d.; Scientific Technical and Economic Committee for Fisheries (STECF) 2015a)" }, "properties" : { "noteIndex" : 0 }, "schema" : "https://github.com/citation-style-language/schema/raw/master/csl-citation.json" }</w:instrText>
      </w:r>
      <w:r w:rsidR="00902BBF">
        <w:fldChar w:fldCharType="separate"/>
      </w:r>
      <w:r w:rsidR="00902BBF" w:rsidRPr="007172AC">
        <w:rPr>
          <w:noProof/>
          <w:lang w:val="fr-FR"/>
        </w:rPr>
        <w:t>(Rindorf, Dichmont, et al. n.d.; ICES 2015e; STECF 2015a)</w:t>
      </w:r>
      <w:r w:rsidR="00902BBF">
        <w:fldChar w:fldCharType="end"/>
      </w:r>
      <w:r w:rsidR="003F3706" w:rsidRPr="007172AC">
        <w:rPr>
          <w:lang w:val="fr-FR"/>
        </w:rPr>
        <w:t>.</w:t>
      </w:r>
      <w:r w:rsidR="00902BBF" w:rsidRPr="007172AC">
        <w:rPr>
          <w:lang w:val="fr-FR"/>
        </w:rPr>
        <w:t xml:space="preserve">   </w:t>
      </w:r>
    </w:p>
    <w:p w14:paraId="2E98C4AD" w14:textId="2FB9E652" w:rsidR="00202D1E" w:rsidRDefault="00CF0642" w:rsidP="00DF5AFC">
      <w:r>
        <w:lastRenderedPageBreak/>
        <w:t>In banning discards the European institutions hope to trigger</w:t>
      </w:r>
      <w:r w:rsidR="00D7791A">
        <w:t xml:space="preserve"> bottom-up </w:t>
      </w:r>
      <w:r w:rsidR="00F3689C">
        <w:t>mechanisms</w:t>
      </w:r>
      <w:r w:rsidR="00D7791A">
        <w:t xml:space="preserve"> of </w:t>
      </w:r>
      <w:r w:rsidR="006750E6">
        <w:t>adaptation through changes in fishing practices</w:t>
      </w:r>
      <w:r w:rsidR="00D7791A">
        <w:t xml:space="preserve"> and uptake of more selective gears by the fishing industry. </w:t>
      </w:r>
      <w:r w:rsidR="002121FC">
        <w:t xml:space="preserve">However, the paths that this adaptation will take are still </w:t>
      </w:r>
      <w:r w:rsidR="001B36EB">
        <w:t>uncertain</w:t>
      </w:r>
      <w:r w:rsidR="002121FC">
        <w:t xml:space="preserve"> at present</w:t>
      </w:r>
      <w:r w:rsidR="001B36EB">
        <w:t xml:space="preserve">, depending on whether the proper incentives will be activated towards more selective fishing or not </w:t>
      </w:r>
      <w:r w:rsidR="001B36EB">
        <w:fldChar w:fldCharType="begin" w:fldLock="1"/>
      </w:r>
      <w:r w:rsidR="00873E7A">
        <w:instrText xml:space="preserve">ADDIN CSL_CITATION { "citationItems" : [ { "id" : "ITEM-1", "itemData" : { "DOI" : "10.1016/j.marpol.2013.09.001", "ISBN" : "0308-597X", "ISSN" : "0308597X", "abstract" : "The reduction of discards in European fisheries has been identified as a specific objective of the reform of the EU Common Fisheries Policy. To reduce the uncertainty in catch data and the socially unacceptable waste of resources that results from the disposal of catch at sea, a policy to ban discards has been proposed. Discard bans are currently implemented in Alaska, British Columbia, New Zealand, the Faroe Islands, Norway and Iceland. Experience from these countries highlights that a policy of mandatory landings can result in a reduction in discards, but relies upon a high level of surveillance or economic incentives to encourage fishers to land more of their catch. Discard bans will also not result in long term benefits to stocks unless total removals are reduced, through the avoidance of undersized, non-commercial or over quota catch. Experience shows that additional management measures are required to incentivise such a move towards more selective fishing. Success has resulted from the use of area closures and bycatch limits, with potential applications in EU fisheries. However, selective fishing will not be a panacea for the current state of European fisheries; discard bans and accompanying measures must be embedded in a wider management system that constrains fishing mortality to reasonable levels before sustainable exploitation can occur. \u00a9 2013 Elsevier Ltd.", "author" : [ { "dropping-particle" : "", "family" : "Condie", "given" : "Harriet M.", "non-dropping-particle" : "", "parse-names" : false, "suffix" : "" }, { "dropping-particle" : "", "family" : "Grant", "given" : "A.", "non-dropping-particle" : "", "parse-names" : false, "suffix" : "" }, { "dropping-particle" : "", "family" : "Catchpole", "given" : "Thomas L.", "non-dropping-particle" : "", "parse-names" : false, "suffix" : "" } ], "container-title" : "Marine Policy", "id" : "ITEM-1", "issued" : { "date-parts" : [ [ "2014" ] ] }, "page" : "287-292", "title" : "Incentivising selective fishing under a policy to ban discards; lessons from European and global fisheries", "type" : "article-journal", "volume" : "45" }, "uris" : [ "http://www.mendeley.com/documents/?uuid=309c60d8-0010-470c-b978-0c2c80fcb911" ] }, { "id" : "ITEM-2", "itemData" : { "DOI" : "10.1016/j.marpol.2014.09.018", "ISSN" : "0308597X", "abstract" : "A number of solutions, with varying efficiency, have been proposed to mitigate discards. In this paper twelve mitigation measures were reviewed by their strengths and weaknesses, along with opportunities and threats, they might entail. How mitigation methods could either support or counteract others was also reviewed. The analyses of the mitigation measures are based on expert knowledge and experience and supported with existing literature. Discarding is highly variable and is influenced by numerous biological, technical and operational factors as well as social and economic drivers. These influences need to be carefully considered when designing management approaches. Finally, all reforms must be carefully considered within the context of a broader management system. The full management system needs to be thought of coherently to create an incentive framework that motivates fishers to avoid unwanted catches. It is only in this setting that discard mitigation methods may be potentially effective.", "author" : [ { "dropping-particle" : "", "family" : "Sigur\u00f0ard\u00f3ttir", "given" : "Sigr\u00ed\u00f0ur", "non-dropping-particle" : "", "parse-names" : false, "suffix" : "" }, { "dropping-particle" : "", "family" : "Stef\u00e1nsd\u00f3ttir", "given" : "El\u00edsabet Kemp", "non-dropping-particle" : "", "parse-names" : false, "suffix" : "" }, { "dropping-particle" : "", "family" : "Condie", "given" : "Harriet M.", "non-dropping-particle" : "", "parse-names" : false, "suffix" : "" }, { "dropping-particle" : "", "family" : "Margeirsson", "given" : "Sveinn", "non-dropping-particle" : "", "parse-names" : false, "suffix" : "" }, { "dropping-particle" : "", "family" : "Catchpole", "given" : "Thomas L.", "non-dropping-particle" : "", "parse-names" : false, "suffix" : "" }, { "dropping-particle" : "", "family" : "Bellido", "given" : "Jose M.", "non-dropping-particle" : "", "parse-names" : false, "suffix" : "" }, { "dropping-particle" : "", "family" : "Eliasen", "given" : "S\u00f8ren Qvist", "non-dropping-particle" : "", "parse-names" : false, "suffix" : "" }, { "dropping-particle" : "", "family" : "Go\u00f1i", "given" : "Raquel", "non-dropping-particle" : "", "parse-names" : false, "suffix" : "" }, { "dropping-particle" : "", "family" : "Madsen", "given" : "Niels", "non-dropping-particle" : "", "parse-names" : false, "suffix" : "" }, { "dropping-particle" : "", "family" : "Palialexis", "given" : "Andreas", "non-dropping-particle" : "", "parse-names" : false, "suffix" : "" }, { "dropping-particle" : "", "family" : "Uhlmann", "given" : "Sebastian S.", "non-dropping-particle" : "", "parse-names" : false, "suffix" : "" }, { "dropping-particle" : "", "family" : "Vassilopoulou", "given" : "Vassiliki", "non-dropping-particle" : "", "parse-names" : false, "suffix" : "" }, { "dropping-particle" : "", "family" : "Feekings", "given" : "Jordan P.", "non-dropping-particle" : "", "parse-names" : false, "suffix" : "" }, { "dropping-particle" : "", "family" : "Rochet", "given" : "Marie-Jo\u00eblle", "non-dropping-particle" : "", "parse-names" : false, "suffix" : "" } ], "container-title" : "Marine Policy", "id" : "ITEM-2", "issued" : { "date-parts" : [ [ "2015" ] ] }, "page" : "366-374", "title" : "How can discards in European fisheries be mitigated? Strengths, weaknesses, opportunities and threats of potential mitigation methods", "type" : "article-journal", "volume" : "51" }, "uris" : [ "http://www.mendeley.com/documents/?uuid=2548aa9c-1fa9-4334-b739-687effb3ac23" ] }, { "id" : "ITEM-3", "itemData" : { "DOI" : "10.1016/j.marpol.2015.11.005", "ISSN" : "0308597X", "abstract" : "Fisheries policy is increasingly influenced by civil society organizations. The newest example of this is the formulation of the landing obligation, a regulation that should reduce the contested practice of discarding unwanted fish. In this paper the implementation process of the landing obligation in four European countries is compared. From this comparison it becomes clear that fishers are working on diminishing discards. However it also shows that for the legitimacy, and the effectiveness of policy it is not only vital to increase the influence of civil society actors, but also the participation of resource users. Their views, knowledge, and cooperation are vital for a successful implementation of the regulation. Otherwise, resistance become too high, and regulation becomes more symbolic than a tool for change.", "author" : [ { "dropping-particle" : "", "family" : "Vos", "given" : "B.I.", "non-dropping-particle" : "de", "parse-names" : false, "suffix" : "" }, { "dropping-particle" : "", "family" : "D\u00f6ring", "given" : "R.", "non-dropping-particle" : "", "parse-names" : false, "suffix" : "" }, { "dropping-particle" : "", "family" : "Aranda", "given" : "M.", "non-dropping-particle" : "", "parse-names" : false, "suffix" : "" }, { "dropping-particle" : "", "family" : "Buisman", "given" : "F.C.", "non-dropping-particle" : "", "parse-names" : false, "suffix" : "" }, { "dropping-particle" : "", "family" : "Frangoudes", "given" : "K.", "non-dropping-particle" : "", "parse-names" : false, "suffix" : "" }, { "dropping-particle" : "", "family" : "Goti", "given" : "Leyre", "non-dropping-particle" : "", "parse-names" : false, "suffix" : "" }, { "dropping-particle" : "", "family" : "Macher", "given" : "C.", "non-dropping-particle" : "", "parse-names" : false, "suffix" : "" }, </w:instrText>
      </w:r>
      <w:r w:rsidR="00873E7A" w:rsidRPr="00873E7A">
        <w:rPr>
          <w:lang w:val="fr-FR"/>
        </w:rPr>
        <w:instrText>{ "dropping-particle" : "", "family" : "Maravelias", "given" : "C.D.", "non-dropping-particle" : "", "parse-names" : false, "suffix" : "" }, { "dropping-particle" : "", "family" : "Murillas-Maza", "given" : "A.", "non-dropping-particle" : "", "parse-names" : false, "suffix" : "" }, { "dropping-particle" : "", "family" : "Valk", "given" : "O.", "non-dropping-particle" : "van der", "parse-names" : false, "suffix" : "" }, { "dropping-particle" : "", "family" : "Vasilakopoulos", "given" : "P.", "non-dropping-particle" : "", "parse-names" : false, "suffix" : "" } ], "container-title" : "Marine Policy", "id" : "ITEM-3", "issued" : { "date-parts" : [ [ "2016", "2" ] ] }, "page" : "1-8", "publisher" : "Elsevier", "title" : "New modes of fisheries governance: Implementation of the landing obligation in four European countries", "type" : "article-journal", "volume" : "64" }, "uris" : [ "http://www.mendeley.com/documents/?uuid=39d0eea5-a90d-4026-b7ea-23b0da911bc3" ] } ], "mendeley" : { "formattedCitation" : "(Condie, Grant, &amp; Catchpole, 2014; de Vos et al., 2016; Sigur\u00f0ard\u00f3ttir et al., 2015)", "plainTextFormattedCitation" : "(Condie, Grant, &amp; Catchpole, 2014; de Vos et al., 2016; Sigur\u00f0ard\u00f3ttir et al., 2015)", "previouslyFormattedCitation" : "(Condie, Grant, and Catchpole 2014; Sigur\u00f0ard\u00f3ttir et al. 2015; de Vos et al. 2016)" }, "properties" : { "noteIndex" : 0 }, "schema" : "https://github.com/citation-style-language/schema/raw/master/csl-citation.json" }</w:instrText>
      </w:r>
      <w:r w:rsidR="001B36EB">
        <w:fldChar w:fldCharType="separate"/>
      </w:r>
      <w:r w:rsidR="00873E7A" w:rsidRPr="00873E7A">
        <w:rPr>
          <w:noProof/>
          <w:lang w:val="fr-FR"/>
        </w:rPr>
        <w:t>(Condie, Grant, &amp; Catchpole, 2014; de Vos et al., 2016; Sigurðardóttir et al., 2015)</w:t>
      </w:r>
      <w:r w:rsidR="001B36EB">
        <w:fldChar w:fldCharType="end"/>
      </w:r>
      <w:r w:rsidR="001B36EB" w:rsidRPr="00873E7A">
        <w:rPr>
          <w:lang w:val="fr-FR"/>
        </w:rPr>
        <w:t xml:space="preserve">. </w:t>
      </w:r>
      <w:r w:rsidR="000D7F67">
        <w:t xml:space="preserve">Before this adaptation has </w:t>
      </w:r>
      <w:r w:rsidR="00D20E28">
        <w:t xml:space="preserve">fully </w:t>
      </w:r>
      <w:r w:rsidR="000D7F67">
        <w:t xml:space="preserve">taken place, </w:t>
      </w:r>
      <w:r w:rsidR="001C0C90">
        <w:t xml:space="preserve">it is possible </w:t>
      </w:r>
      <w:r w:rsidR="000D7F67">
        <w:t xml:space="preserve">that discarding will </w:t>
      </w:r>
      <w:r w:rsidR="00906E3C">
        <w:t xml:space="preserve">continue </w:t>
      </w:r>
      <w:r w:rsidR="000D7F67">
        <w:t>to take place</w:t>
      </w:r>
      <w:r w:rsidR="00E82346">
        <w:t xml:space="preserve"> illegally and unreported under the limited capacity of control. </w:t>
      </w:r>
      <w:r w:rsidR="009371AA">
        <w:t>T</w:t>
      </w:r>
      <w:r w:rsidR="001C0C90">
        <w:t xml:space="preserve">herefore, </w:t>
      </w:r>
      <w:r w:rsidR="00D7791A">
        <w:t xml:space="preserve">it is necessary to develop top-down mechanisms </w:t>
      </w:r>
      <w:r w:rsidR="00F3689C">
        <w:t>addressing</w:t>
      </w:r>
      <w:r w:rsidR="00D7791A">
        <w:t xml:space="preserve"> the conditions </w:t>
      </w:r>
      <w:r w:rsidR="009371AA">
        <w:t xml:space="preserve">underlying </w:t>
      </w:r>
      <w:r w:rsidR="00F3689C">
        <w:t>overquota discarding, and relax some of the sources of pressure. The ideas presented here have explored operational options to reconcile single-stock management objectives in the mixed-fisheries context.</w:t>
      </w:r>
      <w:r w:rsidR="001B36EB">
        <w:t xml:space="preserve"> These are mainly useful when </w:t>
      </w:r>
      <w:r w:rsidR="007A43D3">
        <w:t>one or</w:t>
      </w:r>
      <w:r w:rsidR="001B36EB">
        <w:t xml:space="preserve"> few</w:t>
      </w:r>
      <w:r w:rsidR="007A43D3">
        <w:t xml:space="preserve"> important commercial</w:t>
      </w:r>
      <w:r w:rsidR="001B36EB">
        <w:t xml:space="preserve"> stocks are less productive</w:t>
      </w:r>
      <w:r w:rsidR="007A43D3">
        <w:t xml:space="preserve"> and require managers to make important trade-offs between conservation and exploitation of healthier stocks. </w:t>
      </w:r>
      <w:r w:rsidR="00926549">
        <w:t xml:space="preserve">There, we suggest that applying annual sets of cohesive TACs defined within the range, potentially supplemented by limited effort and/or capacity reductions, may build a path towards progressively achieving fishing mortality objectives by improving the governance around the TACs setting. The </w:t>
      </w:r>
      <w:r w:rsidR="003A0BE2">
        <w:t>basic</w:t>
      </w:r>
      <w:r w:rsidR="00926549">
        <w:t xml:space="preserve"> idea </w:t>
      </w:r>
      <w:r w:rsidR="00B60BE4">
        <w:t xml:space="preserve">of this regional mixed-fisheries approach </w:t>
      </w:r>
      <w:r w:rsidR="00926549">
        <w:t xml:space="preserve">is to </w:t>
      </w:r>
      <w:r w:rsidR="003A0BE2">
        <w:t>limit the situations where</w:t>
      </w:r>
      <w:r w:rsidR="00926549">
        <w:t xml:space="preserve"> TAC increase </w:t>
      </w:r>
      <w:r w:rsidR="003A0BE2">
        <w:t>for</w:t>
      </w:r>
      <w:r w:rsidR="00926549">
        <w:t xml:space="preserve"> one stock and </w:t>
      </w:r>
      <w:r w:rsidR="00B60BE4">
        <w:t xml:space="preserve">TAC </w:t>
      </w:r>
      <w:r w:rsidR="00926549">
        <w:t>decrease</w:t>
      </w:r>
      <w:r w:rsidR="00B60BE4">
        <w:t xml:space="preserve"> for another stock if they are caught together. </w:t>
      </w:r>
      <w:r w:rsidR="007A43D3">
        <w:t>Such a situation has prevailed long in the North Sea because of the poor status of the cod stock, driving the development of the approach presented here. In 2016 though the situation is more balanced, with many</w:t>
      </w:r>
      <w:r w:rsidR="00483797">
        <w:t xml:space="preserve"> stocks now exploited at fishing mortality close to F</w:t>
      </w:r>
      <w:r w:rsidR="00521B61" w:rsidRPr="00521B61">
        <w:rPr>
          <w:vertAlign w:val="subscript"/>
        </w:rPr>
        <w:t>MSY</w:t>
      </w:r>
      <w:r w:rsidR="00290F6E">
        <w:t xml:space="preserve"> </w:t>
      </w:r>
      <w:r w:rsidR="00290F6E">
        <w:fldChar w:fldCharType="begin" w:fldLock="1"/>
      </w:r>
      <w:r w:rsidR="00873E7A">
        <w:instrText>ADDIN CSL_CITATION { "citationItems" : [ { "id" : "ITEM-1", "itemData" : { "DOI" : "ICES CM 2015/ACOM:13", "author" : [ { "dropping-particle" : "", "family" : "ICES", "given" : "", "non-dropping-particle" : "", "parse-names" : false, "suffix" : "" } ], "id" : "ITEM-1", "issued" : { "date-parts" : [ [ "2015" ] ] }, "number-of-pages" : "1182 pp", "publisher-place" : "Copenhagen, Denmark", "title" : "Report of the Working Group on the Assessment of Demersal Stocks in the North Sea and Skagerrak (WGNSSK), 28 April-7 May 2015", "type" : "report" }, "uris" : [ "http://www.mendeley.com/documents/?uuid=8ebb22d1-b22b-46da-8aa4-0354eefb9c66" ] } ], "mendeley" : { "formattedCitation" : "(ICES, 2015g)", "plainTextFormattedCitation" : "(ICES, 2015g)", "previouslyFormattedCitation" : "(ICES 2015g)" }, "properties" : { "noteIndex" : 0 }, "schema" : "https://github.com/citation-style-language/schema/raw/master/csl-citation.json" }</w:instrText>
      </w:r>
      <w:r w:rsidR="00290F6E">
        <w:fldChar w:fldCharType="separate"/>
      </w:r>
      <w:r w:rsidR="00873E7A" w:rsidRPr="00873E7A">
        <w:rPr>
          <w:noProof/>
        </w:rPr>
        <w:t>(ICES, 2015g)</w:t>
      </w:r>
      <w:r w:rsidR="00290F6E">
        <w:fldChar w:fldCharType="end"/>
      </w:r>
      <w:r w:rsidR="00483797">
        <w:t>, within the ranges proposed by</w:t>
      </w:r>
      <w:r w:rsidR="00290F6E">
        <w:t xml:space="preserve"> </w:t>
      </w:r>
      <w:r w:rsidR="00290F6E">
        <w:fldChar w:fldCharType="begin" w:fldLock="1"/>
      </w:r>
      <w:r w:rsidR="00873E7A">
        <w:instrText>ADDIN CSL_CITATION { "citationItems" : [ { "id" : "ITEM-1", "itemData" : { "author" : [ { "dropping-particle" : "", "family" : "ICES", "given" : "", "non-dropping-particle" : "", "parse-names" : false, "suffix" : "" } ], "chapter-number" : "6.2.3.1", "container-title" : "ICES Advice 2015, Book 6", "id" : "ITEM-1", "issued" : { "date-parts" : [ [ "2015" ] ] }, "page" : "11 pp", "title" : "EU request to ICES to provide FMSY ranges for selected North Sea and Baltic Sea stocks", "type" : "chapter" }, "uris" : [ "http://www.mendeley.com/documents/?uuid=ae0bd13c-71f1-490b-9ac5-2788508df8fb" ] } ], "mendeley" : { "formattedCitation" : "(ICES, 2015b)", "plainTextFormattedCitation" : "(ICES, 2015b)", "previouslyFormattedCitation" : "(ICES 2015b)" }, "properties" : { "noteIndex" : 0 }, "schema" : "https://github.com/citation-style-language/schema/raw/master/csl-citation.json" }</w:instrText>
      </w:r>
      <w:r w:rsidR="00290F6E">
        <w:fldChar w:fldCharType="separate"/>
      </w:r>
      <w:r w:rsidR="00873E7A" w:rsidRPr="00873E7A">
        <w:rPr>
          <w:noProof/>
        </w:rPr>
        <w:t>(ICES, 2015b)</w:t>
      </w:r>
      <w:r w:rsidR="00290F6E">
        <w:fldChar w:fldCharType="end"/>
      </w:r>
      <w:r w:rsidR="00B60BE4">
        <w:t xml:space="preserve">. </w:t>
      </w:r>
      <w:r w:rsidR="009371AA">
        <w:rPr>
          <w:rStyle w:val="Kommentarhenvisning"/>
        </w:rPr>
        <w:commentReference w:id="1"/>
      </w:r>
      <w:r w:rsidR="000553A0">
        <w:t xml:space="preserve"> </w:t>
      </w:r>
      <w:commentRangeStart w:id="2"/>
      <w:r w:rsidR="00483797">
        <w:t>We suggest that applying annual sets of cohesive TACs</w:t>
      </w:r>
      <w:r w:rsidR="00D04FD8">
        <w:t xml:space="preserve"> defined within a range</w:t>
      </w:r>
      <w:r w:rsidR="00483797">
        <w:t xml:space="preserve">, </w:t>
      </w:r>
      <w:r w:rsidR="009371AA">
        <w:t xml:space="preserve">i.e. those resulting from the Foptim forecasts </w:t>
      </w:r>
      <w:commentRangeStart w:id="3"/>
      <w:r w:rsidR="00483797">
        <w:t xml:space="preserve">potentially supplemented by limited effort </w:t>
      </w:r>
      <w:r w:rsidR="004D0CDC">
        <w:t>and/</w:t>
      </w:r>
      <w:r w:rsidR="00483797">
        <w:t>or capacity reductions</w:t>
      </w:r>
      <w:commentRangeEnd w:id="3"/>
      <w:r w:rsidR="009371AA">
        <w:rPr>
          <w:rStyle w:val="Kommentarhenvisning"/>
        </w:rPr>
        <w:commentReference w:id="3"/>
      </w:r>
      <w:r w:rsidR="004D0CDC">
        <w:t>,</w:t>
      </w:r>
      <w:r w:rsidR="00483797">
        <w:t xml:space="preserve"> may help </w:t>
      </w:r>
      <w:r w:rsidR="001C0C90">
        <w:t xml:space="preserve">in </w:t>
      </w:r>
      <w:r w:rsidR="00202D1E">
        <w:t>achieving fishing mortality objectives</w:t>
      </w:r>
      <w:r w:rsidR="001C0C90">
        <w:t>.</w:t>
      </w:r>
      <w:r w:rsidR="00483797">
        <w:t xml:space="preserve"> </w:t>
      </w:r>
      <w:r w:rsidR="001C0C90">
        <w:t>At</w:t>
      </w:r>
      <w:r w:rsidR="000553A0">
        <w:t xml:space="preserve"> the same time, </w:t>
      </w:r>
      <w:r w:rsidR="004D0CDC">
        <w:t xml:space="preserve">applying fishing mortality </w:t>
      </w:r>
      <w:r w:rsidR="00D04FD8">
        <w:t>ranges</w:t>
      </w:r>
      <w:r w:rsidR="000553A0">
        <w:t xml:space="preserve"> </w:t>
      </w:r>
      <w:r w:rsidR="004D0CDC">
        <w:t xml:space="preserve">will </w:t>
      </w:r>
      <w:r w:rsidR="000553A0">
        <w:t>provide explicit bounds</w:t>
      </w:r>
      <w:r w:rsidR="009371AA">
        <w:t xml:space="preserve"> </w:t>
      </w:r>
      <w:r w:rsidR="004D0CDC">
        <w:t>for</w:t>
      </w:r>
      <w:r w:rsidR="000553A0">
        <w:t xml:space="preserve"> political negotiat</w:t>
      </w:r>
      <w:r w:rsidR="00C52EA9">
        <w:t>ions</w:t>
      </w:r>
      <w:r w:rsidR="004D0CDC">
        <w:t>,</w:t>
      </w:r>
      <w:r w:rsidR="00C52EA9">
        <w:t xml:space="preserve"> within </w:t>
      </w:r>
      <w:r w:rsidR="004D0CDC">
        <w:t>the CFP framework</w:t>
      </w:r>
      <w:commentRangeEnd w:id="2"/>
      <w:r w:rsidR="009D6156">
        <w:rPr>
          <w:rStyle w:val="Kommentarhenvisning"/>
        </w:rPr>
        <w:commentReference w:id="2"/>
      </w:r>
      <w:r w:rsidR="00C52EA9">
        <w:t>.</w:t>
      </w:r>
      <w:r w:rsidR="004D0CDC">
        <w:t xml:space="preserve"> of sustainable fishing</w:t>
      </w:r>
      <w:r w:rsidR="00C52EA9">
        <w:t>.</w:t>
      </w:r>
    </w:p>
    <w:p w14:paraId="281A69D1" w14:textId="25FC2BBE" w:rsidR="008B5077" w:rsidRDefault="00B60BE4" w:rsidP="00DF5AFC">
      <w:r>
        <w:t>On the one hand, the ranges may provide an explicit precautionary bound for political negotiations, within the CFP framework.  On the other hand, the</w:t>
      </w:r>
      <w:r w:rsidR="00202D1E">
        <w:t xml:space="preserve"> major caveat of providing ranges </w:t>
      </w:r>
      <w:r>
        <w:t>for fishing mortality</w:t>
      </w:r>
      <w:r w:rsidR="009371AA">
        <w:t xml:space="preserve"> for</w:t>
      </w:r>
      <w:r w:rsidR="004D0CDC">
        <w:t xml:space="preserve"> the operational management target, </w:t>
      </w:r>
      <w:r w:rsidR="00202D1E">
        <w:t>is the risk that managers and stakeholders may systematically and blindly set</w:t>
      </w:r>
      <w:r w:rsidR="00A10B98">
        <w:t xml:space="preserve"> TACs at the upper </w:t>
      </w:r>
      <w:r w:rsidR="004D0CDC">
        <w:t xml:space="preserve">limit of the </w:t>
      </w:r>
      <w:r w:rsidR="00A10B98">
        <w:t>range of the</w:t>
      </w:r>
      <w:r w:rsidR="000D7F67">
        <w:t xml:space="preserve"> </w:t>
      </w:r>
      <w:r w:rsidR="00202D1E">
        <w:t>advice</w:t>
      </w:r>
      <w:r w:rsidR="00A10B98">
        <w:t xml:space="preserve"> for each stock</w:t>
      </w:r>
      <w:r w:rsidR="00202D1E">
        <w:t xml:space="preserve">. </w:t>
      </w:r>
      <w:r w:rsidRPr="00B60BE4">
        <w:t xml:space="preserve">This may occasionally satisfy short-term </w:t>
      </w:r>
      <w:r w:rsidRPr="00B60BE4">
        <w:lastRenderedPageBreak/>
        <w:t xml:space="preserve">societal goals such as maintaining employment. However, such a strategy, if maintained over longer time periods, </w:t>
      </w:r>
      <w:r w:rsidR="003A0BE2">
        <w:t>would lead</w:t>
      </w:r>
      <w:r w:rsidRPr="00B60BE4">
        <w:t xml:space="preserve"> to</w:t>
      </w:r>
      <w:r w:rsidR="008B5077">
        <w:t xml:space="preserve"> poor outcomes. It </w:t>
      </w:r>
      <w:r w:rsidR="00A10B98">
        <w:t>would maintain higher fishing pressure on all stocks, slowing</w:t>
      </w:r>
      <w:r w:rsidR="009371AA">
        <w:t>, or reversing,</w:t>
      </w:r>
      <w:r w:rsidR="00A10B98">
        <w:t xml:space="preserve"> the recovery of the least productive stocks</w:t>
      </w:r>
      <w:r w:rsidR="009371AA">
        <w:t>.</w:t>
      </w:r>
      <w:r w:rsidR="008B5077">
        <w:t>t</w:t>
      </w:r>
      <w:r w:rsidR="003A0BE2">
        <w:t>hese stocks</w:t>
      </w:r>
      <w:r w:rsidR="008B5077">
        <w:t xml:space="preserve"> limiting the </w:t>
      </w:r>
      <w:r w:rsidR="003A0BE2">
        <w:t xml:space="preserve">entire </w:t>
      </w:r>
      <w:r w:rsidR="008B5077">
        <w:t>fishery</w:t>
      </w:r>
      <w:r>
        <w:t xml:space="preserve">. Furthermore, </w:t>
      </w:r>
      <w:r w:rsidRPr="00B60BE4">
        <w:t xml:space="preserve">the </w:t>
      </w:r>
      <w:r w:rsidR="008B5077">
        <w:t xml:space="preserve">imbalance </w:t>
      </w:r>
      <w:r w:rsidRPr="00B60BE4">
        <w:t>problem</w:t>
      </w:r>
      <w:r w:rsidR="00A10B98">
        <w:t xml:space="preserve"> </w:t>
      </w:r>
      <w:r w:rsidR="004D0CDC">
        <w:t xml:space="preserve">The same </w:t>
      </w:r>
      <w:r w:rsidR="009371AA">
        <w:t>in</w:t>
      </w:r>
      <w:r w:rsidR="004D0CDC">
        <w:t>consistencies that exist with F</w:t>
      </w:r>
      <w:r w:rsidR="00521B61" w:rsidRPr="00521B61">
        <w:rPr>
          <w:vertAlign w:val="subscript"/>
        </w:rPr>
        <w:t>MSY</w:t>
      </w:r>
      <w:r w:rsidR="004D0CDC">
        <w:t xml:space="preserve"> point estimates</w:t>
      </w:r>
      <w:r w:rsidR="00DC28DB">
        <w:t xml:space="preserve"> would simply be transferred to </w:t>
      </w:r>
      <w:r w:rsidRPr="00B60BE4">
        <w:t xml:space="preserve">incompatible </w:t>
      </w:r>
      <w:r w:rsidR="008B5077">
        <w:t>TAC</w:t>
      </w:r>
      <w:r w:rsidR="003A0BE2">
        <w:t>s</w:t>
      </w:r>
      <w:r w:rsidRPr="00B60BE4">
        <w:t xml:space="preserve"> </w:t>
      </w:r>
      <w:r w:rsidR="008B5077">
        <w:t>and increased discards would</w:t>
      </w:r>
      <w:r w:rsidRPr="00B60BE4">
        <w:t xml:space="preserve"> remain, though now at lower biomass and higher fishing </w:t>
      </w:r>
      <w:r w:rsidR="00DC28DB">
        <w:t>levels</w:t>
      </w:r>
      <w:r w:rsidR="009371AA">
        <w:t>.</w:t>
      </w:r>
      <w:r w:rsidR="00A10B98">
        <w:t xml:space="preserve"> </w:t>
      </w:r>
      <w:r w:rsidR="00AE353A">
        <w:t>F</w:t>
      </w:r>
      <w:r w:rsidR="00521B61" w:rsidRPr="00521B61">
        <w:rPr>
          <w:vertAlign w:val="subscript"/>
        </w:rPr>
        <w:t>MSY</w:t>
      </w:r>
      <w:r w:rsidR="00AE353A">
        <w:t xml:space="preserve"> </w:t>
      </w:r>
      <w:r w:rsidR="00A11CA7">
        <w:t>sh</w:t>
      </w:r>
      <w:r w:rsidR="00AE353A">
        <w:t>ould</w:t>
      </w:r>
      <w:r w:rsidR="00DC28DB">
        <w:t xml:space="preserve"> </w:t>
      </w:r>
      <w:r w:rsidRPr="00B60BE4">
        <w:t>effort.</w:t>
      </w:r>
      <w:r w:rsidR="008B5077">
        <w:t xml:space="preserve"> </w:t>
      </w:r>
      <w:r w:rsidR="00AE353A">
        <w:t>F</w:t>
      </w:r>
      <w:r w:rsidR="00521B61" w:rsidRPr="00521B61">
        <w:rPr>
          <w:vertAlign w:val="subscript"/>
        </w:rPr>
        <w:t>MSY</w:t>
      </w:r>
      <w:r w:rsidR="00AE353A">
        <w:t xml:space="preserve"> </w:t>
      </w:r>
      <w:r w:rsidR="008B5077">
        <w:t>will</w:t>
      </w:r>
      <w:r w:rsidR="00DC28DB">
        <w:t xml:space="preserve"> </w:t>
      </w:r>
      <w:r w:rsidR="00AE353A">
        <w:t xml:space="preserve">remain the primary </w:t>
      </w:r>
      <w:r w:rsidR="00A11CA7">
        <w:t>reference point</w:t>
      </w:r>
      <w:r w:rsidR="008B5077">
        <w:t xml:space="preserve"> used in ICES advice (ICES 2016)</w:t>
      </w:r>
      <w:r w:rsidR="00AE353A">
        <w:t xml:space="preserve">, </w:t>
      </w:r>
      <w:r w:rsidR="003A0BE2">
        <w:t>but</w:t>
      </w:r>
      <w:r w:rsidR="00AE353A">
        <w:t xml:space="preserve"> the ranges </w:t>
      </w:r>
      <w:r w:rsidR="003A0BE2">
        <w:t>would be best used</w:t>
      </w:r>
      <w:r w:rsidR="00AE353A">
        <w:t xml:space="preserve"> </w:t>
      </w:r>
      <w:r w:rsidR="008B5077">
        <w:t xml:space="preserve">by managers </w:t>
      </w:r>
      <w:r w:rsidR="00AE353A">
        <w:t xml:space="preserve">as a flexible buffer to reduce the </w:t>
      </w:r>
      <w:r w:rsidR="008B5077">
        <w:t xml:space="preserve">worst </w:t>
      </w:r>
      <w:r w:rsidR="00AE353A">
        <w:t xml:space="preserve">short-term </w:t>
      </w:r>
      <w:r w:rsidR="008B5077">
        <w:t>imbalance</w:t>
      </w:r>
      <w:r w:rsidR="00A11CA7">
        <w:t xml:space="preserve"> effects</w:t>
      </w:r>
      <w:r w:rsidR="00AE353A">
        <w:t xml:space="preserve"> and enhance compliance and controllability.</w:t>
      </w:r>
    </w:p>
    <w:p w14:paraId="7FA050E3" w14:textId="41192102" w:rsidR="006E7F22" w:rsidRDefault="00D04FD8" w:rsidP="00DF5AFC">
      <w:r>
        <w:t xml:space="preserve">Our MSE results were in this sense more pessimistic than the outcomes of </w:t>
      </w:r>
      <w:r w:rsidR="00290F6E">
        <w:fldChar w:fldCharType="begin" w:fldLock="1"/>
      </w:r>
      <w:r w:rsidR="00873E7A">
        <w:instrText>ADDIN CSL_CITATION { "citationItems" : [ { "id" : "ITEM-1", "itemData" : { "author" : [ { "dropping-particle" : "", "family" : "ICES", "given" : "", "non-dropping-particle" : "", "parse-names" : false, "suffix" : "" } ], "chapter-number" : "6.2.3.1", "container-title" : "ICES Advice 2015, Book 6", "id" : "ITEM-1", "issued" : { "date-parts" : [ [ "2015" ] ] }, "page" : "11 pp", "title" : "EU request to ICES to provide FMSY ranges for selected North Sea and Baltic Sea stocks", "type" : "chapter" }, "uris" : [ "http://www.mendeley.com/documents/?uuid=ae0bd13c-71f1-490b-9ac5-2788508df8fb" ] } ], "mendeley" : { "formattedCitation" : "(ICES, 2015b)", "plainTextFormattedCitation" : "(ICES, 2015b)", "previouslyFormattedCitation" : "(ICES 2015b)" }, "properties" : { "noteIndex" : 0 }, "schema" : "https://github.com/citation-style-language/schema/raw/master/csl-citation.json" }</w:instrText>
      </w:r>
      <w:r w:rsidR="00290F6E">
        <w:fldChar w:fldCharType="separate"/>
      </w:r>
      <w:r w:rsidR="00873E7A" w:rsidRPr="00873E7A">
        <w:rPr>
          <w:noProof/>
        </w:rPr>
        <w:t>(ICES, 2015b)</w:t>
      </w:r>
      <w:r w:rsidR="00290F6E">
        <w:fldChar w:fldCharType="end"/>
      </w:r>
      <w:r>
        <w:t xml:space="preserve">. While </w:t>
      </w:r>
      <w:r w:rsidR="00290F6E">
        <w:fldChar w:fldCharType="begin" w:fldLock="1"/>
      </w:r>
      <w:r w:rsidR="00873E7A">
        <w:instrText>ADDIN CSL_CITATION { "citationItems" : [ { "id" : "ITEM-1", "itemData" : { "author" : [ { "dropping-particle" : "", "family" : "ICES", "given" : "", "non-dropping-particle" : "", "parse-names" : false, "suffix" : "" } ], "chapter-number" : "6.2.3.1", "container-title" : "ICES Advice 2015, Book 6", "id" : "ITEM-1", "issued" : { "date-parts" : [ [ "2015" ] ] }, "page" : "11 pp", "title" : "EU request to ICES to provide FMSY ranges for selected North Sea and Baltic Sea stocks", "type" : "chapter" }, "uris" : [ "http://www.mendeley.com/documents/?uuid=ae0bd13c-71f1-490b-9ac5-2788508df8fb" ] } ], "mendeley" : { "formattedCitation" : "(ICES, 2015b)", "plainTextFormattedCitation" : "(ICES, 2015b)", "previouslyFormattedCitation" : "(ICES 2015b)" }, "properties" : { "noteIndex" : 0 }, "schema" : "https://github.com/citation-style-language/schema/raw/master/csl-citation.json" }</w:instrText>
      </w:r>
      <w:r w:rsidR="00290F6E">
        <w:fldChar w:fldCharType="separate"/>
      </w:r>
      <w:r w:rsidR="00873E7A" w:rsidRPr="00873E7A">
        <w:rPr>
          <w:noProof/>
        </w:rPr>
        <w:t>(ICES, 2015b)</w:t>
      </w:r>
      <w:r w:rsidR="00290F6E">
        <w:fldChar w:fldCharType="end"/>
      </w:r>
      <w:r>
        <w:t xml:space="preserve"> defined MSY F</w:t>
      </w:r>
      <w:r w:rsidR="00521B61" w:rsidRPr="00521B61">
        <w:rPr>
          <w:vertAlign w:val="subscript"/>
        </w:rPr>
        <w:t>upper</w:t>
      </w:r>
      <w:r>
        <w:t xml:space="preserve"> as having a low risk to the biomass in the long-term, we obtained much higher risks in the short- and medium-term for some stocks</w:t>
      </w:r>
      <w:r w:rsidR="00E43249">
        <w:t>.</w:t>
      </w:r>
      <w:r>
        <w:t xml:space="preserve"> The scope, assumptions and incorporation of uncert</w:t>
      </w:r>
      <w:r w:rsidR="00AE353A">
        <w:t>ainty differ between FC</w:t>
      </w:r>
      <w:r>
        <w:t xml:space="preserve">ube and the EqSim model used by </w:t>
      </w:r>
      <w:r w:rsidR="00290F6E">
        <w:fldChar w:fldCharType="begin" w:fldLock="1"/>
      </w:r>
      <w:r w:rsidR="00873E7A">
        <w:instrText>ADDIN CSL_CITATION { "citationItems" : [ { "id" : "ITEM-1", "itemData" : { "DOI" : "ICES CM 2014/ACOM:64", "author" : [ { "dropping-particle" : "", "family" : "ICES", "given" : "", "non-dropping-particle" : "", "parse-names" : false, "suffix" : "" } ], "id" : "ITEM-1", "issued" : { "date-parts" : [ [ "2015" ] ] }, "number-of-pages" : "156 pp", "title" : "Report of the Joint ICES-MYFISH Workshop to consider the basis for FMSY ranges for all stocks (WKMSYREF3), 17\u201321 November 2014, Charlottenlund, Denmark.", "type" : "report" }, "uris" : [ "http://www.mendeley.com/documents/?uuid=f1b2c391-ad4a-4874-a984-e9db61ef97c9" ] } ], "mendeley" : { "formattedCitation" : "(ICES, 2015d)", "plainTextFormattedCitation" : "(ICES, 2015d)", "previouslyFormattedCitation" : "(ICES 2015d)" }, "properties" : { "noteIndex" : 0 }, "schema" : "https://github.com/citation-style-language/schema/raw/master/csl-citation.json" }</w:instrText>
      </w:r>
      <w:r w:rsidR="00290F6E">
        <w:fldChar w:fldCharType="separate"/>
      </w:r>
      <w:r w:rsidR="00873E7A" w:rsidRPr="00873E7A">
        <w:rPr>
          <w:noProof/>
        </w:rPr>
        <w:t>(ICES, 2015d)</w:t>
      </w:r>
      <w:r w:rsidR="00290F6E">
        <w:fldChar w:fldCharType="end"/>
      </w:r>
      <w:r w:rsidR="00F50C72">
        <w:t xml:space="preserve">. </w:t>
      </w:r>
      <w:r>
        <w:t xml:space="preserve">, so it is difficult to </w:t>
      </w:r>
      <w:r w:rsidR="003A0BE2">
        <w:t>ascertain</w:t>
      </w:r>
      <w:r>
        <w:t xml:space="preserve"> w</w:t>
      </w:r>
      <w:r w:rsidR="00AE353A">
        <w:t>hat is causing this difference</w:t>
      </w:r>
      <w:r w:rsidR="00E43249">
        <w:t>, and which of these models capture the most likely outcome</w:t>
      </w:r>
      <w:r w:rsidR="00AE353A">
        <w:t xml:space="preserve">. </w:t>
      </w:r>
      <w:r w:rsidR="00E43249">
        <w:t>But this highlight</w:t>
      </w:r>
      <w:r w:rsidR="005B1903">
        <w:t>s</w:t>
      </w:r>
      <w:r w:rsidR="00E43249">
        <w:t xml:space="preserve"> the need for caution </w:t>
      </w:r>
      <w:r w:rsidR="005B1903">
        <w:t>against</w:t>
      </w:r>
      <w:r w:rsidR="00E43249">
        <w:t xml:space="preserve"> the use of MSY F</w:t>
      </w:r>
      <w:r w:rsidR="00521B61" w:rsidRPr="00521B61">
        <w:rPr>
          <w:vertAlign w:val="subscript"/>
        </w:rPr>
        <w:t>upper</w:t>
      </w:r>
      <w:r w:rsidR="00E43249">
        <w:t xml:space="preserve"> as a management target, even more </w:t>
      </w:r>
      <w:r w:rsidR="005B1903">
        <w:t xml:space="preserve">so </w:t>
      </w:r>
      <w:r w:rsidR="00E43249">
        <w:t>when technical interactions occur. P</w:t>
      </w:r>
      <w:r w:rsidR="00AE353A">
        <w:t xml:space="preserve">articular attention should be paid to </w:t>
      </w:r>
      <w:r w:rsidR="005B1903">
        <w:t>mixed fisheries</w:t>
      </w:r>
      <w:r w:rsidR="00AE353A">
        <w:t xml:space="preserve"> stocks in the next years, in order to prevent undesirable increase</w:t>
      </w:r>
      <w:r w:rsidR="005B1903">
        <w:t>s</w:t>
      </w:r>
      <w:r w:rsidR="00AE353A">
        <w:t xml:space="preserve"> of fishing mortality if </w:t>
      </w:r>
      <w:r w:rsidR="00E43249">
        <w:t>productivity is below average or</w:t>
      </w:r>
      <w:r w:rsidR="00AE353A">
        <w:t xml:space="preserve"> deviate from the long</w:t>
      </w:r>
      <w:r w:rsidR="005B1903">
        <w:t xml:space="preserve"> </w:t>
      </w:r>
      <w:r w:rsidR="00AE353A">
        <w:t>term assumptions</w:t>
      </w:r>
      <w:r w:rsidR="00E43249">
        <w:t>.</w:t>
      </w:r>
      <w:r w:rsidR="00A108CA">
        <w:t xml:space="preserve"> This highlights also the uncertainties linked with any projection model, especially when complex interactions occur. There are many assumptions which may lead to quite different outcomes on what is the optimum target and how to get there</w:t>
      </w:r>
      <w:r w:rsidR="003B4ECA">
        <w:t xml:space="preserve"> </w:t>
      </w:r>
      <w:r w:rsidR="003B4ECA">
        <w:fldChar w:fldCharType="begin" w:fldLock="1"/>
      </w:r>
      <w:r w:rsidR="00873E7A">
        <w:instrText>ADDIN CSL_CITATION { "citationItems" : [ { "id" : "ITEM-1", "itemData" : { "author" : [ { "dropping-particle" : "", "family" : "Kempf", "given" : "Alexander", "non-dropping-particle" : "", "parse-names" : false, "suffix" : "" }, { "dropping-particle" : "", "family" : "Mumford", "given" : "John", "non-dropping-particle" : "", "parse-names" : false, "suffix" : "" }, { "dropping-particle" : "", "family" : "Polina", "given" : "Levontin", "non-dropping-particle" : "", "parse-names" : false, "suffix" : "" }, { "dropping-particle" : "", "family" : "Adrian", "given" : "Leach", "non-dropping-particle" : "", "parse-names" : false, "suffix" : "" }, { "dropping-particle" : "", "family" : "Ayoe", "given" : "Hoff", "non-dropping-particle" : "", "parse-names" : false, "suffix" : "" }, { "dropping-particle" : "", "family" : "Hamon", "given" : "K. G.", "non-dropping-particle" : "", "parse-names" : false, "suffix" : "" }, { "dropping-particle" : "", "family" : "Bartelings", "given" : "Heleen", "non-dropping-particle" : "", "parse-names" : false, "suffix" : "" }, { "dropping-particle" : "", "family" : "Vinther", "given" : "Morten", "non-dropping-particle" : "", "parse-names" : false, "suffix" : "" }, { "dropping-particle" : "", "family" : "Staebler", "given" : "Moritz", "non-dropping-particle" : "", "parse-names" : false, "suffix" : "" }, { "dropping-particle" : "", "family" : "Poos", "given" : "Jan Jaap", "non-dropping-particle" : "", "parse-names" : false, "suffix" : "" }, { "dropping-particle" : "", "family" : "Smout", "given" : "Sophie", "non-dropping-particle" : "", "parse-names" : false, "suffix" : "" }, { "dropping-particle" : "", "family" : "Frost", "given" : "Hans", "non-dropping-particle" : "", "parse-names" : false, "suffix" : "" }, { "dropping-particle" : "", "family" : "Burg", "given" : "Sander", "non-dropping-particle" : "van den", "parse-names" : false, "suffix" : "" }, { "dropping-particle" : "", "family" : "Ulrich", "given" : "Clara", "non-dropping-particle" : "", "parse-names" : false, "suffix" : "" }, { "dropping-particle" : "", "family" : "Rindorf", "given" : "Anna", "non-dropping-particle" : "", "parse-names" : false, "suffix" : "" } ], "container-title" : "Marine Policy", "id" : "ITEM-1", "issued" : { "date-parts" : [ [ "0" ] ] }, "title" : "The MSY concept in a multi-objective fisheries environment \u2013 lessons learned from the North Sea", "type" : "article-journal", "volume" : "submitted" }, "uris" : [ "http://www.mendeley.com/documents/?uuid=b4700855-51c6-4598-9b37-e0427364f4b4" ] }, { "id" : "ITEM-2", "itemData" : { "DOI" : "10.1139/F09-057", "ISBN" : "1205-7533", "ISSN" : "0706-652X", "abstract" : "Signatories of the 2002 World Summit on Sustainable Development declaration committed to maintain or restore fish stocks to levels that can produce the maximum sustainable yield (MSY), a goal that has been challenged on a number of grounds. The European Commission has stated an objective to manage fisheries (independently) to achieve MSY by 2015, which has catalysed the Regional Advisory Councils\u2019 (RACs) thinking on MSY and how it relates to their goal of developing long-term management plans. This study uses an ecosystem model of the North Sea to investigate questions relating to MSY in the context of mixed demersal fisheries for cod, haddock, and whiting. Results suggest that it is not possible to simultaneously achieve yields corresponding to MSYs predicted from single-species assessments and that the contradictory response of whiting is central to the trade-offs in yield and value for mixed demersal fisheries. Incompatibility between mixed-fishery and ecosystem-scale considerations exemplifies the difficult conceptual and practical challenges faced when moving toward an ecosystem approach.", "author" : [ { "dropping-particle" : "", "family" : "Mackinson", "given" : "Steven", "non-dropping-particle" : "", "parse-names" : false, "suffix" : "" }, { "dropping-particle" : "", "family" : "Deas", "given" : "Barrie", "non-dropping-particle" : "", "parse-names" : false, "suffix" : "" }, { "dropping-particle" : "", "family" : "Beveridge", "given" : "Doug", "non-dropping-particle" : "", "parse-names" : false, "suffix" : "" }, { "dropping-particle" : "", "family" : "Casey", "given" : "John", "non-dropping-particle" : "", "parse-names" : false, "suffix" : "" } ], "container-title" : "Canadian Journal of Fisheries and Aquatic Sciences", "id" : "ITEM-2", "issue" : "7", "issued" : { "date-parts" : [ [ "2009" ] ] }, "page" : "1107-1129", "title" : "Mixed-fishery or ecosystem conundrum? Multispecies considerations inform thinking on long-term management of North Sea demersal stocks", "type" : "article-journal", "volume" : "66" }, "uris" : [ "http://www.mendeley.com/documents/?uuid=8c334b87-fedc-4723-ac63-8eaf4ce7a4c2" ] } ], "mendeley" : { "formattedCitation" : "(Kempf et al., n.d.; Mackinson et al., 2009)", "plainTextFormattedCitation" : "(Kempf et al., n.d.; Mackinson et al., 2009)", "previouslyFormattedCitation" : "(Kempf et al. n.d.; Mackinson et al. 2009)" }, "properties" : { "noteIndex" : 0 }, "schema" : "https://github.com/citation-style-language/schema/raw/master/csl-citation.json" }</w:instrText>
      </w:r>
      <w:r w:rsidR="003B4ECA">
        <w:fldChar w:fldCharType="separate"/>
      </w:r>
      <w:r w:rsidR="00873E7A" w:rsidRPr="00873E7A">
        <w:rPr>
          <w:noProof/>
        </w:rPr>
        <w:t>(Kempf et al., n.d.; Mackinson et al., 2009)</w:t>
      </w:r>
      <w:r w:rsidR="003B4ECA">
        <w:fldChar w:fldCharType="end"/>
      </w:r>
      <w:r w:rsidR="00A108CA">
        <w:t xml:space="preserve">, and this problematic </w:t>
      </w:r>
      <w:r w:rsidR="003B4ECA">
        <w:t xml:space="preserve">is generic to all mixed-fisheries </w:t>
      </w:r>
      <w:r w:rsidR="003A0BE2">
        <w:t xml:space="preserve">models </w:t>
      </w:r>
      <w:r w:rsidR="003B4ECA">
        <w:t>worldwide</w:t>
      </w:r>
      <w:r w:rsidR="00A108CA">
        <w:t xml:space="preserve"> </w:t>
      </w:r>
      <w:r w:rsidR="003B4ECA">
        <w:t xml:space="preserve"> e.g. </w:t>
      </w:r>
      <w:r w:rsidR="00A108CA">
        <w:fldChar w:fldCharType="begin" w:fldLock="1"/>
      </w:r>
      <w:r w:rsidR="00873E7A">
        <w:instrText>ADDIN CSL_CITATION { "citationItems" : [ { "id" : "ITEM-1", "itemData" : { "DOI" : "10.1073/pnas.0912091107", "ISBN" : "0027-8424\\n1091-6490", "ISSN" : "0027-8424", "PMID" : "20018676", "abstract" : "Economists have long argued that a fishery that maximizes its economic potential usually will also satisfy its conservation objectives. Recently, maximum economic yield (MEY) has been identified as a primary management objective for Australian fisheries and is under consideration elsewhere. However, first attempts at estimating MEY as an actual management target for a real fishery (rather than a conceptual or theoretical exercise) have highlighted some substantial complexities generally unconsidered by fisheries economists. Here, we highlight some of the main issues encountered in our experience and their implications for estimating and transitioning to MEY. Using a bioeconomic model of an Australian fishery for which MEY is the management target, we note that unconstrained optimization may result in effort trajectories that would not be acceptable to industry or managers. Different assumptions regarding appropriate constraints result in different outcomes, each of which may be considered a valid MEY. Similarly, alternative treatments of prices and costs may result in differing estimates of MEY and their associated effort trajectories. To develop an implementable management strategy in an adaptive management framework, a set of assumptions must be agreed among scientists, economists, and industry and managers, indicating that operationalizing MEY is not simply a matter of estimating the numbers but requires strong industry commitment and involvement.", "author" : [ { "dropping-particle" : "", "family" : "Dichmont", "given" : "Catherine M.", "non-dropping-particle" : "", "parse-names" : false, "suffix" : "" }, { "dropping-particle" : "", "family" : "Pascoe", "given" : "S", "non-dropping-particle" : "", "parse-names" : false, "suffix" : "" }, { "dropping-particle" : "", "family" : "Kompas", "given" : "T", "non-dropping-particle" : "", "parse-names" : false, "suffix" : "" }, { "dropping-particle" : "", "family" : "Punt", "given" : "a E", "non-dropping-particle" : "", "parse-names" : false, "suffix" : "" }, { "dropping-particle" : "", "family" : "Deng", "given" : "R", "non-dropping-particle" : "", "parse-names" : false, "suffix" : "" } ], "container-title" : "Proceedings of the National Academy of Sciences of the United States of America", "id" : "ITEM-1", "issue" : "1", "issued" : { "date-parts" : [ [ "2010" ] ] }, "page" : "16-21", "title" : "On implementing maximum economic yield in commercial fisheries.", "type" : "article-journal", "volume" : "107" }, "uris" : [ "http://www.mendeley.com/documents/?uuid=fa267f60-6882-40bf-8651-16412c4a2b81" ] }, { "id" : "ITEM-2", "itemData" : { "DOI" : "10.1007/s10666-015-9486-y", "ISSN" : "1420-2026", "author" : [ { "dropping-particle" : "", "family" : "Gourguet", "given" : "Sophie", "non-dropping-particle" : "", "parse-names" : false, "suffix" : "" }, { "dropping-particle" : "", "family" : "Th\u00e9baud", "given" : "Olivier", "non-dropping-particle" : "", "parse-names" : false, "suffix" : "" }, { "dropping-particle" : "", "family" : "Jennings", "given" : "Sarah", "non-dropping-particle" : "", "parse-names" : false, "suffix" : "" }, { "dropping-particle" : "", "family" : "Little", "given" : "L.Richard", "non-dropping-particle" : "", "parse-names" : false, "suffix" : "" }, { "dropping-particle" : "", "family" : "Dichmont", "given" : "Catherine M.", "non-dropping-particle" : "", "parse-names" : false, "suffix" : "" }, { "dropping-particle" : "", "family" : "Pascoe", "given" : "Sean", "non-dropping-particle" : "", "parse-names" : false, "suffix" : "" }, { "dropping-particle" : "", "family" : "Deng", "given" : "RoyA.", "non-dropping-particle" : "", "parse-names" : false, "suffix" : "" }, { "dropping-particle" : "", "family" : "Doyen", "given" : "Luc", "non-dropping-particle" : "", "parse-names" : false, "suffix" : "" } ], "container-title" : "Environmental Modeling &amp; Assessment", "id" : "ITEM-2", "issued" : { "date-parts" : [ [ "2015" ] ] }, "language" : "English", "page" : "1-19", "publisher" : "Springer International Publishing", "title" : "The Cost of Co-viability in the Australian Northern Prawn Fishery", "type" : "article-journal" }, "uris" : [ "http://www.mendeley.com/documents/?uuid=4b7a1ef2-0e0d-4eb1-80c6-4ad18102316b" ] }, { "id" : "ITEM-3", "itemData" : { "DOI" : "10.1016/j.marpol.2012.12.029", "ISBN" : "0308597X", "ISSN" : "0308597X", "abstract" : "Most worldwide fish stocks are overexploited, and so exploited beyond the Maximum Sustainable Yield (MSY) and the Maximum Economic Yield (MEY). Not exploiting fisheries resources at MSY or MEY leads to the loss of production and rents from the fisheries. A large part of the EU fisheries are managed based on single species stock assessments; however, in reality, most species are caught together with other species and by different fleets. In multi-species and multi-fleet fisheries, single species assessments, and consequently MSY and MEY reference points, are often not valid, and so the catch recommendations. In this paper it is investigated the MSY and MEY estimation in multi-species and multi-fleet fisheries in comparison to single species assessments. Analyses are applied to the Bay of Biscay demersal fishery using the IAM bio-economic model. The impact of exploiting at MSY and MEY on the optimal effort allocation between fleets with different exploitation patterns and economic structures is analyzed. When accounting for the multi-species nature of the fishery, MSY landings are 0.4% to 2.7% lower than the single species simulations estimates. When accounting for the multi-fleet nature of the fishery, MSY landings are 27.2% to 30.2% higher than the single-fleet estimates. When considering the multi-fleet characteristics, MEY landings are 6.6% higher and profits are 66.5% higher than in the single-fleet simulation. Optimal effort at MEY is lower than at MSY, but when accounting for multi-fleet the optimal effort decreases for some fleets while increases for gillnetters. The results also provide an estimation of the profits at MEY (or costs of not being at MEY). Profits can be then up to 10.7 times larger than the current profits (256 million Euros compared to the current 24 million Euros). \u00a9 2013 Elsevier Ltd.", "author" : [ { "dropping-particle" : "", "family" : "Guillen", "given" : "Jordi", "non-dropping-particle" : "", "parse-names" : false, "suffix" : "" }, { "dropping-particle" : "", "family" : "Macher", "given" : "Claire", "non-dropping-particle" : "", "parse-names" : false, "suffix" : "" }, { "dropping-particle" : "", "family" : "Merz\u00e9r\u00e9aud", "given" : "Mathieu", "non-dropping-particle" : "", "parse-names" : false, "suffix" : "" }, { "dropping-particle" : "", "family" : "Bertignac", "given" : "Michel", "non-dropping-particle" : "", "parse-names" : false, "suffix" : "" }, { "dropping-particle" : "", "family" : "Fifas", "given" : "Spyros", "non-dropping-particle" : "", "parse-names" : false, "suffix" : "" }, { "dropping-particle" : "", "family" : "Guyader", "given" : "Olivier", "non-dropping-particle" : "", "parse-names" : false, "suffix" : "" } ], "container-title" : "Marine Policy", "id" : "ITEM-3", "issue" : "1", "issued" : { "date-parts" : [ [ "2013" ] ] }, "page" : "64-74", "title" : "Estimating MSY and MEY in multi-species and multi-fleet fisheries, consequences and limits: An application to the Bay of Biscay mixed fishery", "type" : "article-journal", "volume" : "40" }, "uris" : [ "http://www.mendeley.com/documents/?uuid=5c406e3e-4cd7-465e-8483-45d44deb7a1f" ] }, { "id" : "ITEM-4", "itemData" : { "DOI" : "10.1111/j.1523-1739.2011.01800.x", "ISBN" : "0888-8892", "ISSN" : "08888892", "PMID" : "22443131", "abstract" : "Although it is recognized that marine wild-capture fisheries are an important source of food for much of the world, the cost of sustainable capture fisheries to species diversity is uncertain, and it is often questioned whether industrial fisheries can be managed sustainably. We evaluated the trade-off among sustainable food production, profitability, and conservation objectives in the groundfish bottom-trawl fishery off the U.S. West Coast, where depletion (i.e., reduction in abundance) of six rockfish species (Sebastes) is of particular concern. Trade-offs are inherent in this multispecies fishery because there is limited capacity to target species individually. From population models and catch of 34 stocks of bottom fish, we calculated the relation between harvest rate, long-term yield (i.e., total weight of fish caught), profit, and depletion of each species. In our models, annual ecosystem-wide yield from all 34 stocks was maximized with an overall 5.4% harvest rate, but profit was maximized at a 2.8% harvest rate. When we reduced harvest rates to the level (2.2% harvest rate) at which no stocks collapsed (&lt;10% of unfished levels), biomass harvested was 76% of the maximum sustainable yield and profit 89% of maximum. A harvest rate under which no stocks fell below the biomass that produced maximum sustainable yield (1% harvest rate), resulted in 45% of potential yield and 67% of potential profit. Major reductions in catch in the late 1990s led to increase in the biomass of the most depleted stocks, but this rebuilding resulted in the loss of &gt;30% of total sustainable yield, whereas yield lost from stock depletion was 3% of total sustainable yield. There are clear conservation benefits to lower harvest rates, but avoiding overfishing of all stocks in a multispecies fishery carries a substantial cost in terms of lost yield and profit.", "author" : [ { "dropping-particle" : "", "family" : "Hilborn", "given" : "Ray", "non-dropping-particle" : "", "parse-names" : false, "suffix" : "" }, { "dropping-particle" : "", "family" : "Stewart", "given" : "Ian J.", "non-dropping-particle" : "", "parse-names" : false, "suffix" : "" }, { "dropping-particle" : "", "family" : "Branch", "given" : "Trevor a.", "non-dropping-particle" : "", "parse-names" : false, "suffix" : "" }, { "dropping-particle" : "", "family" : "Jensen", "given" : "Olaf P.", "non-dropping-particle" : "", "parse-names" : false, "suffix" : "" } ], "container-title" : "Conservation Biology", "id" : "ITEM-4", "issue" : "2", "issued" : { "date-parts" : [ [ "2012" ] ] }, "page" : "257-268", "title" : "Defining Trade-Offs among Conservation, Profitability, and Food Security in the California Current Bottom-Trawl Fishery", "type" : "article-journal", "volume" : "26" }, "uris" : [ "http://www.mendeley.com/documents/?uuid=b5858e3b-7a68-4485-a957-4603e550cc4a" ] }, { "id" : "ITEM-5", "itemData" : { "DOI" : "10.1016/j.ecolmodel.2009.01.007", "ISBN" : "0304-3800", "ISSN" : "03043800", "abstract" : "In order to provide reliable scientific advice and support for fisheries management, it is necessary to evaluate the biological and economic sustainability of complex fisheries, such as multi-species multi-fleet fisheries. Existing policy-screening modelling tools are not fully suitable in this purpose due to either an over-simplified description of population dynamics, or due to the lack of consideration of economic aspects. In this paper, we present a package that enables quantitative bioeconomic assessment of management scenarios. Population dynamics is described through spatially- and seasonally-explicit models. Exploitation dynamics is characterized by several fishing activities with specific spatial and seasonal features, and practiced by several kinds of vessels with specific technical characteristics. Exploitation costs and revenues are considered at several levels: the fishing trip, the fishing unit (vessel and crew), and the vessel owner. The model is generic and can be used for different types of fisheries. A database is attached to the software for the storage and updating of information for each fishery. This includes the specification of model dimensions and of the parameters describing populations and exploitation. Several model assumptions regarding either population or exploitation may be adapted to suit a specific fishery. Both policies and corresponding fishers' response may be interactively specified through JAVA\u2122 scripts. This version of ISIS-Fish allows for the calculation of biological and economic consequences of a range of policies, including conventional ones like catch and effort controls, and alternative policies such as marine protected areas. To facilitate policy-screening in a high-dimension parameter space, the software includes features, like interfaces for sensitivity analysis and simulation queues. \u00a9 2009 Elsevier B.V. All rights reserved.", "author" : [ { "dropping-particle" : "", "family" : "Pelletier", "given" : "Dominique", "non-dropping-particle" : "", "parse-names" : false, "suffix" : "" }, { "dropping-particle" : "", "family" : "Mahevas", "given" : "St\u00e9phanie", "non-dropping-particle" : "", "parse-names" : false, "suffix" : "" }, { "dropping-particle" : "", "family" : "Drouineau", "given" : "Hilaire", "non-dropping-particle" : "", "parse-names" : false, "suffix" : "" }, { "dropping-particle" : "", "family" : "Vermard", "given" : "Youen", "non-dropping-particle" : "", "parse-names" : false, "suffix" : "" }, { "dropping-particle" : "", "fam</w:instrText>
      </w:r>
      <w:r w:rsidR="00873E7A" w:rsidRPr="00873E7A">
        <w:rPr>
          <w:lang w:val="da-DK"/>
        </w:rPr>
        <w:instrText>ily" : "Thebaud", "given" : "Olivier", "non-dropping-particle" : "", "parse-names" : false, "suffix" : "" }, { "dropping-particle" : "", "family" : "Guyader", "given" : "Olivier", "non-dropping-particle" : "", "parse-names" : false, "suffix" : "" }, { "dropping-particle" : "", "family" : "Poussin", "given" : "Benjamin", "non-dropping-particle" : "", "parse-names" : false, "suffix" : "" } ], "container-title" : "Ecological Modelling", "id" : "ITEM-5", "issue" : "7", "issued" : { "date-parts" : [ [ "2009" ] ] }, "page" : "1013-1033", "title" : "Evaluation of the bioeconomic sustainability of multi-species multi-fleet fisheries under a wide range of policy options using ISIS-Fish", "type" : "article-journal", "volume" : "220" }, "uris" : [ "http://www.mendeley.com/documents/?uuid=cf65287a-b0c4-48aa-8395-60c63cdae874" ] } ], "mendeley" : { "formattedCitation" : "(Dichmont, Pascoe, Kompas, Punt, &amp; Deng, 2010; Gourguet et al., 2015; Guillen et al., 2013; Hilborn, Stewart, Branch, &amp; Jensen, 2012; Pelletier et al., 2009)", "plainTextFormattedCitation" : "(Dichmont, Pascoe, Kompas, Punt, &amp; Deng, 2010; Gourguet et al., 2015; Guillen et al., 2013; Hilborn, Stewart, Branch, &amp; Jensen, 2012; Pelletier et al., 2009)", "previouslyFormattedCitation" : "(Dichmont et al. 2010; Gourguet et al. 2015; Guillen et al. 2013; Hilborn et al. 2012; Pelletier et al. 2009)" }, "properties" : { "noteIndex" : 0 }, "schema" : "https://github.com/citation-style-language/schema/raw/master/csl-citation.json" }</w:instrText>
      </w:r>
      <w:r w:rsidR="00A108CA">
        <w:fldChar w:fldCharType="separate"/>
      </w:r>
      <w:r w:rsidR="00873E7A" w:rsidRPr="00873E7A">
        <w:rPr>
          <w:noProof/>
          <w:lang w:val="da-DK"/>
        </w:rPr>
        <w:t>(Dichmont, Pascoe, Kompas, Punt, &amp; Deng, 2010; Gourguet et al., 2015; Guillen et al., 2013; Hilborn, Stewart, Branch, &amp; Jensen, 2012; Pelletier et al., 2009)</w:t>
      </w:r>
      <w:r w:rsidR="00A108CA">
        <w:fldChar w:fldCharType="end"/>
      </w:r>
      <w:r w:rsidR="00A108CA" w:rsidRPr="007172AC">
        <w:rPr>
          <w:lang w:val="da-DK"/>
        </w:rPr>
        <w:t xml:space="preserve">. </w:t>
      </w:r>
      <w:r w:rsidR="003F3706">
        <w:t>A</w:t>
      </w:r>
      <w:r w:rsidR="003A0BE2">
        <w:t xml:space="preserve">bove all, the likely future changes in </w:t>
      </w:r>
      <w:r w:rsidR="00A97E97">
        <w:t xml:space="preserve">fishers </w:t>
      </w:r>
      <w:r w:rsidR="003A0BE2">
        <w:t>behaviour and fishing patterns will always remain</w:t>
      </w:r>
      <w:r w:rsidR="00A97E97">
        <w:t xml:space="preserve"> the largest unknown </w:t>
      </w:r>
      <w:r w:rsidR="00A97E97">
        <w:fldChar w:fldCharType="begin" w:fldLock="1"/>
      </w:r>
      <w:r w:rsidR="00873E7A">
        <w:instrText>ADDIN CSL_CITATION { "citationItems" : [ { "id" : "ITEM-1", "itemData" : { "DOI" : "10.1111/j.1467-2979.2010.00371.x", "ISBN" : "1467-2960", "ISSN" : "14672960", "abstract" : "There is broad consensus that the main problem facing fisheries globally is too many boats chasing too few fish. Unfortunately it is also possible to argue that there are too many proposed solutions and not enough practical answers to improving fisheries management. There is a deepening divide between those who propose alternative regulatory controls on fishers, including establishing large areas permanently closed to fishing, and those who argue for better alignment of incentives combined with broad participation of resource users in fishery management decisions (in simple terms, between top down and bottom up systems of governance). However despite the choice of policy instruments used, a consistent outcome is that resource users behave in a manner that is often unintended by the designers of the management system. Hence whilst uncertainty is broadly recognized as a pervasive feature of fisheries management, to date most of the attention has focussed on only part of that uncertainty \u2013 scientific uncertainty about the status of exploited resources. The effect of uncertainty generated on the human side of fisheries science and management has received much less attention. However, the uncertainty generated by unexpected resource user behaviour is critical as it has unplanned consequences and leads to unintended management outcomes. Using empirical evidence of unexpected resource user behaviour and reviewing current responses to unexpected management outcomes, we identify different approaches that both improve prediction of human behaviour in fisheries systems and identify management measures that are more robust to these sources of uncertainty. However, unless the micro scale drivers of human behaviour that contribute to macro scale implementation uncertainty are communicated effectively to managers and considered more regularly and in greater depth, unanticipated responses to management actions will continue to undermine management systems and threaten the sustainability of fisheries.", "author" : [ { "dropping-particle" : "", "family" : "Fulton", "given" : "Elizabeth a.", "non-dropping-particle" : "", "parse-names" : false, "suffix" : "" }, { "dropping-particle" : "", "family" : "Smith", "given" : "Anthony D M", "non-dropping-particle" : "", "parse-names" : false, "suffix" : "" }, { "dropping-particle" : "", "family" : "Smith", "given" : "David C.", "non-dropping-particle" : "", "parse-names" : false, "suffix" : "" }, { "dropping-particle" : "", "family" : "Putten", "given" : "Ingrid E.", "non-dropping-particle" : "Van", "parse-names" : false, "suffix" : "" } ], "container-title" : "Fish and Fisheries", "id" : "ITEM-1", "issue" : "1", "issued" : { "date-parts" : [ [ "2011" ] ] }, "page" : "2-17", "title" : "Human behaviour: The key source of uncertainty in fisheries management", "type" : "article-journal", "volume" : "12" }, "uris" : [ "http://www.mendeley.com/documents/?uuid=570b78ce-891a-402b-935d-d1fc08c2d29a" ] } ], "mendeley" : { "formattedCitation" : "(Fulton, Smith, Smith, &amp; Van Putten, 2011)", "plainTextFormattedCitation" : "(Fulton, Smith, Smith, &amp; Van Putten, 2011)", "previouslyFormattedCitation" : "(Fulton et al. 2011)" }, "properties" : { "noteIndex" : 0 }, "schema" : "https://github.com/citation-style-language/schema/raw/master/csl-citation.json" }</w:instrText>
      </w:r>
      <w:r w:rsidR="00A97E97">
        <w:fldChar w:fldCharType="separate"/>
      </w:r>
      <w:r w:rsidR="00873E7A" w:rsidRPr="00873E7A">
        <w:rPr>
          <w:noProof/>
        </w:rPr>
        <w:t>(Fulton, Smith, Smith, &amp; Van Putten, 2011)</w:t>
      </w:r>
      <w:r w:rsidR="00A97E97">
        <w:fldChar w:fldCharType="end"/>
      </w:r>
      <w:r w:rsidR="00A97E97">
        <w:t>.</w:t>
      </w:r>
      <w:r w:rsidR="003A0BE2">
        <w:t xml:space="preserve"> </w:t>
      </w:r>
    </w:p>
    <w:p w14:paraId="138423A0" w14:textId="4D692561" w:rsidR="00646D26" w:rsidRPr="009163B0" w:rsidRDefault="003B4ECA" w:rsidP="003F0E60">
      <w:r>
        <w:t xml:space="preserve">Ultimately, </w:t>
      </w:r>
      <w:r w:rsidR="003A0BE2">
        <w:t>this  calls for that avoiding</w:t>
      </w:r>
      <w:r w:rsidRPr="003B4ECA">
        <w:t xml:space="preserve"> risks (“staying away from where we do not want to be”) </w:t>
      </w:r>
      <w:r>
        <w:t>should be prioritised</w:t>
      </w:r>
      <w:r w:rsidRPr="003B4ECA">
        <w:t xml:space="preserve"> to achiev</w:t>
      </w:r>
      <w:r w:rsidR="003A0BE2">
        <w:t>ing</w:t>
      </w:r>
      <w:r w:rsidRPr="003B4ECA">
        <w:t xml:space="preserve"> a given optimum (“being where it is exactly best”)</w:t>
      </w:r>
      <w:r>
        <w:t xml:space="preserve"> </w:t>
      </w:r>
      <w:r>
        <w:fldChar w:fldCharType="begin" w:fldLock="1"/>
      </w:r>
      <w:r w:rsidR="00873E7A">
        <w:instrText>ADDIN CSL_CITATION { "citationItems" : [ { "id" : "ITEM-1", "itemData" : { "author" : [ { "dropping-particle" : "", "family" : "Degnbol", "given" : "Paul", "non-dropping-particle" : "", "parse-names" : false, "suffix" : "" } ], "container-title" : "ICES/MYFISH symposium on targets and limits for long-term fisheries management", "id" : "ITEM-1", "issued" : { "date-parts" : [ [ "2015" ] ] }, "publisher-place" : "Athens", "title" : "Linking targets and limits to practical fisheries management", "type" : "paper-conference" }, "uris" : [ "http://www.mendeley.com/documents/?uuid=c964d823-b565-41c6-acbc-f363b85f9b94" ] }, { "id" : "ITEM-2", "itemData" : { "DOI" : "10.1139/cjfas-2015-0062", "ISSN" : "0706-652X", "abstract" : "Despite the many scientific and public discussions on the sustainability of fisheries, there are still great differences in both perception and definition of the concept. Most authors now suggest that sustainability is best defined as the ability to sustain goods and services to human society, with social and economic factors to be considered along with environmental impacts. The result has been that each group (scientists, economists, non-governmental organizations (NGOs), etc.) defines \u201csustainable seafood\u201d using whatever criteria it considers most important, and the same fish product may be deemed sustainable by one group and totally unsustainable by another one. We contend, however, that there is now extensive evidence that an ecological focus alone does not guarantee long-term sustainability of any form and that seafood sustainability must consistently take on a socio-ecological perspective if it is to be effective across cultures and in the future. The sustainability of seafood production depends no...", "author" : [ { "dropping-particle" : "", "family" : "Hilborn", "given" : "Ray", "non-dropping-particle" : "", "parse-names" : false, "suffix" : "" }, { "dropping-particle" : "", "family" : "Fulton", "given" : "Elizabeth A.", "non-dropping-particle" : "", "parse-names" : false, "suffix" : "" }, { "dropping-particle" : "", "family" : "Green", "given" : "Bridget S.", "non-dropping-particle" : "", "parse-names" : false, "suffix" : "" }, { "dropping-particle" : "", "family" : "Hartmann", "given" : "Klaas", "non-dropping-particle" : "", "parse-names" : false, "suffix" : "" }, { "dropping-particle" : "", "family" : "Tracey", "given" : "Sean R.", "non-dropping-particle" : "", "parse-names" : false, "suffix" : "" }, { "dropping-particle" : "", "family" : "Watson", "given" : "Reg A.", "non-dropping-particle" : "", "parse-names" : false, "suffix" : "" } ], "container-title" : "Canadian Journal of Fisheries and Aquatic Sciences", "id" : "ITEM-2", "issue" : "9", "issued" : { "date-parts" : [ [ "2015", "9", "7" ] ] }, "language" : "en", "page" : "1433-1441", "publisher" : "NRC Research Press", "title" : "When is a fishery sustainable?", "type" : "article-journal", "volume" : "72" }, "uris" : [ "http://www.mendeley.com/documents/?uuid=f5932b28-4db0-4214-9418-c71f9ea7a1d4" ] } ], "mendeley" : { "formattedCitation" : "(Degnbol, 2015; Hilborn et al., 2015)", "plainTextFormattedCitation" : "(Degnbol, 2015; Hilborn et al., 2015)", "previouslyFormattedCitation" : "(Degnbol 2015; Hilborn et al. 2015)" }, "properties" : { "noteIndex" : 0 }, "schema" : "https://github.com/citation-style-language/schema/raw/master/csl-citation.json" }</w:instrText>
      </w:r>
      <w:r>
        <w:fldChar w:fldCharType="separate"/>
      </w:r>
      <w:r w:rsidR="00873E7A" w:rsidRPr="00873E7A">
        <w:rPr>
          <w:noProof/>
        </w:rPr>
        <w:t>(Degnbol, 2015; Hilborn et al., 2015)</w:t>
      </w:r>
      <w:r>
        <w:fldChar w:fldCharType="end"/>
      </w:r>
      <w:r>
        <w:t xml:space="preserve">. </w:t>
      </w:r>
    </w:p>
    <w:p w14:paraId="101C9A44" w14:textId="0253F558" w:rsidR="00AE353A" w:rsidRDefault="00723DAF" w:rsidP="00723DAF">
      <w:pPr>
        <w:pStyle w:val="Overskrift1"/>
      </w:pPr>
      <w:r>
        <w:lastRenderedPageBreak/>
        <w:t>Acknowledgments</w:t>
      </w:r>
    </w:p>
    <w:p w14:paraId="6D429356" w14:textId="60087D7F" w:rsidR="00723DAF" w:rsidRPr="00723DAF" w:rsidRDefault="00723DAF" w:rsidP="00723DAF">
      <w:r>
        <w:t>This work is the result of scientific and policy developments channelled over multiple forums</w:t>
      </w:r>
      <w:r w:rsidRPr="00723DAF">
        <w:t xml:space="preserve"> </w:t>
      </w:r>
      <w:r>
        <w:t xml:space="preserve">for the different authors. This includes various ICES and STECF Working Groups as well as research projects, including fundings from </w:t>
      </w:r>
      <w:r w:rsidRPr="00723DAF">
        <w:t>the European Community’s Seventh Framework Programme (FP7/2007–2013) under grant agreement</w:t>
      </w:r>
      <w:r w:rsidR="003F3706">
        <w:t>s</w:t>
      </w:r>
      <w:r w:rsidRPr="00723DAF">
        <w:t xml:space="preserve"> MYFISH number 289257</w:t>
      </w:r>
      <w:r w:rsidR="003F3706">
        <w:t xml:space="preserve"> and SOCIOEC number </w:t>
      </w:r>
      <w:r w:rsidR="003F3706" w:rsidRPr="003F3706">
        <w:t>289192</w:t>
      </w:r>
      <w:r w:rsidR="003F3706">
        <w:t xml:space="preserve">, as well as </w:t>
      </w:r>
      <w:r>
        <w:t xml:space="preserve">Horizon 2020 Programme </w:t>
      </w:r>
      <w:r w:rsidRPr="00723DAF">
        <w:t xml:space="preserve">under grant agreement </w:t>
      </w:r>
      <w:r>
        <w:t>DiscardLess</w:t>
      </w:r>
      <w:r w:rsidRPr="00723DAF">
        <w:t xml:space="preserve"> number </w:t>
      </w:r>
      <w:r>
        <w:t>633680. This support is gratefully acknowledged.</w:t>
      </w:r>
    </w:p>
    <w:p w14:paraId="50CBEBB3" w14:textId="60A6A926" w:rsidR="00C52EA9" w:rsidRDefault="00064D40" w:rsidP="00064D40">
      <w:pPr>
        <w:pStyle w:val="Overskrift1"/>
      </w:pPr>
      <w:r>
        <w:t>References</w:t>
      </w:r>
    </w:p>
    <w:p w14:paraId="7A33E054" w14:textId="14F381F6" w:rsidR="00873E7A" w:rsidRPr="00873E7A" w:rsidRDefault="00064D40" w:rsidP="00873E7A">
      <w:pPr>
        <w:widowControl w:val="0"/>
        <w:autoSpaceDE w:val="0"/>
        <w:autoSpaceDN w:val="0"/>
        <w:adjustRightInd w:val="0"/>
        <w:ind w:left="480" w:hanging="480"/>
        <w:rPr>
          <w:noProof/>
          <w:szCs w:val="24"/>
        </w:rPr>
      </w:pPr>
      <w:r>
        <w:fldChar w:fldCharType="begin" w:fldLock="1"/>
      </w:r>
      <w:r w:rsidRPr="00F50C72">
        <w:rPr>
          <w:lang w:val="nl-NL"/>
        </w:rPr>
        <w:instrText xml:space="preserve">ADDIN Mendeley Bibliography CSL_BIBLIOGRAPHY </w:instrText>
      </w:r>
      <w:r>
        <w:fldChar w:fldCharType="separate"/>
      </w:r>
      <w:r w:rsidR="00873E7A" w:rsidRPr="00873E7A">
        <w:rPr>
          <w:noProof/>
          <w:szCs w:val="24"/>
        </w:rPr>
        <w:t xml:space="preserve">Bannister, R. C. A. (2004). The Rise and Fall of Cod (Gadus morhua, L.) in the North Sea. In A. I. L. Payne, C. M. O’Brien, &amp; S. I. Rogers (Eds.), </w:t>
      </w:r>
      <w:r w:rsidR="00873E7A" w:rsidRPr="00873E7A">
        <w:rPr>
          <w:i/>
          <w:iCs/>
          <w:noProof/>
          <w:szCs w:val="24"/>
        </w:rPr>
        <w:t>Management of Shared Fish Stocks</w:t>
      </w:r>
      <w:r w:rsidR="00873E7A" w:rsidRPr="00873E7A">
        <w:rPr>
          <w:noProof/>
          <w:szCs w:val="24"/>
        </w:rPr>
        <w:t xml:space="preserve"> (pp. 316–338). Oxford, UK: Blackwell Publishing Ltd. http://doi.org/10.1002/9780470999936.ch19</w:t>
      </w:r>
    </w:p>
    <w:p w14:paraId="3331F30C"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Batsleer, J., Hamon, K. G., Overzee, H. M. J. van, Rijnsdorp, A. D., &amp; Poos, J. J. (2015). High-grading and over-quota discarding in mixed fisheries. </w:t>
      </w:r>
      <w:r w:rsidRPr="00873E7A">
        <w:rPr>
          <w:i/>
          <w:iCs/>
          <w:noProof/>
          <w:szCs w:val="24"/>
        </w:rPr>
        <w:t>Rev Fish Biol Fisheries</w:t>
      </w:r>
      <w:r w:rsidRPr="00873E7A">
        <w:rPr>
          <w:noProof/>
          <w:szCs w:val="24"/>
        </w:rPr>
        <w:t xml:space="preserve">, </w:t>
      </w:r>
      <w:r w:rsidRPr="00873E7A">
        <w:rPr>
          <w:i/>
          <w:iCs/>
          <w:noProof/>
          <w:szCs w:val="24"/>
        </w:rPr>
        <w:t>25</w:t>
      </w:r>
      <w:r w:rsidRPr="00873E7A">
        <w:rPr>
          <w:noProof/>
          <w:szCs w:val="24"/>
        </w:rPr>
        <w:t>, 15–736. http://doi.org/10.1007/s11160-015-9403-0</w:t>
      </w:r>
    </w:p>
    <w:p w14:paraId="1E45E8DB"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Borges, L. (2013). The evolution of a discard policy in Europe. </w:t>
      </w:r>
      <w:r w:rsidRPr="00873E7A">
        <w:rPr>
          <w:i/>
          <w:iCs/>
          <w:noProof/>
          <w:szCs w:val="24"/>
        </w:rPr>
        <w:t>Fish and Fisheries</w:t>
      </w:r>
      <w:r w:rsidRPr="00873E7A">
        <w:rPr>
          <w:noProof/>
          <w:szCs w:val="24"/>
        </w:rPr>
        <w:t>, 1–7. http://doi.org/10.1111/faf.12062</w:t>
      </w:r>
    </w:p>
    <w:p w14:paraId="7B02D6B2"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Butterworth, D. S., &amp; Punt,  a. E. (1999). Experiences in the evaluation and implementation of management procedures. </w:t>
      </w:r>
      <w:r w:rsidRPr="00873E7A">
        <w:rPr>
          <w:i/>
          <w:iCs/>
          <w:noProof/>
          <w:szCs w:val="24"/>
        </w:rPr>
        <w:t>ICES Journal of Marine Science</w:t>
      </w:r>
      <w:r w:rsidRPr="00873E7A">
        <w:rPr>
          <w:noProof/>
          <w:szCs w:val="24"/>
        </w:rPr>
        <w:t xml:space="preserve">, </w:t>
      </w:r>
      <w:r w:rsidRPr="00873E7A">
        <w:rPr>
          <w:i/>
          <w:iCs/>
          <w:noProof/>
          <w:szCs w:val="24"/>
        </w:rPr>
        <w:t>56</w:t>
      </w:r>
      <w:r w:rsidRPr="00873E7A">
        <w:rPr>
          <w:noProof/>
          <w:szCs w:val="24"/>
        </w:rPr>
        <w:t>, 985–998. http://doi.org/10.1006/jmsc.1999.0532</w:t>
      </w:r>
    </w:p>
    <w:p w14:paraId="36F37342"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Condie, H. M., Grant, A., &amp; Catchpole, T. L. (2014). Incentivising selective fishing under a policy to ban discards; lessons from European and global fisheries. </w:t>
      </w:r>
      <w:r w:rsidRPr="00873E7A">
        <w:rPr>
          <w:i/>
          <w:iCs/>
          <w:noProof/>
          <w:szCs w:val="24"/>
        </w:rPr>
        <w:t>Marine Policy</w:t>
      </w:r>
      <w:r w:rsidRPr="00873E7A">
        <w:rPr>
          <w:noProof/>
          <w:szCs w:val="24"/>
        </w:rPr>
        <w:t xml:space="preserve">, </w:t>
      </w:r>
      <w:r w:rsidRPr="00873E7A">
        <w:rPr>
          <w:i/>
          <w:iCs/>
          <w:noProof/>
          <w:szCs w:val="24"/>
        </w:rPr>
        <w:t>45</w:t>
      </w:r>
      <w:r w:rsidRPr="00873E7A">
        <w:rPr>
          <w:noProof/>
          <w:szCs w:val="24"/>
        </w:rPr>
        <w:t>, 287–292. http://doi.org/10.1016/j.marpol.2013.09.001</w:t>
      </w:r>
    </w:p>
    <w:p w14:paraId="349989E9"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Daan, N. (1997). TAC management in North Sea flatfish fisheries. </w:t>
      </w:r>
      <w:r w:rsidRPr="00873E7A">
        <w:rPr>
          <w:i/>
          <w:iCs/>
          <w:noProof/>
          <w:szCs w:val="24"/>
        </w:rPr>
        <w:t>Journal of Sea Research</w:t>
      </w:r>
      <w:r w:rsidRPr="00873E7A">
        <w:rPr>
          <w:noProof/>
          <w:szCs w:val="24"/>
        </w:rPr>
        <w:t xml:space="preserve">, </w:t>
      </w:r>
      <w:r w:rsidRPr="00873E7A">
        <w:rPr>
          <w:i/>
          <w:iCs/>
          <w:noProof/>
          <w:szCs w:val="24"/>
        </w:rPr>
        <w:t>37</w:t>
      </w:r>
      <w:r w:rsidRPr="00873E7A">
        <w:rPr>
          <w:noProof/>
          <w:szCs w:val="24"/>
        </w:rPr>
        <w:t>, 321–341. http://doi.org/10.1016/S1385-1101(97)00026-9</w:t>
      </w:r>
    </w:p>
    <w:p w14:paraId="014C8ECF"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de Vos, B. I., Döring, R., Aranda, M., Buisman, F. C., Frangoudes, K., Goti, L., … Vasilakopoulos, P. </w:t>
      </w:r>
      <w:r w:rsidRPr="00873E7A">
        <w:rPr>
          <w:noProof/>
          <w:szCs w:val="24"/>
        </w:rPr>
        <w:lastRenderedPageBreak/>
        <w:t xml:space="preserve">(2016). New modes of fisheries governance: Implementation of the landing obligation in four European countries. </w:t>
      </w:r>
      <w:r w:rsidRPr="00873E7A">
        <w:rPr>
          <w:i/>
          <w:iCs/>
          <w:noProof/>
          <w:szCs w:val="24"/>
        </w:rPr>
        <w:t>Marine Policy</w:t>
      </w:r>
      <w:r w:rsidRPr="00873E7A">
        <w:rPr>
          <w:noProof/>
          <w:szCs w:val="24"/>
        </w:rPr>
        <w:t xml:space="preserve">, </w:t>
      </w:r>
      <w:r w:rsidRPr="00873E7A">
        <w:rPr>
          <w:i/>
          <w:iCs/>
          <w:noProof/>
          <w:szCs w:val="24"/>
        </w:rPr>
        <w:t>64</w:t>
      </w:r>
      <w:r w:rsidRPr="00873E7A">
        <w:rPr>
          <w:noProof/>
          <w:szCs w:val="24"/>
        </w:rPr>
        <w:t>, 1–8. http://doi.org/10.1016/j.marpol.2015.11.005</w:t>
      </w:r>
    </w:p>
    <w:p w14:paraId="710F4289"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Degnbol, P. (2015). Linking targets and limits to practical fisheries management. In </w:t>
      </w:r>
      <w:r w:rsidRPr="00873E7A">
        <w:rPr>
          <w:i/>
          <w:iCs/>
          <w:noProof/>
          <w:szCs w:val="24"/>
        </w:rPr>
        <w:t>ICES/MYFISH symposium on targets and limits for long-term fisheries management</w:t>
      </w:r>
      <w:r w:rsidRPr="00873E7A">
        <w:rPr>
          <w:noProof/>
          <w:szCs w:val="24"/>
        </w:rPr>
        <w:t>. Athens. Retrieved from http://myfishproject.eu/images/MYFISH/symposium/Talks/PoulDegnbol.pdf</w:t>
      </w:r>
    </w:p>
    <w:p w14:paraId="71786978"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Dichmont, C. M., Pascoe, S., Kompas, T., Punt,  a E., &amp; Deng, R. (2010). On implementing maximum economic yield in commercial fisheries. </w:t>
      </w:r>
      <w:r w:rsidRPr="00873E7A">
        <w:rPr>
          <w:i/>
          <w:iCs/>
          <w:noProof/>
          <w:szCs w:val="24"/>
        </w:rPr>
        <w:t>Proceedings of the National Academy of Sciences of the United States of America</w:t>
      </w:r>
      <w:r w:rsidRPr="00873E7A">
        <w:rPr>
          <w:noProof/>
          <w:szCs w:val="24"/>
        </w:rPr>
        <w:t xml:space="preserve">, </w:t>
      </w:r>
      <w:r w:rsidRPr="00873E7A">
        <w:rPr>
          <w:i/>
          <w:iCs/>
          <w:noProof/>
          <w:szCs w:val="24"/>
        </w:rPr>
        <w:t>107</w:t>
      </w:r>
      <w:r w:rsidRPr="00873E7A">
        <w:rPr>
          <w:noProof/>
          <w:szCs w:val="24"/>
        </w:rPr>
        <w:t>(1), 16–21. http://doi.org/10.1073/pnas.0912091107</w:t>
      </w:r>
    </w:p>
    <w:p w14:paraId="337314F5"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EU. (2013). REGULATION (EU) No 1380/2013 OF THE EUROPEAN PARLIAMENT AND OF THE COUNCIL of 11 December 2013, on the Common Fisheries Policy, amending Council Regulations (EC) No 1954/2003 and (EC) No 1224/2009 and repealing Council Regulations (EC) No 2371/2002 and (E. </w:t>
      </w:r>
      <w:r w:rsidRPr="00873E7A">
        <w:rPr>
          <w:i/>
          <w:iCs/>
          <w:noProof/>
          <w:szCs w:val="24"/>
        </w:rPr>
        <w:t>Official Journal of the European Union</w:t>
      </w:r>
      <w:r w:rsidRPr="00873E7A">
        <w:rPr>
          <w:noProof/>
          <w:szCs w:val="24"/>
        </w:rPr>
        <w:t xml:space="preserve">, </w:t>
      </w:r>
      <w:r w:rsidRPr="00873E7A">
        <w:rPr>
          <w:i/>
          <w:iCs/>
          <w:noProof/>
          <w:szCs w:val="24"/>
        </w:rPr>
        <w:t>L354</w:t>
      </w:r>
      <w:r w:rsidRPr="00873E7A">
        <w:rPr>
          <w:noProof/>
          <w:szCs w:val="24"/>
        </w:rPr>
        <w:t>(28.12.2013), 22–61.</w:t>
      </w:r>
    </w:p>
    <w:p w14:paraId="60F7D84A"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EU. (2014). </w:t>
      </w:r>
      <w:r w:rsidRPr="00873E7A">
        <w:rPr>
          <w:i/>
          <w:iCs/>
          <w:noProof/>
          <w:szCs w:val="24"/>
        </w:rPr>
        <w:t>Task Force on multiannual plans. Final report April 2014</w:t>
      </w:r>
      <w:r w:rsidRPr="00873E7A">
        <w:rPr>
          <w:noProof/>
          <w:szCs w:val="24"/>
        </w:rPr>
        <w:t>. Retrieved from http://www.europarl.europa.eu/meetdocs/2009_2014/documents/pech/dv/taskfor/taskforce.pdf</w:t>
      </w:r>
    </w:p>
    <w:p w14:paraId="1F316E32"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Fulton, E. a., Smith, A. D. M., Smith, D. C., &amp; Van Putten, I. E. (2011). Human behaviour: The key source of uncertainty in fisheries management. </w:t>
      </w:r>
      <w:r w:rsidRPr="00873E7A">
        <w:rPr>
          <w:i/>
          <w:iCs/>
          <w:noProof/>
          <w:szCs w:val="24"/>
        </w:rPr>
        <w:t>Fish and Fisheries</w:t>
      </w:r>
      <w:r w:rsidRPr="00873E7A">
        <w:rPr>
          <w:noProof/>
          <w:szCs w:val="24"/>
        </w:rPr>
        <w:t xml:space="preserve">, </w:t>
      </w:r>
      <w:r w:rsidRPr="00873E7A">
        <w:rPr>
          <w:i/>
          <w:iCs/>
          <w:noProof/>
          <w:szCs w:val="24"/>
        </w:rPr>
        <w:t>12</w:t>
      </w:r>
      <w:r w:rsidRPr="00873E7A">
        <w:rPr>
          <w:noProof/>
          <w:szCs w:val="24"/>
        </w:rPr>
        <w:t>(1), 2–17. http://doi.org/10.1111/j.1467-2979.2010.00371.x</w:t>
      </w:r>
    </w:p>
    <w:p w14:paraId="465D2970"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Gillis, D. M., Pikitch, E. K., &amp; Peterman, R. M. (1995). Dynamic discarding decisions : foraging theory for high-grading in a trawl fishery. </w:t>
      </w:r>
      <w:r w:rsidRPr="00873E7A">
        <w:rPr>
          <w:i/>
          <w:iCs/>
          <w:noProof/>
          <w:szCs w:val="24"/>
        </w:rPr>
        <w:t>Behavioral Ecology</w:t>
      </w:r>
      <w:r w:rsidRPr="00873E7A">
        <w:rPr>
          <w:noProof/>
          <w:szCs w:val="24"/>
        </w:rPr>
        <w:t xml:space="preserve">, </w:t>
      </w:r>
      <w:r w:rsidRPr="00873E7A">
        <w:rPr>
          <w:i/>
          <w:iCs/>
          <w:noProof/>
          <w:szCs w:val="24"/>
        </w:rPr>
        <w:t>6</w:t>
      </w:r>
      <w:r w:rsidRPr="00873E7A">
        <w:rPr>
          <w:noProof/>
          <w:szCs w:val="24"/>
        </w:rPr>
        <w:t>, 146–154. http://doi.org/10.1093/beheco/6.2.146</w:t>
      </w:r>
    </w:p>
    <w:p w14:paraId="7F0B8D25"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Gourguet, S., Thébaud, O., Jennings, S., Little, L. R., Dichmont, C. M., Pascoe, S., … Doyen, L. (2015). The Cost of Co-viability in the Australian Northern Prawn Fishery. </w:t>
      </w:r>
      <w:r w:rsidRPr="00873E7A">
        <w:rPr>
          <w:i/>
          <w:iCs/>
          <w:noProof/>
          <w:szCs w:val="24"/>
        </w:rPr>
        <w:t>Environmental Modeling &amp; Assessment</w:t>
      </w:r>
      <w:r w:rsidRPr="00873E7A">
        <w:rPr>
          <w:noProof/>
          <w:szCs w:val="24"/>
        </w:rPr>
        <w:t>, 1–19. http://doi.org/10.1007/s10666-015-9486-y</w:t>
      </w:r>
    </w:p>
    <w:p w14:paraId="7932AE03"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Guillen, J., Macher, C., Merzéréaud, M., Bertignac, M., Fifas, S., &amp; Guyader, O. (2013). Estimating MSY </w:t>
      </w:r>
      <w:r w:rsidRPr="00873E7A">
        <w:rPr>
          <w:noProof/>
          <w:szCs w:val="24"/>
        </w:rPr>
        <w:lastRenderedPageBreak/>
        <w:t xml:space="preserve">and MEY in multi-species and multi-fleet fisheries, consequences and limits: An application to the Bay of Biscay mixed fishery. </w:t>
      </w:r>
      <w:r w:rsidRPr="00873E7A">
        <w:rPr>
          <w:i/>
          <w:iCs/>
          <w:noProof/>
          <w:szCs w:val="24"/>
        </w:rPr>
        <w:t>Marine Policy</w:t>
      </w:r>
      <w:r w:rsidRPr="00873E7A">
        <w:rPr>
          <w:noProof/>
          <w:szCs w:val="24"/>
        </w:rPr>
        <w:t xml:space="preserve">, </w:t>
      </w:r>
      <w:r w:rsidRPr="00873E7A">
        <w:rPr>
          <w:i/>
          <w:iCs/>
          <w:noProof/>
          <w:szCs w:val="24"/>
        </w:rPr>
        <w:t>40</w:t>
      </w:r>
      <w:r w:rsidRPr="00873E7A">
        <w:rPr>
          <w:noProof/>
          <w:szCs w:val="24"/>
        </w:rPr>
        <w:t>(1), 64–74. http://doi.org/10.1016/j.marpol.2012.12.029</w:t>
      </w:r>
    </w:p>
    <w:p w14:paraId="284AA6BF"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Hilborn, R. (2010). Pretty Good Yield and exploited fishes. </w:t>
      </w:r>
      <w:r w:rsidRPr="00873E7A">
        <w:rPr>
          <w:i/>
          <w:iCs/>
          <w:noProof/>
          <w:szCs w:val="24"/>
        </w:rPr>
        <w:t>Marine Policy</w:t>
      </w:r>
      <w:r w:rsidRPr="00873E7A">
        <w:rPr>
          <w:noProof/>
          <w:szCs w:val="24"/>
        </w:rPr>
        <w:t xml:space="preserve">, </w:t>
      </w:r>
      <w:r w:rsidRPr="00873E7A">
        <w:rPr>
          <w:i/>
          <w:iCs/>
          <w:noProof/>
          <w:szCs w:val="24"/>
        </w:rPr>
        <w:t>34</w:t>
      </w:r>
      <w:r w:rsidRPr="00873E7A">
        <w:rPr>
          <w:noProof/>
          <w:szCs w:val="24"/>
        </w:rPr>
        <w:t>(1), 193–196. http://doi.org/10.1016/j.marpol.2009.04.013</w:t>
      </w:r>
    </w:p>
    <w:p w14:paraId="52EBB864"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Hilborn, R., Fulton, E. A., Green, B. S., Hartmann, K., Tracey, S. R., &amp; Watson, R. A. (2015). When is a fishery sustainable? </w:t>
      </w:r>
      <w:r w:rsidRPr="00873E7A">
        <w:rPr>
          <w:i/>
          <w:iCs/>
          <w:noProof/>
          <w:szCs w:val="24"/>
        </w:rPr>
        <w:t>Canadian Journal of Fisheries and Aquatic Sciences</w:t>
      </w:r>
      <w:r w:rsidRPr="00873E7A">
        <w:rPr>
          <w:noProof/>
          <w:szCs w:val="24"/>
        </w:rPr>
        <w:t xml:space="preserve">, </w:t>
      </w:r>
      <w:r w:rsidRPr="00873E7A">
        <w:rPr>
          <w:i/>
          <w:iCs/>
          <w:noProof/>
          <w:szCs w:val="24"/>
        </w:rPr>
        <w:t>72</w:t>
      </w:r>
      <w:r w:rsidRPr="00873E7A">
        <w:rPr>
          <w:noProof/>
          <w:szCs w:val="24"/>
        </w:rPr>
        <w:t>(9), 1433–1441. http://doi.org/10.1139/cjfas-2015-0062</w:t>
      </w:r>
    </w:p>
    <w:p w14:paraId="380DA759"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Hilborn, R., Stewart, I. J., Branch, T. a., &amp; Jensen, O. P. (2012). Defining Trade-Offs among Conservation, Profitability, and Food Security in the California Current Bottom-Trawl Fishery. </w:t>
      </w:r>
      <w:r w:rsidRPr="00873E7A">
        <w:rPr>
          <w:i/>
          <w:iCs/>
          <w:noProof/>
          <w:szCs w:val="24"/>
        </w:rPr>
        <w:t>Conservation Biology</w:t>
      </w:r>
      <w:r w:rsidRPr="00873E7A">
        <w:rPr>
          <w:noProof/>
          <w:szCs w:val="24"/>
        </w:rPr>
        <w:t xml:space="preserve">, </w:t>
      </w:r>
      <w:r w:rsidRPr="00873E7A">
        <w:rPr>
          <w:i/>
          <w:iCs/>
          <w:noProof/>
          <w:szCs w:val="24"/>
        </w:rPr>
        <w:t>26</w:t>
      </w:r>
      <w:r w:rsidRPr="00873E7A">
        <w:rPr>
          <w:noProof/>
          <w:szCs w:val="24"/>
        </w:rPr>
        <w:t>(2), 257–268. http://doi.org/10.1111/j.1523-1739.2011.01800.x</w:t>
      </w:r>
    </w:p>
    <w:p w14:paraId="7ED9E50F"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Hoff, A., Frost, H., Ulrich, C., Damalas, D., Maravelias, C. D., Goti, L., &amp; Santurtún, M. (2010). Economic effort management in multispecies fisheries: The FcubEcon model. </w:t>
      </w:r>
      <w:r w:rsidRPr="00873E7A">
        <w:rPr>
          <w:i/>
          <w:iCs/>
          <w:noProof/>
          <w:szCs w:val="24"/>
        </w:rPr>
        <w:t>ICES Journal of Marine Science</w:t>
      </w:r>
      <w:r w:rsidRPr="00873E7A">
        <w:rPr>
          <w:noProof/>
          <w:szCs w:val="24"/>
        </w:rPr>
        <w:t xml:space="preserve">, </w:t>
      </w:r>
      <w:r w:rsidRPr="00873E7A">
        <w:rPr>
          <w:i/>
          <w:iCs/>
          <w:noProof/>
          <w:szCs w:val="24"/>
        </w:rPr>
        <w:t>67</w:t>
      </w:r>
      <w:r w:rsidRPr="00873E7A">
        <w:rPr>
          <w:noProof/>
          <w:szCs w:val="24"/>
        </w:rPr>
        <w:t>(8), 1802–1810. http://doi.org/10.1093/icesjms/fsq076</w:t>
      </w:r>
    </w:p>
    <w:p w14:paraId="08356797"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Holden, M. (1994). </w:t>
      </w:r>
      <w:r w:rsidRPr="00873E7A">
        <w:rPr>
          <w:i/>
          <w:iCs/>
          <w:noProof/>
          <w:szCs w:val="24"/>
        </w:rPr>
        <w:t>The Common Fisheries Policy: origin, evaluation and future.</w:t>
      </w:r>
      <w:r w:rsidRPr="00873E7A">
        <w:rPr>
          <w:noProof/>
          <w:szCs w:val="24"/>
        </w:rPr>
        <w:t xml:space="preserve"> Fishing News Books.</w:t>
      </w:r>
    </w:p>
    <w:p w14:paraId="03D3B7FE"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Holmes, S. J., Bailey, N., Campbell, N., Catarino, R., Barratt, K., Gibb, A., &amp; Fernandes, P. G. (2011). Using fishery-dependent data to inform the development and operation of a co-management initiative to reduce cod mortality and cut discards. </w:t>
      </w:r>
      <w:r w:rsidRPr="00873E7A">
        <w:rPr>
          <w:i/>
          <w:iCs/>
          <w:noProof/>
          <w:szCs w:val="24"/>
        </w:rPr>
        <w:t>ICES Journal of Marine Science</w:t>
      </w:r>
      <w:r w:rsidRPr="00873E7A">
        <w:rPr>
          <w:noProof/>
          <w:szCs w:val="24"/>
        </w:rPr>
        <w:t xml:space="preserve">, </w:t>
      </w:r>
      <w:r w:rsidRPr="00873E7A">
        <w:rPr>
          <w:i/>
          <w:iCs/>
          <w:noProof/>
          <w:szCs w:val="24"/>
        </w:rPr>
        <w:t>68</w:t>
      </w:r>
      <w:r w:rsidRPr="00873E7A">
        <w:rPr>
          <w:noProof/>
          <w:szCs w:val="24"/>
        </w:rPr>
        <w:t>(8), 1679–1688. http://doi.org/10.1093/icesjms/fsr101</w:t>
      </w:r>
    </w:p>
    <w:p w14:paraId="6C463E39"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ICES. (2013). </w:t>
      </w:r>
      <w:r w:rsidRPr="00873E7A">
        <w:rPr>
          <w:i/>
          <w:iCs/>
          <w:noProof/>
          <w:szCs w:val="24"/>
        </w:rPr>
        <w:t>Report of the Workshop on Guidelines for Management Strategy Evaluations (WKGMSE), 21 -23 January 2013, ICES HQ, Copenhagen, Denmark</w:t>
      </w:r>
      <w:r w:rsidRPr="00873E7A">
        <w:rPr>
          <w:noProof/>
          <w:szCs w:val="24"/>
        </w:rPr>
        <w:t>. Retrieved from http://www.ices.dk/sites/pub/Publication Reports/Expert Group Report/acom/2013/WKGMSE/Report of the Workshop on Guidelines for Management Strategy Evaluations.pdf</w:t>
      </w:r>
    </w:p>
    <w:p w14:paraId="5DCDFE53"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ICES. (2014). </w:t>
      </w:r>
      <w:r w:rsidRPr="00873E7A">
        <w:rPr>
          <w:i/>
          <w:iCs/>
          <w:noProof/>
          <w:szCs w:val="24"/>
        </w:rPr>
        <w:t>Report of the Working Group on Mixed Fisheries Methods (WGMIXFISH-METH)</w:t>
      </w:r>
      <w:r w:rsidRPr="00873E7A">
        <w:rPr>
          <w:noProof/>
          <w:szCs w:val="24"/>
        </w:rPr>
        <w:t xml:space="preserve">. Retrieved </w:t>
      </w:r>
      <w:r w:rsidRPr="00873E7A">
        <w:rPr>
          <w:noProof/>
          <w:szCs w:val="24"/>
        </w:rPr>
        <w:lastRenderedPageBreak/>
        <w:t>from http://www.ices.dk/sites/pub/Publication Reports/Expert Group Report/acom/2014/WGMIXFISH-METH/Report of the WGMIXFISH-METH 2014.pdf</w:t>
      </w:r>
    </w:p>
    <w:p w14:paraId="42A2AC77"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ICES. (2015a). </w:t>
      </w:r>
      <w:r w:rsidRPr="00873E7A">
        <w:rPr>
          <w:i/>
          <w:iCs/>
          <w:noProof/>
          <w:szCs w:val="24"/>
        </w:rPr>
        <w:t>Advice Basis</w:t>
      </w:r>
      <w:r w:rsidRPr="00873E7A">
        <w:rPr>
          <w:noProof/>
          <w:szCs w:val="24"/>
        </w:rPr>
        <w:t>. Copenhagen, Denmark. Retrieved from http://www.ices.dk/sites/pub/Publication Reports/Advice/2015/2015/General_context_of_ICES_advice_2015.pdf</w:t>
      </w:r>
    </w:p>
    <w:p w14:paraId="75BF23CC"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ICES. (2015b). EU request to ICES to provide FMSY ranges for selected North Sea and Baltic Sea stocks. In </w:t>
      </w:r>
      <w:r w:rsidRPr="00873E7A">
        <w:rPr>
          <w:i/>
          <w:iCs/>
          <w:noProof/>
          <w:szCs w:val="24"/>
        </w:rPr>
        <w:t>ICES Advice 2015, Book 6</w:t>
      </w:r>
      <w:r w:rsidRPr="00873E7A">
        <w:rPr>
          <w:noProof/>
          <w:szCs w:val="24"/>
        </w:rPr>
        <w:t xml:space="preserve"> (p. 11 pp). Retrieved from http://www.ices.dk/sites/pub/Publication Reports/Advice/2015/Special_Requests/EU_FMSY_ranges_for_selected_NS_and_BS_stocks.pdf</w:t>
      </w:r>
    </w:p>
    <w:p w14:paraId="40CD4FC1"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ICES. (2015c). Mixed-fisheries advice for Subarea IV (North Sea) and Divisions IIIa North (Skagerrak) and VIId (Eastern Channel). In </w:t>
      </w:r>
      <w:r w:rsidRPr="00873E7A">
        <w:rPr>
          <w:i/>
          <w:iCs/>
          <w:noProof/>
          <w:szCs w:val="24"/>
        </w:rPr>
        <w:t>ICES Advice 2015, Book 6</w:t>
      </w:r>
      <w:r w:rsidRPr="00873E7A">
        <w:rPr>
          <w:noProof/>
          <w:szCs w:val="24"/>
        </w:rPr>
        <w:t xml:space="preserve"> (p. 13 pp). Retrieved from http://www.ices.dk/sites/pub/Publication Reports/Advice/2015/2015/mix-nsea.pdf</w:t>
      </w:r>
    </w:p>
    <w:p w14:paraId="1F7988B1"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ICES. (2015d). </w:t>
      </w:r>
      <w:r w:rsidRPr="00873E7A">
        <w:rPr>
          <w:i/>
          <w:iCs/>
          <w:noProof/>
          <w:szCs w:val="24"/>
        </w:rPr>
        <w:t>Report of the Joint ICES-MYFISH Workshop to consider the basis for FMSY ranges for all stocks (WKMSYREF3), 17–21 November 2014, Charlottenlund, Denmark.</w:t>
      </w:r>
      <w:r w:rsidRPr="00873E7A">
        <w:rPr>
          <w:noProof/>
          <w:szCs w:val="24"/>
        </w:rPr>
        <w:t xml:space="preserve"> Retrieved from http://www.ices.dk/sites/pub/Publication Reports/Expert Group Report/acom/2014/WKMSYREF3/WKMSYREF32014.pdf</w:t>
      </w:r>
    </w:p>
    <w:p w14:paraId="147D9F28"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ICES. (2015e). </w:t>
      </w:r>
      <w:r w:rsidRPr="00873E7A">
        <w:rPr>
          <w:i/>
          <w:iCs/>
          <w:noProof/>
          <w:szCs w:val="24"/>
        </w:rPr>
        <w:t>Report of the Working Group on Mixed Fisheries Advice (WGMIXFISH- ADVICE), 25–29 May 2015</w:t>
      </w:r>
      <w:r w:rsidRPr="00873E7A">
        <w:rPr>
          <w:noProof/>
          <w:szCs w:val="24"/>
        </w:rPr>
        <w:t xml:space="preserve"> (Vol. 21). Copenhagen.</w:t>
      </w:r>
    </w:p>
    <w:p w14:paraId="324F857E"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ICES. (2015f). </w:t>
      </w:r>
      <w:r w:rsidRPr="00873E7A">
        <w:rPr>
          <w:i/>
          <w:iCs/>
          <w:noProof/>
          <w:szCs w:val="24"/>
        </w:rPr>
        <w:t>Report of the Working Group on Mixed Fisheries Advice Methodology (WGMIXFISH-METH), 5–9 October 2015, DTU-Aqua, Charlottenlund, Denmark.</w:t>
      </w:r>
      <w:r w:rsidRPr="00873E7A">
        <w:rPr>
          <w:noProof/>
          <w:szCs w:val="24"/>
        </w:rPr>
        <w:t xml:space="preserve"> Retrieved from http://www.ices.dk/sites/pub/Publication Reports/Expert Group Report/acom/2015/WGMIXFISH/01 WGMIXFISH-METH report 2015.pdf</w:t>
      </w:r>
    </w:p>
    <w:p w14:paraId="2FC102F3"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ICES. (2015g). </w:t>
      </w:r>
      <w:r w:rsidRPr="00873E7A">
        <w:rPr>
          <w:i/>
          <w:iCs/>
          <w:noProof/>
          <w:szCs w:val="24"/>
        </w:rPr>
        <w:t>Report of the Working Group on the Assessment of Demersal Stocks in the North Sea and Skagerrak (WGNSSK), 28 April-7 May 2015</w:t>
      </w:r>
      <w:r w:rsidRPr="00873E7A">
        <w:rPr>
          <w:noProof/>
          <w:szCs w:val="24"/>
        </w:rPr>
        <w:t xml:space="preserve">. Copenhagen, Denmark. Retrieved from http://www.ices.dk/sites/pub/Publication Reports/Expert Group Report/acom/2015/WGNSSK/01 </w:t>
      </w:r>
      <w:r w:rsidRPr="00873E7A">
        <w:rPr>
          <w:noProof/>
          <w:szCs w:val="24"/>
        </w:rPr>
        <w:lastRenderedPageBreak/>
        <w:t>WGNSSK report 2015.pdf</w:t>
      </w:r>
    </w:p>
    <w:p w14:paraId="1A9AE565"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Kell, L. T., Mosqueira, I., Grosjean, P., Fromentin, J. M., Garcia, D., Hillary, R., … Scott, R. D. (2007). FLR: An open-source framework for the evaluation and development of management strategies. </w:t>
      </w:r>
      <w:r w:rsidRPr="00873E7A">
        <w:rPr>
          <w:i/>
          <w:iCs/>
          <w:noProof/>
          <w:szCs w:val="24"/>
        </w:rPr>
        <w:t>ICES Journal of Marine Science</w:t>
      </w:r>
      <w:r w:rsidRPr="00873E7A">
        <w:rPr>
          <w:noProof/>
          <w:szCs w:val="24"/>
        </w:rPr>
        <w:t xml:space="preserve">, </w:t>
      </w:r>
      <w:r w:rsidRPr="00873E7A">
        <w:rPr>
          <w:i/>
          <w:iCs/>
          <w:noProof/>
          <w:szCs w:val="24"/>
        </w:rPr>
        <w:t>64</w:t>
      </w:r>
      <w:r w:rsidRPr="00873E7A">
        <w:rPr>
          <w:noProof/>
          <w:szCs w:val="24"/>
        </w:rPr>
        <w:t>(4), 640–646. http://doi.org/10.1093/icesjms/fsm012</w:t>
      </w:r>
    </w:p>
    <w:p w14:paraId="435F013F"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Kempf, A., Mumford, J., Polina, L., Adrian, L., Ayoe, H., Hamon, K. G., … Rindorf, A. (n.d.). The MSY concept in a multi-objective fisheries environment – lessons learned from the North Sea. </w:t>
      </w:r>
      <w:r w:rsidRPr="00873E7A">
        <w:rPr>
          <w:i/>
          <w:iCs/>
          <w:noProof/>
          <w:szCs w:val="24"/>
        </w:rPr>
        <w:t>Marine Policy</w:t>
      </w:r>
      <w:r w:rsidRPr="00873E7A">
        <w:rPr>
          <w:noProof/>
          <w:szCs w:val="24"/>
        </w:rPr>
        <w:t xml:space="preserve">, </w:t>
      </w:r>
      <w:r w:rsidRPr="00873E7A">
        <w:rPr>
          <w:i/>
          <w:iCs/>
          <w:noProof/>
          <w:szCs w:val="24"/>
        </w:rPr>
        <w:t>submitted</w:t>
      </w:r>
      <w:r w:rsidRPr="00873E7A">
        <w:rPr>
          <w:noProof/>
          <w:szCs w:val="24"/>
        </w:rPr>
        <w:t>.</w:t>
      </w:r>
    </w:p>
    <w:p w14:paraId="2EBFB883"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Kraak, S. B. M., Bailey, N., Cardinale, M., Darby, C., De Oliveira, J. A. A., Eero, M., … Vinther, M. (2013). Lessons for fisheries management from the EU cod recovery plan. </w:t>
      </w:r>
      <w:r w:rsidRPr="00873E7A">
        <w:rPr>
          <w:i/>
          <w:iCs/>
          <w:noProof/>
          <w:szCs w:val="24"/>
        </w:rPr>
        <w:t>Marine Policy</w:t>
      </w:r>
      <w:r w:rsidRPr="00873E7A">
        <w:rPr>
          <w:noProof/>
          <w:szCs w:val="24"/>
        </w:rPr>
        <w:t xml:space="preserve">, </w:t>
      </w:r>
      <w:r w:rsidRPr="00873E7A">
        <w:rPr>
          <w:i/>
          <w:iCs/>
          <w:noProof/>
          <w:szCs w:val="24"/>
        </w:rPr>
        <w:t>37</w:t>
      </w:r>
      <w:r w:rsidRPr="00873E7A">
        <w:rPr>
          <w:noProof/>
          <w:szCs w:val="24"/>
        </w:rPr>
        <w:t>(1), 200–213. http://doi.org/10.1016/j.marpol.2012.05.002</w:t>
      </w:r>
    </w:p>
    <w:p w14:paraId="0C163F47"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Little, A. S., Needle, C. L., Hilborn, R., Holland, D. S., &amp; Marshall, C. T. (2014). Real-time spatial management approaches to reduce bycatch and discards: experiences from Europe and the United States. </w:t>
      </w:r>
      <w:r w:rsidRPr="00873E7A">
        <w:rPr>
          <w:i/>
          <w:iCs/>
          <w:noProof/>
          <w:szCs w:val="24"/>
        </w:rPr>
        <w:t>Fish and Fisheries</w:t>
      </w:r>
      <w:r w:rsidRPr="00873E7A">
        <w:rPr>
          <w:noProof/>
          <w:szCs w:val="24"/>
        </w:rPr>
        <w:t>, n/a–n/a. http://doi.org/10.1111/faf.12080</w:t>
      </w:r>
    </w:p>
    <w:p w14:paraId="4C86376C"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Mackinson, S., Deas, B., Beveridge, D., &amp; Casey, J. (2009). Mixed-fishery or ecosystem conundrum? Multispecies considerations inform thinking on long-term management of North Sea demersal stocks. </w:t>
      </w:r>
      <w:r w:rsidRPr="00873E7A">
        <w:rPr>
          <w:i/>
          <w:iCs/>
          <w:noProof/>
          <w:szCs w:val="24"/>
        </w:rPr>
        <w:t>Canadian Journal of Fisheries and Aquatic Sciences</w:t>
      </w:r>
      <w:r w:rsidRPr="00873E7A">
        <w:rPr>
          <w:noProof/>
          <w:szCs w:val="24"/>
        </w:rPr>
        <w:t xml:space="preserve">, </w:t>
      </w:r>
      <w:r w:rsidRPr="00873E7A">
        <w:rPr>
          <w:i/>
          <w:iCs/>
          <w:noProof/>
          <w:szCs w:val="24"/>
        </w:rPr>
        <w:t>66</w:t>
      </w:r>
      <w:r w:rsidRPr="00873E7A">
        <w:rPr>
          <w:noProof/>
          <w:szCs w:val="24"/>
        </w:rPr>
        <w:t>(7), 1107–1129. http://doi.org/10.1139/F09-057</w:t>
      </w:r>
    </w:p>
    <w:p w14:paraId="5408FFA7"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Marchal, P. (2016). A comparative review of fisheries management experiences in the European Union and in other countries worldwide: Iceland, Australia and New Zealand. </w:t>
      </w:r>
      <w:r w:rsidRPr="00873E7A">
        <w:rPr>
          <w:i/>
          <w:iCs/>
          <w:noProof/>
          <w:szCs w:val="24"/>
        </w:rPr>
        <w:t>Fish and Fisheries</w:t>
      </w:r>
      <w:r w:rsidRPr="00873E7A">
        <w:rPr>
          <w:noProof/>
          <w:szCs w:val="24"/>
        </w:rPr>
        <w:t>.</w:t>
      </w:r>
    </w:p>
    <w:p w14:paraId="78448634"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Needle, C. L., Dinsdale, R., Buch, T. B., Catarino, R. M. D., Drewery, J., &amp; Butler, N. (2015). Scottish science applications of Remote Electronic Monitoring. </w:t>
      </w:r>
      <w:r w:rsidRPr="00873E7A">
        <w:rPr>
          <w:i/>
          <w:iCs/>
          <w:noProof/>
          <w:szCs w:val="24"/>
        </w:rPr>
        <w:t>ICES Journal of Marine Science</w:t>
      </w:r>
      <w:r w:rsidRPr="00873E7A">
        <w:rPr>
          <w:noProof/>
          <w:szCs w:val="24"/>
        </w:rPr>
        <w:t xml:space="preserve">, </w:t>
      </w:r>
      <w:r w:rsidRPr="00873E7A">
        <w:rPr>
          <w:i/>
          <w:iCs/>
          <w:noProof/>
          <w:szCs w:val="24"/>
        </w:rPr>
        <w:t>72</w:t>
      </w:r>
      <w:r w:rsidRPr="00873E7A">
        <w:rPr>
          <w:noProof/>
          <w:szCs w:val="24"/>
        </w:rPr>
        <w:t>(4), 1214–1229. http://doi.org/10.1093/icesjms/fsu225</w:t>
      </w:r>
    </w:p>
    <w:p w14:paraId="77DD5F3D"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Pelletier, D., Mahevas, S., Drouineau, H., Vermard, Y., Thebaud, O., Guyader, O., &amp; Poussin, B. (2009). </w:t>
      </w:r>
      <w:r w:rsidRPr="00873E7A">
        <w:rPr>
          <w:noProof/>
          <w:szCs w:val="24"/>
        </w:rPr>
        <w:lastRenderedPageBreak/>
        <w:t xml:space="preserve">Evaluation of the bioeconomic sustainability of multi-species multi-fleet fisheries under a wide range of policy options using ISIS-Fish. </w:t>
      </w:r>
      <w:r w:rsidRPr="00873E7A">
        <w:rPr>
          <w:i/>
          <w:iCs/>
          <w:noProof/>
          <w:szCs w:val="24"/>
        </w:rPr>
        <w:t>Ecological Modelling</w:t>
      </w:r>
      <w:r w:rsidRPr="00873E7A">
        <w:rPr>
          <w:noProof/>
          <w:szCs w:val="24"/>
        </w:rPr>
        <w:t xml:space="preserve">, </w:t>
      </w:r>
      <w:r w:rsidRPr="00873E7A">
        <w:rPr>
          <w:i/>
          <w:iCs/>
          <w:noProof/>
          <w:szCs w:val="24"/>
        </w:rPr>
        <w:t>220</w:t>
      </w:r>
      <w:r w:rsidRPr="00873E7A">
        <w:rPr>
          <w:noProof/>
          <w:szCs w:val="24"/>
        </w:rPr>
        <w:t>(7), 1013–1033. http://doi.org/10.1016/j.ecolmodel.2009.01.007</w:t>
      </w:r>
    </w:p>
    <w:p w14:paraId="029BAC03"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Rindorf, A., Dichmont, C., Levin, P., Mace, P., Pascoe, S., Prellezo, R., … Clausen, L. W. (n.d.). Food for thought: Pretty good multispecies yield. Submitted to ICES Journal of Marine Science (Topic issue on targets and limits in long term fisheries management). </w:t>
      </w:r>
      <w:r w:rsidRPr="00873E7A">
        <w:rPr>
          <w:i/>
          <w:iCs/>
          <w:noProof/>
          <w:szCs w:val="24"/>
        </w:rPr>
        <w:t>ICES Journal of Marine Science</w:t>
      </w:r>
      <w:r w:rsidRPr="00873E7A">
        <w:rPr>
          <w:noProof/>
          <w:szCs w:val="24"/>
        </w:rPr>
        <w:t xml:space="preserve">, </w:t>
      </w:r>
      <w:r w:rsidRPr="00873E7A">
        <w:rPr>
          <w:i/>
          <w:iCs/>
          <w:noProof/>
          <w:szCs w:val="24"/>
        </w:rPr>
        <w:t>submitted</w:t>
      </w:r>
      <w:r w:rsidRPr="00873E7A">
        <w:rPr>
          <w:noProof/>
          <w:szCs w:val="24"/>
        </w:rPr>
        <w:t>.</w:t>
      </w:r>
    </w:p>
    <w:p w14:paraId="2922A484"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Rindorf, A., Mumford, J., Baranowski, P., Clausen, L. W., Garcia, L., Hintzen, N., … Reid, D. (n.d.). Expanding the MSY concept to reflect multidimensional fisheries management objectives Submitted to ICES Journal of Marine Science (Topic issue on targets and limits in long term fisheries management). </w:t>
      </w:r>
      <w:r w:rsidRPr="00873E7A">
        <w:rPr>
          <w:i/>
          <w:iCs/>
          <w:noProof/>
          <w:szCs w:val="24"/>
        </w:rPr>
        <w:t>ICES Journal of Marine Science</w:t>
      </w:r>
      <w:r w:rsidRPr="00873E7A">
        <w:rPr>
          <w:noProof/>
          <w:szCs w:val="24"/>
        </w:rPr>
        <w:t xml:space="preserve">, </w:t>
      </w:r>
      <w:r w:rsidRPr="00873E7A">
        <w:rPr>
          <w:i/>
          <w:iCs/>
          <w:noProof/>
          <w:szCs w:val="24"/>
        </w:rPr>
        <w:t>submitted</w:t>
      </w:r>
      <w:r w:rsidRPr="00873E7A">
        <w:rPr>
          <w:noProof/>
          <w:szCs w:val="24"/>
        </w:rPr>
        <w:t>.</w:t>
      </w:r>
    </w:p>
    <w:p w14:paraId="310E22FD"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Scientific Technical and Economic Committee for Fisheries (STECF). (2015a). </w:t>
      </w:r>
      <w:r w:rsidRPr="00873E7A">
        <w:rPr>
          <w:i/>
          <w:iCs/>
          <w:noProof/>
          <w:szCs w:val="24"/>
        </w:rPr>
        <w:t>Evaluation of management plans: Evaluation of the multi-annual plan for the North Sea demersal stocks (STECF-15-04)</w:t>
      </w:r>
      <w:r w:rsidRPr="00873E7A">
        <w:rPr>
          <w:noProof/>
          <w:szCs w:val="24"/>
        </w:rPr>
        <w:t>. Luxembourg: Publications Office of the European Union. Retrieved from https://stecf.jrc.ec.europa.eu/documents/43805/969556/2015-05_STECF+15-04+-+NSMAP_JRC95959.pdf</w:t>
      </w:r>
    </w:p>
    <w:p w14:paraId="066115E3"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Scientific Technical and Economic Committee for Fisheries (STECF). (2015b). </w:t>
      </w:r>
      <w:r w:rsidRPr="00873E7A">
        <w:rPr>
          <w:i/>
          <w:iCs/>
          <w:noProof/>
          <w:szCs w:val="24"/>
        </w:rPr>
        <w:t>Monitoring the performance of the Common Fisheries Policy (STECF-15-04)</w:t>
      </w:r>
      <w:r w:rsidRPr="00873E7A">
        <w:rPr>
          <w:noProof/>
          <w:szCs w:val="24"/>
        </w:rPr>
        <w:t>. Luxembourg: Publications Office of the European Union. Retrieved from https://stecf.jrc.ec.europa.eu/documents/43805/55543/2015-03_STECF+15-04+-+Monitoring+the+CFP_JRC95185.pdf</w:t>
      </w:r>
    </w:p>
    <w:p w14:paraId="55914E00"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Sigurðardóttir, S., Stefánsdóttir, E. K., Condie, H. M., Margeirsson, S., Catchpole, T. L., Bellido, J. M., … Rochet, M.-J. (2015). How can discards in European fisheries be mitigated? Strengths, weaknesses, opportunities and threats of potential mitigation methods. </w:t>
      </w:r>
      <w:r w:rsidRPr="00873E7A">
        <w:rPr>
          <w:i/>
          <w:iCs/>
          <w:noProof/>
          <w:szCs w:val="24"/>
        </w:rPr>
        <w:t>Marine Policy</w:t>
      </w:r>
      <w:r w:rsidRPr="00873E7A">
        <w:rPr>
          <w:noProof/>
          <w:szCs w:val="24"/>
        </w:rPr>
        <w:t xml:space="preserve">, </w:t>
      </w:r>
      <w:r w:rsidRPr="00873E7A">
        <w:rPr>
          <w:i/>
          <w:iCs/>
          <w:noProof/>
          <w:szCs w:val="24"/>
        </w:rPr>
        <w:t>51</w:t>
      </w:r>
      <w:r w:rsidRPr="00873E7A">
        <w:rPr>
          <w:noProof/>
          <w:szCs w:val="24"/>
        </w:rPr>
        <w:t>, 366–374. http://doi.org/10.1016/j.marpol.2014.09.018</w:t>
      </w:r>
    </w:p>
    <w:p w14:paraId="426A3A1B"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Ulrich, C., Olesen, H. J., Bergsson, H., Egekvist, J., Håkansson, K. B., Dalskov, J., … Storr-Paulsen, M. </w:t>
      </w:r>
      <w:r w:rsidRPr="00873E7A">
        <w:rPr>
          <w:noProof/>
          <w:szCs w:val="24"/>
        </w:rPr>
        <w:lastRenderedPageBreak/>
        <w:t xml:space="preserve">(2015). Discarding of cod in the Danish Fully Documented Fisheries trials. </w:t>
      </w:r>
      <w:r w:rsidRPr="00873E7A">
        <w:rPr>
          <w:i/>
          <w:iCs/>
          <w:noProof/>
          <w:szCs w:val="24"/>
        </w:rPr>
        <w:t>ICES Journal of Marine Science: Journal Du Conseil</w:t>
      </w:r>
      <w:r w:rsidRPr="00873E7A">
        <w:rPr>
          <w:noProof/>
          <w:szCs w:val="24"/>
        </w:rPr>
        <w:t xml:space="preserve">, </w:t>
      </w:r>
      <w:r w:rsidRPr="00873E7A">
        <w:rPr>
          <w:i/>
          <w:iCs/>
          <w:noProof/>
          <w:szCs w:val="24"/>
        </w:rPr>
        <w:t>72</w:t>
      </w:r>
      <w:r w:rsidRPr="00873E7A">
        <w:rPr>
          <w:noProof/>
          <w:szCs w:val="24"/>
        </w:rPr>
        <w:t>(6), 1848–1860. http://doi.org/10.1093/icesjms/fsv028</w:t>
      </w:r>
    </w:p>
    <w:p w14:paraId="0043EB10" w14:textId="77777777" w:rsidR="00873E7A" w:rsidRPr="00873E7A" w:rsidRDefault="00873E7A" w:rsidP="00873E7A">
      <w:pPr>
        <w:widowControl w:val="0"/>
        <w:autoSpaceDE w:val="0"/>
        <w:autoSpaceDN w:val="0"/>
        <w:adjustRightInd w:val="0"/>
        <w:ind w:left="480" w:hanging="480"/>
        <w:rPr>
          <w:noProof/>
          <w:szCs w:val="24"/>
        </w:rPr>
      </w:pPr>
      <w:r w:rsidRPr="00873E7A">
        <w:rPr>
          <w:noProof/>
          <w:szCs w:val="24"/>
        </w:rPr>
        <w:t xml:space="preserve">Ulrich, C., Reeves, S. a., Vermard, Y., Holmes, S. J., &amp; Vanhee, W. (2011). Reconciling single-species TACs in the North Sea demersal fisheries using the Fcube mixed-fisheries advice framework. </w:t>
      </w:r>
      <w:r w:rsidRPr="00873E7A">
        <w:rPr>
          <w:i/>
          <w:iCs/>
          <w:noProof/>
          <w:szCs w:val="24"/>
        </w:rPr>
        <w:t>ICES Journal of Marine Science</w:t>
      </w:r>
      <w:r w:rsidRPr="00873E7A">
        <w:rPr>
          <w:noProof/>
          <w:szCs w:val="24"/>
        </w:rPr>
        <w:t xml:space="preserve">, </w:t>
      </w:r>
      <w:r w:rsidRPr="00873E7A">
        <w:rPr>
          <w:i/>
          <w:iCs/>
          <w:noProof/>
          <w:szCs w:val="24"/>
        </w:rPr>
        <w:t>68</w:t>
      </w:r>
      <w:r w:rsidRPr="00873E7A">
        <w:rPr>
          <w:noProof/>
          <w:szCs w:val="24"/>
        </w:rPr>
        <w:t>(7), 1535–1547. http://doi.org/10.1093/icesjms/fsr060</w:t>
      </w:r>
    </w:p>
    <w:p w14:paraId="489D82B4" w14:textId="77777777" w:rsidR="00873E7A" w:rsidRPr="00873E7A" w:rsidRDefault="00873E7A" w:rsidP="00873E7A">
      <w:pPr>
        <w:widowControl w:val="0"/>
        <w:autoSpaceDE w:val="0"/>
        <w:autoSpaceDN w:val="0"/>
        <w:adjustRightInd w:val="0"/>
        <w:ind w:left="480" w:hanging="480"/>
        <w:rPr>
          <w:noProof/>
        </w:rPr>
      </w:pPr>
      <w:r w:rsidRPr="00873E7A">
        <w:rPr>
          <w:noProof/>
          <w:szCs w:val="24"/>
        </w:rPr>
        <w:t xml:space="preserve">van Helmond, A. T. M., Chen, C., &amp; Poos, J. J. (2015). How effective is electronic monitoring in mixed bottom-trawl fisheries? </w:t>
      </w:r>
      <w:r w:rsidRPr="00873E7A">
        <w:rPr>
          <w:i/>
          <w:iCs/>
          <w:noProof/>
          <w:szCs w:val="24"/>
        </w:rPr>
        <w:t>ICES Journal of Marine Science</w:t>
      </w:r>
      <w:r w:rsidRPr="00873E7A">
        <w:rPr>
          <w:noProof/>
          <w:szCs w:val="24"/>
        </w:rPr>
        <w:t xml:space="preserve">, </w:t>
      </w:r>
      <w:r w:rsidRPr="00873E7A">
        <w:rPr>
          <w:i/>
          <w:iCs/>
          <w:noProof/>
          <w:szCs w:val="24"/>
        </w:rPr>
        <w:t>72</w:t>
      </w:r>
      <w:r w:rsidRPr="00873E7A">
        <w:rPr>
          <w:noProof/>
          <w:szCs w:val="24"/>
        </w:rPr>
        <w:t>(4), 1192–1200. http://doi.org/10.1093/icesjms/fsu200</w:t>
      </w:r>
    </w:p>
    <w:p w14:paraId="0A2144F3" w14:textId="6C0A0392" w:rsidR="00F85000" w:rsidRDefault="00064D40" w:rsidP="00873E7A">
      <w:pPr>
        <w:widowControl w:val="0"/>
        <w:autoSpaceDE w:val="0"/>
        <w:autoSpaceDN w:val="0"/>
        <w:adjustRightInd w:val="0"/>
        <w:ind w:left="480" w:hanging="480"/>
      </w:pPr>
      <w:r>
        <w:fldChar w:fldCharType="end"/>
      </w:r>
      <w:r w:rsidR="00F85000">
        <w:br w:type="page"/>
      </w:r>
    </w:p>
    <w:tbl>
      <w:tblPr>
        <w:tblW w:w="5087" w:type="pct"/>
        <w:tblCellMar>
          <w:left w:w="0" w:type="dxa"/>
          <w:right w:w="0" w:type="dxa"/>
        </w:tblCellMar>
        <w:tblLook w:val="0420" w:firstRow="1" w:lastRow="0" w:firstColumn="0" w:lastColumn="0" w:noHBand="0" w:noVBand="1"/>
      </w:tblPr>
      <w:tblGrid>
        <w:gridCol w:w="1392"/>
        <w:gridCol w:w="1253"/>
        <w:gridCol w:w="913"/>
        <w:gridCol w:w="1305"/>
        <w:gridCol w:w="1305"/>
        <w:gridCol w:w="1243"/>
        <w:gridCol w:w="1417"/>
        <w:gridCol w:w="1134"/>
      </w:tblGrid>
      <w:tr w:rsidR="004B4822" w:rsidRPr="00147660" w14:paraId="77F2266F" w14:textId="0EB23F32" w:rsidTr="008E6A06">
        <w:trPr>
          <w:trHeight w:val="584"/>
        </w:trPr>
        <w:tc>
          <w:tcPr>
            <w:tcW w:w="698" w:type="pct"/>
            <w:tcBorders>
              <w:top w:val="single" w:sz="8" w:space="0" w:color="FFFFFF"/>
              <w:left w:val="single" w:sz="8" w:space="0" w:color="FFFFFF"/>
              <w:bottom w:val="single" w:sz="4" w:space="0" w:color="auto"/>
              <w:right w:val="single" w:sz="4" w:space="0" w:color="auto"/>
            </w:tcBorders>
            <w:shd w:val="clear" w:color="auto" w:fill="auto"/>
            <w:tcMar>
              <w:top w:w="72" w:type="dxa"/>
              <w:left w:w="144" w:type="dxa"/>
              <w:bottom w:w="72" w:type="dxa"/>
              <w:right w:w="144" w:type="dxa"/>
            </w:tcMar>
            <w:hideMark/>
          </w:tcPr>
          <w:p w14:paraId="395ED38D" w14:textId="77777777" w:rsidR="00E50693" w:rsidRPr="00147660" w:rsidRDefault="00E50693" w:rsidP="004B4822">
            <w:pPr>
              <w:jc w:val="center"/>
              <w:rPr>
                <w:rFonts w:eastAsia="Times New Roman"/>
                <w:lang w:eastAsia="da-DK"/>
              </w:rPr>
            </w:pPr>
            <w:r w:rsidRPr="00147660">
              <w:rPr>
                <w:lang w:eastAsia="da-DK"/>
              </w:rPr>
              <w:lastRenderedPageBreak/>
              <w:t>Stock</w:t>
            </w:r>
          </w:p>
        </w:tc>
        <w:tc>
          <w:tcPr>
            <w:tcW w:w="629" w:type="pct"/>
            <w:tcBorders>
              <w:top w:val="single" w:sz="8" w:space="0" w:color="FFFFFF"/>
              <w:left w:val="single" w:sz="4" w:space="0" w:color="auto"/>
              <w:bottom w:val="single" w:sz="4" w:space="0" w:color="auto"/>
              <w:right w:val="single" w:sz="8" w:space="0" w:color="FFFFFF"/>
            </w:tcBorders>
          </w:tcPr>
          <w:p w14:paraId="2E9D5808" w14:textId="5BCC8BE3" w:rsidR="00E50693" w:rsidRPr="00147660" w:rsidRDefault="00E50693" w:rsidP="004B4822">
            <w:pPr>
              <w:jc w:val="center"/>
              <w:rPr>
                <w:lang w:eastAsia="da-DK"/>
              </w:rPr>
            </w:pPr>
            <w:r>
              <w:rPr>
                <w:lang w:eastAsia="da-DK"/>
              </w:rPr>
              <w:t>LTMP target</w:t>
            </w:r>
          </w:p>
        </w:tc>
        <w:tc>
          <w:tcPr>
            <w:tcW w:w="458" w:type="pct"/>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05E6A7AF" w14:textId="40B28FB0" w:rsidR="00E50693" w:rsidRPr="00147660" w:rsidRDefault="00E50693" w:rsidP="004B4822">
            <w:pPr>
              <w:jc w:val="center"/>
              <w:rPr>
                <w:rFonts w:eastAsia="Times New Roman"/>
                <w:lang w:eastAsia="da-DK"/>
              </w:rPr>
            </w:pPr>
            <w:r w:rsidRPr="00147660">
              <w:rPr>
                <w:lang w:eastAsia="da-DK"/>
              </w:rPr>
              <w:t>F</w:t>
            </w:r>
            <w:r w:rsidR="00521B61" w:rsidRPr="00521B61">
              <w:rPr>
                <w:vertAlign w:val="subscript"/>
                <w:lang w:eastAsia="da-DK"/>
              </w:rPr>
              <w:t>MSY</w:t>
            </w:r>
          </w:p>
        </w:tc>
        <w:tc>
          <w:tcPr>
            <w:tcW w:w="655" w:type="pct"/>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7CBBA7C8" w14:textId="77777777" w:rsidR="00E50693" w:rsidRPr="00147660" w:rsidRDefault="00E50693" w:rsidP="004B4822">
            <w:pPr>
              <w:jc w:val="center"/>
              <w:rPr>
                <w:rFonts w:eastAsia="Times New Roman"/>
                <w:lang w:eastAsia="da-DK"/>
              </w:rPr>
            </w:pPr>
            <w:r w:rsidRPr="00147660">
              <w:rPr>
                <w:lang w:eastAsia="da-DK"/>
              </w:rPr>
              <w:t>MSY F</w:t>
            </w:r>
            <w:r w:rsidRPr="00147660">
              <w:rPr>
                <w:position w:val="-9"/>
                <w:vertAlign w:val="subscript"/>
                <w:lang w:eastAsia="da-DK"/>
              </w:rPr>
              <w:t>upper</w:t>
            </w:r>
          </w:p>
        </w:tc>
        <w:tc>
          <w:tcPr>
            <w:tcW w:w="655" w:type="pct"/>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4620A13C" w14:textId="77777777" w:rsidR="00E50693" w:rsidRPr="00147660" w:rsidRDefault="00E50693" w:rsidP="004B4822">
            <w:pPr>
              <w:jc w:val="center"/>
              <w:rPr>
                <w:rFonts w:eastAsia="Times New Roman"/>
                <w:lang w:eastAsia="da-DK"/>
              </w:rPr>
            </w:pPr>
            <w:r w:rsidRPr="00147660">
              <w:rPr>
                <w:lang w:eastAsia="da-DK"/>
              </w:rPr>
              <w:t>MSY F</w:t>
            </w:r>
            <w:r w:rsidRPr="00147660">
              <w:rPr>
                <w:position w:val="-9"/>
                <w:vertAlign w:val="subscript"/>
                <w:lang w:eastAsia="da-DK"/>
              </w:rPr>
              <w:t>lower</w:t>
            </w:r>
          </w:p>
        </w:tc>
        <w:tc>
          <w:tcPr>
            <w:tcW w:w="624" w:type="pct"/>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6CD6651E" w14:textId="77777777" w:rsidR="00E50693" w:rsidRPr="00147660" w:rsidRDefault="00E50693" w:rsidP="004B4822">
            <w:pPr>
              <w:jc w:val="center"/>
              <w:rPr>
                <w:rFonts w:eastAsia="Times New Roman"/>
                <w:lang w:eastAsia="da-DK"/>
              </w:rPr>
            </w:pPr>
            <w:r w:rsidRPr="00147660">
              <w:rPr>
                <w:lang w:eastAsia="da-DK"/>
              </w:rPr>
              <w:t>F2014</w:t>
            </w:r>
          </w:p>
        </w:tc>
        <w:tc>
          <w:tcPr>
            <w:tcW w:w="711" w:type="pct"/>
            <w:tcBorders>
              <w:top w:val="single" w:sz="8" w:space="0" w:color="FFFFFF"/>
              <w:left w:val="single" w:sz="8" w:space="0" w:color="FFFFFF"/>
              <w:bottom w:val="single" w:sz="4" w:space="0" w:color="auto"/>
              <w:right w:val="single" w:sz="8" w:space="0" w:color="FFFFFF"/>
            </w:tcBorders>
          </w:tcPr>
          <w:p w14:paraId="1E99AAD3" w14:textId="47627985" w:rsidR="00E50693" w:rsidRPr="00147660" w:rsidRDefault="00E50693" w:rsidP="004B4822">
            <w:pPr>
              <w:jc w:val="center"/>
              <w:rPr>
                <w:lang w:eastAsia="da-DK"/>
              </w:rPr>
            </w:pPr>
            <w:r>
              <w:rPr>
                <w:lang w:eastAsia="da-DK"/>
              </w:rPr>
              <w:t>MSY B</w:t>
            </w:r>
            <w:r w:rsidR="00521B61" w:rsidRPr="00521B61">
              <w:rPr>
                <w:vertAlign w:val="subscript"/>
                <w:lang w:eastAsia="da-DK"/>
              </w:rPr>
              <w:t>trigger</w:t>
            </w:r>
          </w:p>
        </w:tc>
        <w:tc>
          <w:tcPr>
            <w:tcW w:w="569" w:type="pct"/>
            <w:tcBorders>
              <w:top w:val="single" w:sz="8" w:space="0" w:color="FFFFFF"/>
              <w:left w:val="single" w:sz="8" w:space="0" w:color="FFFFFF"/>
              <w:bottom w:val="single" w:sz="4" w:space="0" w:color="auto"/>
              <w:right w:val="single" w:sz="8" w:space="0" w:color="FFFFFF"/>
            </w:tcBorders>
          </w:tcPr>
          <w:p w14:paraId="672F2965" w14:textId="0D48B872" w:rsidR="00E50693" w:rsidRPr="00147660" w:rsidRDefault="00E50693" w:rsidP="004B4822">
            <w:pPr>
              <w:jc w:val="center"/>
              <w:rPr>
                <w:lang w:eastAsia="da-DK"/>
              </w:rPr>
            </w:pPr>
            <w:r>
              <w:rPr>
                <w:lang w:eastAsia="da-DK"/>
              </w:rPr>
              <w:t>B</w:t>
            </w:r>
            <w:r w:rsidR="00521B61" w:rsidRPr="00521B61">
              <w:rPr>
                <w:vertAlign w:val="subscript"/>
                <w:lang w:eastAsia="da-DK"/>
              </w:rPr>
              <w:t>lim</w:t>
            </w:r>
          </w:p>
        </w:tc>
      </w:tr>
      <w:tr w:rsidR="004B4822" w:rsidRPr="00147660" w14:paraId="710C43E9" w14:textId="1753E56E" w:rsidTr="008E6A06">
        <w:trPr>
          <w:trHeight w:val="584"/>
        </w:trPr>
        <w:tc>
          <w:tcPr>
            <w:tcW w:w="698" w:type="pct"/>
            <w:tcBorders>
              <w:top w:val="single" w:sz="4" w:space="0" w:color="auto"/>
              <w:left w:val="single" w:sz="8" w:space="0" w:color="FFFFFF"/>
              <w:bottom w:val="single" w:sz="8" w:space="0" w:color="FFFFFF"/>
              <w:right w:val="single" w:sz="4" w:space="0" w:color="auto"/>
            </w:tcBorders>
            <w:shd w:val="clear" w:color="auto" w:fill="auto"/>
            <w:tcMar>
              <w:top w:w="72" w:type="dxa"/>
              <w:left w:w="144" w:type="dxa"/>
              <w:bottom w:w="72" w:type="dxa"/>
              <w:right w:w="144" w:type="dxa"/>
            </w:tcMar>
            <w:hideMark/>
          </w:tcPr>
          <w:p w14:paraId="1FB957F4" w14:textId="77777777" w:rsidR="00E50693" w:rsidRPr="00147660" w:rsidRDefault="00E50693" w:rsidP="00DF5AFC">
            <w:pPr>
              <w:rPr>
                <w:rFonts w:eastAsia="Times New Roman"/>
                <w:lang w:eastAsia="da-DK"/>
              </w:rPr>
            </w:pPr>
            <w:r w:rsidRPr="00147660">
              <w:rPr>
                <w:lang w:eastAsia="da-DK"/>
              </w:rPr>
              <w:t>COD</w:t>
            </w:r>
          </w:p>
        </w:tc>
        <w:tc>
          <w:tcPr>
            <w:tcW w:w="629" w:type="pct"/>
            <w:tcBorders>
              <w:top w:val="single" w:sz="4" w:space="0" w:color="auto"/>
              <w:left w:val="single" w:sz="4" w:space="0" w:color="auto"/>
              <w:bottom w:val="single" w:sz="8" w:space="0" w:color="FFFFFF"/>
              <w:right w:val="single" w:sz="8" w:space="0" w:color="FFFFFF"/>
            </w:tcBorders>
          </w:tcPr>
          <w:p w14:paraId="6DFE828B" w14:textId="41A2396B" w:rsidR="00E50693" w:rsidRPr="00147660" w:rsidRDefault="00E50693" w:rsidP="00DF5AFC">
            <w:pPr>
              <w:rPr>
                <w:lang w:eastAsia="da-DK"/>
              </w:rPr>
            </w:pPr>
            <w:r>
              <w:rPr>
                <w:lang w:eastAsia="da-DK"/>
              </w:rPr>
              <w:t>0.4</w:t>
            </w:r>
          </w:p>
        </w:tc>
        <w:tc>
          <w:tcPr>
            <w:tcW w:w="458" w:type="pct"/>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46FE736" w14:textId="6546F3A9" w:rsidR="00E50693" w:rsidRPr="00147660" w:rsidRDefault="00E50693" w:rsidP="00DF5AFC">
            <w:pPr>
              <w:rPr>
                <w:rFonts w:eastAsia="Times New Roman"/>
                <w:lang w:eastAsia="da-DK"/>
              </w:rPr>
            </w:pPr>
            <w:r w:rsidRPr="00147660">
              <w:rPr>
                <w:lang w:eastAsia="da-DK"/>
              </w:rPr>
              <w:t>0.33</w:t>
            </w:r>
          </w:p>
        </w:tc>
        <w:tc>
          <w:tcPr>
            <w:tcW w:w="655" w:type="pct"/>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7405C59A" w14:textId="77777777" w:rsidR="00E50693" w:rsidRPr="00147660" w:rsidRDefault="00E50693" w:rsidP="00DF5AFC">
            <w:pPr>
              <w:rPr>
                <w:rFonts w:eastAsia="Times New Roman"/>
                <w:lang w:eastAsia="da-DK"/>
              </w:rPr>
            </w:pPr>
            <w:r w:rsidRPr="00147660">
              <w:rPr>
                <w:lang w:eastAsia="da-DK"/>
              </w:rPr>
              <w:t>0.49</w:t>
            </w:r>
          </w:p>
        </w:tc>
        <w:tc>
          <w:tcPr>
            <w:tcW w:w="655" w:type="pct"/>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1C7A8D9F" w14:textId="77777777" w:rsidR="00E50693" w:rsidRPr="00147660" w:rsidRDefault="00E50693" w:rsidP="00DF5AFC">
            <w:pPr>
              <w:rPr>
                <w:rFonts w:eastAsia="Times New Roman"/>
                <w:lang w:eastAsia="da-DK"/>
              </w:rPr>
            </w:pPr>
            <w:r w:rsidRPr="00147660">
              <w:rPr>
                <w:lang w:eastAsia="da-DK"/>
              </w:rPr>
              <w:t>0.22</w:t>
            </w:r>
          </w:p>
        </w:tc>
        <w:tc>
          <w:tcPr>
            <w:tcW w:w="624" w:type="pct"/>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497DD29" w14:textId="77777777" w:rsidR="00E50693" w:rsidRPr="00147660" w:rsidRDefault="00E50693" w:rsidP="00DF5AFC">
            <w:pPr>
              <w:rPr>
                <w:rFonts w:eastAsia="Times New Roman"/>
                <w:lang w:eastAsia="da-DK"/>
              </w:rPr>
            </w:pPr>
            <w:r w:rsidRPr="00147660">
              <w:rPr>
                <w:lang w:eastAsia="da-DK"/>
              </w:rPr>
              <w:t>0.39</w:t>
            </w:r>
          </w:p>
        </w:tc>
        <w:tc>
          <w:tcPr>
            <w:tcW w:w="711" w:type="pct"/>
            <w:tcBorders>
              <w:top w:val="single" w:sz="4" w:space="0" w:color="auto"/>
              <w:left w:val="single" w:sz="8" w:space="0" w:color="FFFFFF"/>
              <w:bottom w:val="single" w:sz="8" w:space="0" w:color="FFFFFF"/>
              <w:right w:val="single" w:sz="8" w:space="0" w:color="FFFFFF"/>
            </w:tcBorders>
          </w:tcPr>
          <w:p w14:paraId="5F577273" w14:textId="08DB52E4" w:rsidR="00E50693" w:rsidRPr="00147660" w:rsidRDefault="00E50693" w:rsidP="00DF5AFC">
            <w:pPr>
              <w:rPr>
                <w:lang w:eastAsia="da-DK"/>
              </w:rPr>
            </w:pPr>
            <w:r>
              <w:rPr>
                <w:lang w:eastAsia="da-DK"/>
              </w:rPr>
              <w:t>165 000</w:t>
            </w:r>
          </w:p>
        </w:tc>
        <w:tc>
          <w:tcPr>
            <w:tcW w:w="569" w:type="pct"/>
            <w:tcBorders>
              <w:top w:val="single" w:sz="4" w:space="0" w:color="auto"/>
              <w:left w:val="single" w:sz="8" w:space="0" w:color="FFFFFF"/>
              <w:bottom w:val="single" w:sz="8" w:space="0" w:color="FFFFFF"/>
              <w:right w:val="single" w:sz="8" w:space="0" w:color="FFFFFF"/>
            </w:tcBorders>
          </w:tcPr>
          <w:p w14:paraId="0895695B" w14:textId="145D435A" w:rsidR="00E50693" w:rsidRPr="00147660" w:rsidRDefault="00E50693" w:rsidP="00DF5AFC">
            <w:pPr>
              <w:rPr>
                <w:lang w:eastAsia="da-DK"/>
              </w:rPr>
            </w:pPr>
            <w:r>
              <w:rPr>
                <w:lang w:eastAsia="da-DK"/>
              </w:rPr>
              <w:t>118 000</w:t>
            </w:r>
          </w:p>
        </w:tc>
      </w:tr>
      <w:tr w:rsidR="004B4822" w:rsidRPr="00147660" w14:paraId="49CB691E" w14:textId="66F78AF8" w:rsidTr="008E6A06">
        <w:trPr>
          <w:trHeight w:val="584"/>
        </w:trPr>
        <w:tc>
          <w:tcPr>
            <w:tcW w:w="698" w:type="pct"/>
            <w:tcBorders>
              <w:top w:val="single" w:sz="8" w:space="0" w:color="FFFFFF"/>
              <w:left w:val="single" w:sz="8" w:space="0" w:color="FFFFFF"/>
              <w:bottom w:val="single" w:sz="8" w:space="0" w:color="FFFFFF"/>
              <w:right w:val="single" w:sz="4" w:space="0" w:color="auto"/>
            </w:tcBorders>
            <w:shd w:val="clear" w:color="auto" w:fill="auto"/>
            <w:tcMar>
              <w:top w:w="72" w:type="dxa"/>
              <w:left w:w="144" w:type="dxa"/>
              <w:bottom w:w="72" w:type="dxa"/>
              <w:right w:w="144" w:type="dxa"/>
            </w:tcMar>
            <w:hideMark/>
          </w:tcPr>
          <w:p w14:paraId="7E962F90" w14:textId="77777777" w:rsidR="00E50693" w:rsidRPr="00147660" w:rsidRDefault="00E50693" w:rsidP="00DF5AFC">
            <w:pPr>
              <w:rPr>
                <w:rFonts w:eastAsia="Times New Roman"/>
                <w:lang w:eastAsia="da-DK"/>
              </w:rPr>
            </w:pPr>
            <w:r w:rsidRPr="00147660">
              <w:rPr>
                <w:lang w:eastAsia="da-DK"/>
              </w:rPr>
              <w:t>HADDOCK</w:t>
            </w:r>
          </w:p>
        </w:tc>
        <w:tc>
          <w:tcPr>
            <w:tcW w:w="629" w:type="pct"/>
            <w:tcBorders>
              <w:top w:val="single" w:sz="8" w:space="0" w:color="FFFFFF"/>
              <w:left w:val="single" w:sz="4" w:space="0" w:color="auto"/>
              <w:bottom w:val="single" w:sz="8" w:space="0" w:color="FFFFFF"/>
              <w:right w:val="single" w:sz="8" w:space="0" w:color="FFFFFF"/>
            </w:tcBorders>
          </w:tcPr>
          <w:p w14:paraId="39BB1D2D" w14:textId="07818C1A" w:rsidR="00E50693" w:rsidRPr="00147660" w:rsidRDefault="00E50693" w:rsidP="00DF5AFC">
            <w:pPr>
              <w:rPr>
                <w:lang w:eastAsia="da-DK"/>
              </w:rPr>
            </w:pPr>
            <w:r>
              <w:rPr>
                <w:lang w:eastAsia="da-DK"/>
              </w:rPr>
              <w:t>0.3</w:t>
            </w:r>
          </w:p>
        </w:tc>
        <w:tc>
          <w:tcPr>
            <w:tcW w:w="458"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62AB9322" w14:textId="57E2FAC4" w:rsidR="00E50693" w:rsidRPr="00147660" w:rsidRDefault="00E50693" w:rsidP="00DF5AFC">
            <w:pPr>
              <w:rPr>
                <w:rFonts w:eastAsia="Times New Roman"/>
                <w:lang w:eastAsia="da-DK"/>
              </w:rPr>
            </w:pPr>
            <w:r w:rsidRPr="00147660">
              <w:rPr>
                <w:lang w:eastAsia="da-DK"/>
              </w:rPr>
              <w:t>0.37</w:t>
            </w:r>
          </w:p>
        </w:tc>
        <w:tc>
          <w:tcPr>
            <w:tcW w:w="655"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6B3867E0" w14:textId="4752B3F6" w:rsidR="00E50693" w:rsidRPr="00147660" w:rsidRDefault="002F1F26" w:rsidP="00DF5AFC">
            <w:pPr>
              <w:rPr>
                <w:rFonts w:eastAsia="Times New Roman"/>
                <w:lang w:eastAsia="da-DK"/>
              </w:rPr>
            </w:pPr>
            <w:r>
              <w:rPr>
                <w:lang w:eastAsia="da-DK"/>
              </w:rPr>
              <w:t>0.52</w:t>
            </w:r>
          </w:p>
        </w:tc>
        <w:tc>
          <w:tcPr>
            <w:tcW w:w="655"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6DF5E51F" w14:textId="77777777" w:rsidR="00E50693" w:rsidRPr="00147660" w:rsidRDefault="00E50693" w:rsidP="00DF5AFC">
            <w:pPr>
              <w:rPr>
                <w:rFonts w:eastAsia="Times New Roman"/>
                <w:lang w:eastAsia="da-DK"/>
              </w:rPr>
            </w:pPr>
            <w:r w:rsidRPr="00147660">
              <w:rPr>
                <w:lang w:eastAsia="da-DK"/>
              </w:rPr>
              <w:t>0.25</w:t>
            </w:r>
          </w:p>
        </w:tc>
        <w:tc>
          <w:tcPr>
            <w:tcW w:w="624"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0D63D412" w14:textId="77777777" w:rsidR="00E50693" w:rsidRPr="00147660" w:rsidRDefault="00E50693" w:rsidP="00DF5AFC">
            <w:pPr>
              <w:rPr>
                <w:rFonts w:eastAsia="Times New Roman"/>
                <w:lang w:eastAsia="da-DK"/>
              </w:rPr>
            </w:pPr>
            <w:r w:rsidRPr="00147660">
              <w:rPr>
                <w:lang w:eastAsia="da-DK"/>
              </w:rPr>
              <w:t>0.24</w:t>
            </w:r>
          </w:p>
        </w:tc>
        <w:tc>
          <w:tcPr>
            <w:tcW w:w="711" w:type="pct"/>
            <w:tcBorders>
              <w:top w:val="single" w:sz="8" w:space="0" w:color="FFFFFF"/>
              <w:left w:val="single" w:sz="8" w:space="0" w:color="FFFFFF"/>
              <w:bottom w:val="single" w:sz="8" w:space="0" w:color="FFFFFF"/>
              <w:right w:val="single" w:sz="8" w:space="0" w:color="FFFFFF"/>
            </w:tcBorders>
          </w:tcPr>
          <w:p w14:paraId="6724C97F" w14:textId="6107A1EF" w:rsidR="00E50693" w:rsidRPr="00147660" w:rsidRDefault="00E50693" w:rsidP="00DF5AFC">
            <w:pPr>
              <w:rPr>
                <w:lang w:eastAsia="da-DK"/>
              </w:rPr>
            </w:pPr>
            <w:r>
              <w:rPr>
                <w:lang w:eastAsia="da-DK"/>
              </w:rPr>
              <w:t>88 000</w:t>
            </w:r>
          </w:p>
        </w:tc>
        <w:tc>
          <w:tcPr>
            <w:tcW w:w="569" w:type="pct"/>
            <w:tcBorders>
              <w:top w:val="single" w:sz="8" w:space="0" w:color="FFFFFF"/>
              <w:left w:val="single" w:sz="8" w:space="0" w:color="FFFFFF"/>
              <w:bottom w:val="single" w:sz="8" w:space="0" w:color="FFFFFF"/>
              <w:right w:val="single" w:sz="8" w:space="0" w:color="FFFFFF"/>
            </w:tcBorders>
          </w:tcPr>
          <w:p w14:paraId="419B2DCD" w14:textId="58EDA30B" w:rsidR="00E50693" w:rsidRPr="00147660" w:rsidRDefault="00E50693" w:rsidP="00DF5AFC">
            <w:pPr>
              <w:rPr>
                <w:lang w:eastAsia="da-DK"/>
              </w:rPr>
            </w:pPr>
            <w:r>
              <w:rPr>
                <w:lang w:eastAsia="da-DK"/>
              </w:rPr>
              <w:t>63 000</w:t>
            </w:r>
          </w:p>
        </w:tc>
      </w:tr>
      <w:tr w:rsidR="004B4822" w:rsidRPr="00147660" w14:paraId="25EEA0C9" w14:textId="7938E5EA" w:rsidTr="008E6A06">
        <w:trPr>
          <w:trHeight w:val="584"/>
        </w:trPr>
        <w:tc>
          <w:tcPr>
            <w:tcW w:w="698" w:type="pct"/>
            <w:tcBorders>
              <w:top w:val="single" w:sz="8" w:space="0" w:color="FFFFFF"/>
              <w:left w:val="single" w:sz="8" w:space="0" w:color="FFFFFF"/>
              <w:bottom w:val="single" w:sz="8" w:space="0" w:color="FFFFFF"/>
              <w:right w:val="single" w:sz="4" w:space="0" w:color="auto"/>
            </w:tcBorders>
            <w:shd w:val="clear" w:color="auto" w:fill="auto"/>
            <w:tcMar>
              <w:top w:w="72" w:type="dxa"/>
              <w:left w:w="144" w:type="dxa"/>
              <w:bottom w:w="72" w:type="dxa"/>
              <w:right w:w="144" w:type="dxa"/>
            </w:tcMar>
            <w:hideMark/>
          </w:tcPr>
          <w:p w14:paraId="1B8C6EAE" w14:textId="77777777" w:rsidR="00E50693" w:rsidRPr="00147660" w:rsidRDefault="00E50693" w:rsidP="00DF5AFC">
            <w:pPr>
              <w:rPr>
                <w:rFonts w:eastAsia="Times New Roman"/>
                <w:lang w:eastAsia="da-DK"/>
              </w:rPr>
            </w:pPr>
            <w:r w:rsidRPr="00147660">
              <w:rPr>
                <w:lang w:eastAsia="da-DK"/>
              </w:rPr>
              <w:t>PLAICE</w:t>
            </w:r>
          </w:p>
        </w:tc>
        <w:tc>
          <w:tcPr>
            <w:tcW w:w="629" w:type="pct"/>
            <w:tcBorders>
              <w:top w:val="single" w:sz="8" w:space="0" w:color="FFFFFF"/>
              <w:left w:val="single" w:sz="4" w:space="0" w:color="auto"/>
              <w:bottom w:val="single" w:sz="8" w:space="0" w:color="FFFFFF"/>
              <w:right w:val="single" w:sz="8" w:space="0" w:color="FFFFFF"/>
            </w:tcBorders>
          </w:tcPr>
          <w:p w14:paraId="739C710C" w14:textId="0FE866D6" w:rsidR="00E50693" w:rsidRPr="00147660" w:rsidRDefault="00E50693" w:rsidP="00DF5AFC">
            <w:pPr>
              <w:rPr>
                <w:lang w:eastAsia="da-DK"/>
              </w:rPr>
            </w:pPr>
            <w:r>
              <w:rPr>
                <w:lang w:eastAsia="da-DK"/>
              </w:rPr>
              <w:t>0.3</w:t>
            </w:r>
          </w:p>
        </w:tc>
        <w:tc>
          <w:tcPr>
            <w:tcW w:w="458"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757EC753" w14:textId="5A5B175F" w:rsidR="00E50693" w:rsidRPr="00147660" w:rsidRDefault="00E50693" w:rsidP="00DF5AFC">
            <w:pPr>
              <w:rPr>
                <w:rFonts w:eastAsia="Times New Roman"/>
                <w:lang w:eastAsia="da-DK"/>
              </w:rPr>
            </w:pPr>
            <w:r w:rsidRPr="00147660">
              <w:rPr>
                <w:lang w:eastAsia="da-DK"/>
              </w:rPr>
              <w:t>0.19</w:t>
            </w:r>
          </w:p>
        </w:tc>
        <w:tc>
          <w:tcPr>
            <w:tcW w:w="655"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1BB1AB3F" w14:textId="77777777" w:rsidR="00E50693" w:rsidRPr="00147660" w:rsidRDefault="00E50693" w:rsidP="00DF5AFC">
            <w:pPr>
              <w:rPr>
                <w:rFonts w:eastAsia="Times New Roman"/>
                <w:lang w:eastAsia="da-DK"/>
              </w:rPr>
            </w:pPr>
            <w:r w:rsidRPr="00147660">
              <w:rPr>
                <w:lang w:eastAsia="da-DK"/>
              </w:rPr>
              <w:t>0.27</w:t>
            </w:r>
          </w:p>
        </w:tc>
        <w:tc>
          <w:tcPr>
            <w:tcW w:w="655"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0A035F8A" w14:textId="77777777" w:rsidR="00E50693" w:rsidRPr="00147660" w:rsidRDefault="00E50693" w:rsidP="00DF5AFC">
            <w:pPr>
              <w:rPr>
                <w:rFonts w:eastAsia="Times New Roman"/>
                <w:lang w:eastAsia="da-DK"/>
              </w:rPr>
            </w:pPr>
            <w:r w:rsidRPr="00147660">
              <w:rPr>
                <w:lang w:eastAsia="da-DK"/>
              </w:rPr>
              <w:t>0.13</w:t>
            </w:r>
          </w:p>
        </w:tc>
        <w:tc>
          <w:tcPr>
            <w:tcW w:w="624"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3E74E7D5" w14:textId="77777777" w:rsidR="00E50693" w:rsidRPr="00147660" w:rsidRDefault="00E50693" w:rsidP="00DF5AFC">
            <w:pPr>
              <w:rPr>
                <w:rFonts w:eastAsia="Times New Roman"/>
                <w:lang w:eastAsia="da-DK"/>
              </w:rPr>
            </w:pPr>
            <w:r w:rsidRPr="00147660">
              <w:rPr>
                <w:lang w:eastAsia="da-DK"/>
              </w:rPr>
              <w:t>0.18</w:t>
            </w:r>
          </w:p>
        </w:tc>
        <w:tc>
          <w:tcPr>
            <w:tcW w:w="711" w:type="pct"/>
            <w:tcBorders>
              <w:top w:val="single" w:sz="8" w:space="0" w:color="FFFFFF"/>
              <w:left w:val="single" w:sz="8" w:space="0" w:color="FFFFFF"/>
              <w:bottom w:val="single" w:sz="8" w:space="0" w:color="FFFFFF"/>
              <w:right w:val="single" w:sz="8" w:space="0" w:color="FFFFFF"/>
            </w:tcBorders>
          </w:tcPr>
          <w:p w14:paraId="4FC6B036" w14:textId="7CDC34FF" w:rsidR="00E50693" w:rsidRPr="00147660" w:rsidRDefault="00E50693" w:rsidP="00DF5AFC">
            <w:pPr>
              <w:rPr>
                <w:lang w:eastAsia="da-DK"/>
              </w:rPr>
            </w:pPr>
            <w:r>
              <w:rPr>
                <w:lang w:eastAsia="da-DK"/>
              </w:rPr>
              <w:t>230 000</w:t>
            </w:r>
          </w:p>
        </w:tc>
        <w:tc>
          <w:tcPr>
            <w:tcW w:w="569" w:type="pct"/>
            <w:tcBorders>
              <w:top w:val="single" w:sz="8" w:space="0" w:color="FFFFFF"/>
              <w:left w:val="single" w:sz="8" w:space="0" w:color="FFFFFF"/>
              <w:bottom w:val="single" w:sz="8" w:space="0" w:color="FFFFFF"/>
              <w:right w:val="single" w:sz="8" w:space="0" w:color="FFFFFF"/>
            </w:tcBorders>
          </w:tcPr>
          <w:p w14:paraId="16D9370C" w14:textId="2F94C48C" w:rsidR="00E50693" w:rsidRPr="00147660" w:rsidRDefault="00E50693" w:rsidP="00DF5AFC">
            <w:pPr>
              <w:rPr>
                <w:lang w:eastAsia="da-DK"/>
              </w:rPr>
            </w:pPr>
            <w:r>
              <w:rPr>
                <w:lang w:eastAsia="da-DK"/>
              </w:rPr>
              <w:t>160 000</w:t>
            </w:r>
          </w:p>
        </w:tc>
      </w:tr>
      <w:tr w:rsidR="004B4822" w:rsidRPr="00147660" w14:paraId="71B51DE5" w14:textId="2621968F" w:rsidTr="008E6A06">
        <w:trPr>
          <w:trHeight w:val="584"/>
        </w:trPr>
        <w:tc>
          <w:tcPr>
            <w:tcW w:w="698" w:type="pct"/>
            <w:tcBorders>
              <w:top w:val="single" w:sz="8" w:space="0" w:color="FFFFFF"/>
              <w:left w:val="single" w:sz="8" w:space="0" w:color="FFFFFF"/>
              <w:bottom w:val="single" w:sz="8" w:space="0" w:color="FFFFFF"/>
              <w:right w:val="single" w:sz="4" w:space="0" w:color="auto"/>
            </w:tcBorders>
            <w:shd w:val="clear" w:color="auto" w:fill="auto"/>
            <w:tcMar>
              <w:top w:w="72" w:type="dxa"/>
              <w:left w:w="144" w:type="dxa"/>
              <w:bottom w:w="72" w:type="dxa"/>
              <w:right w:w="144" w:type="dxa"/>
            </w:tcMar>
            <w:hideMark/>
          </w:tcPr>
          <w:p w14:paraId="4E9B00A8" w14:textId="77777777" w:rsidR="00E50693" w:rsidRPr="00147660" w:rsidRDefault="00E50693" w:rsidP="00DF5AFC">
            <w:pPr>
              <w:rPr>
                <w:rFonts w:eastAsia="Times New Roman"/>
                <w:lang w:eastAsia="da-DK"/>
              </w:rPr>
            </w:pPr>
            <w:r w:rsidRPr="00147660">
              <w:rPr>
                <w:lang w:eastAsia="da-DK"/>
              </w:rPr>
              <w:t>SAITHE</w:t>
            </w:r>
          </w:p>
        </w:tc>
        <w:tc>
          <w:tcPr>
            <w:tcW w:w="629" w:type="pct"/>
            <w:tcBorders>
              <w:top w:val="single" w:sz="8" w:space="0" w:color="FFFFFF"/>
              <w:left w:val="single" w:sz="4" w:space="0" w:color="auto"/>
              <w:bottom w:val="single" w:sz="8" w:space="0" w:color="FFFFFF"/>
              <w:right w:val="single" w:sz="8" w:space="0" w:color="FFFFFF"/>
            </w:tcBorders>
          </w:tcPr>
          <w:p w14:paraId="366556FA" w14:textId="61BDEBB8" w:rsidR="00E50693" w:rsidRPr="00147660" w:rsidRDefault="00E50693" w:rsidP="00DF5AFC">
            <w:pPr>
              <w:rPr>
                <w:lang w:eastAsia="da-DK"/>
              </w:rPr>
            </w:pPr>
            <w:r>
              <w:rPr>
                <w:lang w:eastAsia="da-DK"/>
              </w:rPr>
              <w:t>0.3</w:t>
            </w:r>
          </w:p>
        </w:tc>
        <w:tc>
          <w:tcPr>
            <w:tcW w:w="458"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B750B5E" w14:textId="53A9DBE2" w:rsidR="00E50693" w:rsidRPr="00147660" w:rsidRDefault="00E50693" w:rsidP="00DF5AFC">
            <w:pPr>
              <w:rPr>
                <w:rFonts w:eastAsia="Times New Roman"/>
                <w:lang w:eastAsia="da-DK"/>
              </w:rPr>
            </w:pPr>
            <w:r w:rsidRPr="00147660">
              <w:rPr>
                <w:lang w:eastAsia="da-DK"/>
              </w:rPr>
              <w:t>0.32</w:t>
            </w:r>
          </w:p>
        </w:tc>
        <w:tc>
          <w:tcPr>
            <w:tcW w:w="655"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4441E2ED" w14:textId="3C3A9C3C" w:rsidR="00E50693" w:rsidRPr="00147660" w:rsidRDefault="002F1F26" w:rsidP="00DF5AFC">
            <w:pPr>
              <w:rPr>
                <w:rFonts w:eastAsia="Times New Roman"/>
                <w:lang w:eastAsia="da-DK"/>
              </w:rPr>
            </w:pPr>
            <w:r>
              <w:rPr>
                <w:lang w:eastAsia="da-DK"/>
              </w:rPr>
              <w:t>0.43</w:t>
            </w:r>
          </w:p>
        </w:tc>
        <w:tc>
          <w:tcPr>
            <w:tcW w:w="655"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EAB6668" w14:textId="77777777" w:rsidR="00E50693" w:rsidRPr="00147660" w:rsidRDefault="00E50693" w:rsidP="00DF5AFC">
            <w:pPr>
              <w:rPr>
                <w:rFonts w:eastAsia="Times New Roman"/>
                <w:lang w:eastAsia="da-DK"/>
              </w:rPr>
            </w:pPr>
            <w:r w:rsidRPr="00147660">
              <w:rPr>
                <w:lang w:eastAsia="da-DK"/>
              </w:rPr>
              <w:t>0.20</w:t>
            </w:r>
          </w:p>
        </w:tc>
        <w:tc>
          <w:tcPr>
            <w:tcW w:w="624"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00846220" w14:textId="77777777" w:rsidR="00E50693" w:rsidRPr="00147660" w:rsidRDefault="00E50693" w:rsidP="00DF5AFC">
            <w:pPr>
              <w:rPr>
                <w:rFonts w:eastAsia="Times New Roman"/>
                <w:lang w:eastAsia="da-DK"/>
              </w:rPr>
            </w:pPr>
            <w:r w:rsidRPr="00147660">
              <w:rPr>
                <w:lang w:eastAsia="da-DK"/>
              </w:rPr>
              <w:t>0.30</w:t>
            </w:r>
          </w:p>
        </w:tc>
        <w:tc>
          <w:tcPr>
            <w:tcW w:w="711" w:type="pct"/>
            <w:tcBorders>
              <w:top w:val="single" w:sz="8" w:space="0" w:color="FFFFFF"/>
              <w:left w:val="single" w:sz="8" w:space="0" w:color="FFFFFF"/>
              <w:bottom w:val="single" w:sz="8" w:space="0" w:color="FFFFFF"/>
              <w:right w:val="single" w:sz="8" w:space="0" w:color="FFFFFF"/>
            </w:tcBorders>
          </w:tcPr>
          <w:p w14:paraId="3189CA81" w14:textId="26EA1F69" w:rsidR="00E50693" w:rsidRPr="00147660" w:rsidRDefault="00E50693" w:rsidP="00DF5AFC">
            <w:pPr>
              <w:rPr>
                <w:lang w:eastAsia="da-DK"/>
              </w:rPr>
            </w:pPr>
            <w:r>
              <w:rPr>
                <w:lang w:eastAsia="da-DK"/>
              </w:rPr>
              <w:t>200 000</w:t>
            </w:r>
          </w:p>
        </w:tc>
        <w:tc>
          <w:tcPr>
            <w:tcW w:w="569" w:type="pct"/>
            <w:tcBorders>
              <w:top w:val="single" w:sz="8" w:space="0" w:color="FFFFFF"/>
              <w:left w:val="single" w:sz="8" w:space="0" w:color="FFFFFF"/>
              <w:bottom w:val="single" w:sz="8" w:space="0" w:color="FFFFFF"/>
              <w:right w:val="single" w:sz="8" w:space="0" w:color="FFFFFF"/>
            </w:tcBorders>
          </w:tcPr>
          <w:p w14:paraId="7199C590" w14:textId="794509BF" w:rsidR="00E50693" w:rsidRPr="00147660" w:rsidRDefault="00E50693" w:rsidP="00DF5AFC">
            <w:pPr>
              <w:rPr>
                <w:lang w:eastAsia="da-DK"/>
              </w:rPr>
            </w:pPr>
            <w:r>
              <w:rPr>
                <w:lang w:eastAsia="da-DK"/>
              </w:rPr>
              <w:t>106 000</w:t>
            </w:r>
          </w:p>
        </w:tc>
      </w:tr>
      <w:tr w:rsidR="004B4822" w:rsidRPr="00147660" w14:paraId="6F5B347E" w14:textId="333D0872" w:rsidTr="008E6A06">
        <w:trPr>
          <w:trHeight w:val="584"/>
        </w:trPr>
        <w:tc>
          <w:tcPr>
            <w:tcW w:w="698" w:type="pct"/>
            <w:tcBorders>
              <w:top w:val="single" w:sz="8" w:space="0" w:color="FFFFFF"/>
              <w:left w:val="single" w:sz="8" w:space="0" w:color="FFFFFF"/>
              <w:bottom w:val="single" w:sz="8" w:space="0" w:color="FFFFFF"/>
              <w:right w:val="single" w:sz="4" w:space="0" w:color="auto"/>
            </w:tcBorders>
            <w:shd w:val="clear" w:color="auto" w:fill="auto"/>
            <w:tcMar>
              <w:top w:w="72" w:type="dxa"/>
              <w:left w:w="144" w:type="dxa"/>
              <w:bottom w:w="72" w:type="dxa"/>
              <w:right w:w="144" w:type="dxa"/>
            </w:tcMar>
            <w:hideMark/>
          </w:tcPr>
          <w:p w14:paraId="4C48C3D7" w14:textId="77777777" w:rsidR="00E50693" w:rsidRPr="00147660" w:rsidRDefault="00E50693" w:rsidP="00DF5AFC">
            <w:pPr>
              <w:rPr>
                <w:rFonts w:eastAsia="Times New Roman"/>
                <w:lang w:eastAsia="da-DK"/>
              </w:rPr>
            </w:pPr>
            <w:r w:rsidRPr="00147660">
              <w:rPr>
                <w:lang w:eastAsia="da-DK"/>
              </w:rPr>
              <w:t>SOLE</w:t>
            </w:r>
          </w:p>
        </w:tc>
        <w:tc>
          <w:tcPr>
            <w:tcW w:w="629" w:type="pct"/>
            <w:tcBorders>
              <w:top w:val="single" w:sz="8" w:space="0" w:color="FFFFFF"/>
              <w:left w:val="single" w:sz="4" w:space="0" w:color="auto"/>
              <w:bottom w:val="single" w:sz="8" w:space="0" w:color="FFFFFF"/>
              <w:right w:val="single" w:sz="8" w:space="0" w:color="FFFFFF"/>
            </w:tcBorders>
          </w:tcPr>
          <w:p w14:paraId="2264B1B3" w14:textId="4E08D2BA" w:rsidR="00E50693" w:rsidRPr="00147660" w:rsidRDefault="00E50693" w:rsidP="00DF5AFC">
            <w:pPr>
              <w:rPr>
                <w:lang w:eastAsia="da-DK"/>
              </w:rPr>
            </w:pPr>
            <w:r>
              <w:rPr>
                <w:lang w:eastAsia="da-DK"/>
              </w:rPr>
              <w:t>0.2</w:t>
            </w:r>
          </w:p>
        </w:tc>
        <w:tc>
          <w:tcPr>
            <w:tcW w:w="458"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1E8DF8D5" w14:textId="68C6818B" w:rsidR="00E50693" w:rsidRPr="00147660" w:rsidRDefault="00E50693" w:rsidP="00DF5AFC">
            <w:pPr>
              <w:rPr>
                <w:rFonts w:eastAsia="Times New Roman"/>
                <w:lang w:eastAsia="da-DK"/>
              </w:rPr>
            </w:pPr>
            <w:r w:rsidRPr="00147660">
              <w:rPr>
                <w:lang w:eastAsia="da-DK"/>
              </w:rPr>
              <w:t>0.2</w:t>
            </w:r>
          </w:p>
        </w:tc>
        <w:tc>
          <w:tcPr>
            <w:tcW w:w="655"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478FC22B" w14:textId="77777777" w:rsidR="00E50693" w:rsidRPr="00147660" w:rsidRDefault="00E50693" w:rsidP="00DF5AFC">
            <w:pPr>
              <w:rPr>
                <w:rFonts w:eastAsia="Times New Roman"/>
                <w:lang w:eastAsia="da-DK"/>
              </w:rPr>
            </w:pPr>
            <w:r w:rsidRPr="00147660">
              <w:rPr>
                <w:lang w:eastAsia="da-DK"/>
              </w:rPr>
              <w:t>0.37</w:t>
            </w:r>
          </w:p>
        </w:tc>
        <w:tc>
          <w:tcPr>
            <w:tcW w:w="655"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7118CDB3" w14:textId="77777777" w:rsidR="00E50693" w:rsidRPr="00147660" w:rsidRDefault="00E50693" w:rsidP="00DF5AFC">
            <w:pPr>
              <w:rPr>
                <w:rFonts w:eastAsia="Times New Roman"/>
                <w:lang w:eastAsia="da-DK"/>
              </w:rPr>
            </w:pPr>
            <w:r w:rsidRPr="00147660">
              <w:rPr>
                <w:lang w:eastAsia="da-DK"/>
              </w:rPr>
              <w:t>0.11</w:t>
            </w:r>
          </w:p>
        </w:tc>
        <w:tc>
          <w:tcPr>
            <w:tcW w:w="624"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5F984350" w14:textId="77777777" w:rsidR="00E50693" w:rsidRPr="00147660" w:rsidRDefault="00E50693" w:rsidP="00DF5AFC">
            <w:pPr>
              <w:rPr>
                <w:rFonts w:eastAsia="Times New Roman"/>
                <w:lang w:eastAsia="da-DK"/>
              </w:rPr>
            </w:pPr>
            <w:r w:rsidRPr="00147660">
              <w:rPr>
                <w:lang w:eastAsia="da-DK"/>
              </w:rPr>
              <w:t>0.25</w:t>
            </w:r>
          </w:p>
        </w:tc>
        <w:tc>
          <w:tcPr>
            <w:tcW w:w="711" w:type="pct"/>
            <w:tcBorders>
              <w:top w:val="single" w:sz="8" w:space="0" w:color="FFFFFF"/>
              <w:left w:val="single" w:sz="8" w:space="0" w:color="FFFFFF"/>
              <w:bottom w:val="single" w:sz="8" w:space="0" w:color="FFFFFF"/>
              <w:right w:val="single" w:sz="8" w:space="0" w:color="FFFFFF"/>
            </w:tcBorders>
          </w:tcPr>
          <w:p w14:paraId="0EE4BEC2" w14:textId="7EC3D3E3" w:rsidR="00E50693" w:rsidRPr="00147660" w:rsidRDefault="00E50693" w:rsidP="00DF5AFC">
            <w:pPr>
              <w:rPr>
                <w:lang w:eastAsia="da-DK"/>
              </w:rPr>
            </w:pPr>
            <w:r>
              <w:rPr>
                <w:lang w:eastAsia="da-DK"/>
              </w:rPr>
              <w:t>37 000</w:t>
            </w:r>
          </w:p>
        </w:tc>
        <w:tc>
          <w:tcPr>
            <w:tcW w:w="569" w:type="pct"/>
            <w:tcBorders>
              <w:top w:val="single" w:sz="8" w:space="0" w:color="FFFFFF"/>
              <w:left w:val="single" w:sz="8" w:space="0" w:color="FFFFFF"/>
              <w:bottom w:val="single" w:sz="8" w:space="0" w:color="FFFFFF"/>
              <w:right w:val="single" w:sz="8" w:space="0" w:color="FFFFFF"/>
            </w:tcBorders>
          </w:tcPr>
          <w:p w14:paraId="4779BCE1" w14:textId="6893CAE3" w:rsidR="00E50693" w:rsidRPr="00147660" w:rsidRDefault="00E50693" w:rsidP="00DF5AFC">
            <w:pPr>
              <w:rPr>
                <w:lang w:eastAsia="da-DK"/>
              </w:rPr>
            </w:pPr>
            <w:r>
              <w:rPr>
                <w:lang w:eastAsia="da-DK"/>
              </w:rPr>
              <w:t>25 000</w:t>
            </w:r>
          </w:p>
        </w:tc>
      </w:tr>
    </w:tbl>
    <w:p w14:paraId="2A6E2E21" w14:textId="759D473D" w:rsidR="00CF471D" w:rsidRDefault="002F1F26" w:rsidP="00192214">
      <w:pPr>
        <w:pStyle w:val="Billedtekst"/>
      </w:pPr>
      <w:bookmarkStart w:id="4" w:name="_Ref441830138"/>
      <w:r w:rsidRPr="00192214">
        <w:t xml:space="preserve">Table </w:t>
      </w:r>
      <w:r w:rsidRPr="00192214">
        <w:fldChar w:fldCharType="begin"/>
      </w:r>
      <w:r w:rsidRPr="00192214">
        <w:instrText xml:space="preserve"> SEQ Table \* ARABIC </w:instrText>
      </w:r>
      <w:r w:rsidRPr="00192214">
        <w:fldChar w:fldCharType="separate"/>
      </w:r>
      <w:r w:rsidR="008E6A06">
        <w:rPr>
          <w:noProof/>
        </w:rPr>
        <w:t>1</w:t>
      </w:r>
      <w:r w:rsidRPr="00192214">
        <w:fldChar w:fldCharType="end"/>
      </w:r>
      <w:bookmarkEnd w:id="4"/>
      <w:r w:rsidRPr="00192214">
        <w:t>. Current management target, F</w:t>
      </w:r>
      <w:r w:rsidR="00521B61" w:rsidRPr="00521B61">
        <w:rPr>
          <w:vertAlign w:val="subscript"/>
        </w:rPr>
        <w:t>MSY</w:t>
      </w:r>
      <w:r w:rsidRPr="00192214">
        <w:t>, MSY F</w:t>
      </w:r>
      <w:r w:rsidR="00521B61" w:rsidRPr="00521B61">
        <w:rPr>
          <w:vertAlign w:val="subscript"/>
        </w:rPr>
        <w:t>upper</w:t>
      </w:r>
      <w:r w:rsidRPr="00192214">
        <w:t>, MSY F</w:t>
      </w:r>
      <w:r w:rsidR="00521B61" w:rsidRPr="00521B61">
        <w:rPr>
          <w:vertAlign w:val="subscript"/>
        </w:rPr>
        <w:t>lower</w:t>
      </w:r>
      <w:r w:rsidRPr="00192214">
        <w:t xml:space="preserve"> for the five North Sea demersal stocks </w:t>
      </w:r>
      <w:r w:rsidR="00192214">
        <w:fldChar w:fldCharType="begin" w:fldLock="1"/>
      </w:r>
      <w:r w:rsidR="00873E7A">
        <w:instrText>ADDIN CSL_CITATION { "citationItems" : [ { "id" : "ITEM-1", "itemData" : { "author" : [ { "dropping-particle" : "", "family" : "ICES", "given" : "", "non-dropping-particle" : "", "parse-names" : false, "suffix" : "" } ], "chapter-number" : "6.2.3.1", "container-title" : "ICES Advice 2015, Book 6", "id" : "ITEM-1", "issued" : { "date-parts" : [ [ "2015" ] ] }, "page" : "11 pp", "title" : "EU request to ICES to provide FMSY ranges for selected North Sea and Baltic Sea stocks", "type" : "chapter" }, "uris" : [ "http://www.mendeley.com/documents/?uuid=ae0bd13c-71f1-490b-9ac5-2788508df8fb" ] } ], "mendeley" : { "formattedCitation" : "(ICES, 2015b)", "plainTextFormattedCitation" : "(ICES, 2015b)", "previouslyFormattedCitation" : "(ICES 2015b)" }, "properties" : { "noteIndex" : 0 }, "schema" : "https://github.com/citation-style-language/schema/raw/master/csl-citation.json" }</w:instrText>
      </w:r>
      <w:r w:rsidR="00192214">
        <w:fldChar w:fldCharType="separate"/>
      </w:r>
      <w:r w:rsidR="00873E7A" w:rsidRPr="00873E7A">
        <w:rPr>
          <w:noProof/>
        </w:rPr>
        <w:t>(ICES, 2015b)</w:t>
      </w:r>
      <w:r w:rsidR="00192214">
        <w:fldChar w:fldCharType="end"/>
      </w:r>
      <w:r w:rsidRPr="00192214">
        <w:t xml:space="preserve">, biomass reference points and current fishing mortality from the latest assessment </w:t>
      </w:r>
      <w:r w:rsidR="00192214">
        <w:fldChar w:fldCharType="begin" w:fldLock="1"/>
      </w:r>
      <w:r w:rsidR="00873E7A">
        <w:instrText>ADDIN CSL_CITATION { "citationItems" : [ { "id" : "ITEM-1", "itemData" : { "DOI" : "ICES CM 2015/ACOM:13", "author" : [ { "dropping-particle" : "", "family" : "ICES", "given" : "", "non-dropping-particle" : "", "parse-names" : false, "suffix" : "" } ], "id" : "ITEM-1", "issued" : { "date-parts" : [ [ "2015" ] ] }, "number-of-pages" : "1182 pp", "publisher-place" : "Copenhagen, Denmark", "title" : "Report of the Working Group on the Assessment of Demersal Stocks in the North Sea and Skagerrak (WGNSSK), 28 April-7 May 2015", "type" : "report" }, "uris" : [ "http://www.mendeley.com/documents/?uuid=8ebb22d1-b22b-46da-8aa4-0354eefb9c66" ] } ], "mendeley" : { "formattedCitation" : "(ICES, 2015g)", "plainTextFormattedCitation" : "(ICES, 2015g)", "previouslyFormattedCitation" : "(ICES 2015g)" }, "properties" : { "noteIndex" : 0 }, "schema" : "https://github.com/citation-style-language/schema/raw/master/csl-citation.json" }</w:instrText>
      </w:r>
      <w:r w:rsidR="00192214">
        <w:fldChar w:fldCharType="separate"/>
      </w:r>
      <w:r w:rsidR="00873E7A" w:rsidRPr="00873E7A">
        <w:rPr>
          <w:noProof/>
        </w:rPr>
        <w:t>(ICES, 2015g)</w:t>
      </w:r>
      <w:r w:rsidR="00192214">
        <w:fldChar w:fldCharType="end"/>
      </w:r>
    </w:p>
    <w:p w14:paraId="77C58F45" w14:textId="77777777" w:rsidR="00CF471D" w:rsidRDefault="00CF471D">
      <w:pPr>
        <w:spacing w:line="276" w:lineRule="auto"/>
        <w:rPr>
          <w:bCs/>
        </w:rPr>
      </w:pPr>
      <w:r>
        <w:br w:type="page"/>
      </w:r>
    </w:p>
    <w:tbl>
      <w:tblPr>
        <w:tblW w:w="9941" w:type="dxa"/>
        <w:tblInd w:w="78" w:type="dxa"/>
        <w:tblLayout w:type="fixed"/>
        <w:tblLook w:val="0000" w:firstRow="0" w:lastRow="0" w:firstColumn="0" w:lastColumn="0" w:noHBand="0" w:noVBand="0"/>
      </w:tblPr>
      <w:tblGrid>
        <w:gridCol w:w="1754"/>
        <w:gridCol w:w="2782"/>
        <w:gridCol w:w="1164"/>
        <w:gridCol w:w="1118"/>
        <w:gridCol w:w="1443"/>
        <w:gridCol w:w="1680"/>
      </w:tblGrid>
      <w:tr w:rsidR="00CF471D" w:rsidRPr="00CF471D" w14:paraId="55BB6AE7" w14:textId="77777777" w:rsidTr="00F50C72">
        <w:trPr>
          <w:trHeight w:val="290"/>
        </w:trPr>
        <w:tc>
          <w:tcPr>
            <w:tcW w:w="1754" w:type="dxa"/>
            <w:tcBorders>
              <w:top w:val="single" w:sz="4" w:space="0" w:color="auto"/>
              <w:left w:val="single" w:sz="4" w:space="0" w:color="auto"/>
              <w:bottom w:val="single" w:sz="4" w:space="0" w:color="auto"/>
              <w:right w:val="single" w:sz="4" w:space="0" w:color="auto"/>
            </w:tcBorders>
          </w:tcPr>
          <w:p w14:paraId="4E6874A9" w14:textId="77777777" w:rsidR="00CF471D" w:rsidRPr="00CF471D" w:rsidRDefault="00CF471D">
            <w:pPr>
              <w:autoSpaceDE w:val="0"/>
              <w:autoSpaceDN w:val="0"/>
              <w:adjustRightInd w:val="0"/>
              <w:spacing w:after="0" w:line="240" w:lineRule="auto"/>
              <w:rPr>
                <w:color w:val="000000"/>
              </w:rPr>
            </w:pPr>
            <w:r w:rsidRPr="00CF471D">
              <w:rPr>
                <w:color w:val="000000"/>
              </w:rPr>
              <w:lastRenderedPageBreak/>
              <w:t>Analysis type</w:t>
            </w:r>
          </w:p>
        </w:tc>
        <w:tc>
          <w:tcPr>
            <w:tcW w:w="2782" w:type="dxa"/>
            <w:tcBorders>
              <w:top w:val="single" w:sz="4" w:space="0" w:color="auto"/>
              <w:left w:val="single" w:sz="4" w:space="0" w:color="auto"/>
              <w:bottom w:val="single" w:sz="4" w:space="0" w:color="auto"/>
              <w:right w:val="single" w:sz="4" w:space="0" w:color="auto"/>
            </w:tcBorders>
          </w:tcPr>
          <w:p w14:paraId="18505429" w14:textId="77777777" w:rsidR="00CF471D" w:rsidRPr="00CF471D" w:rsidRDefault="00CF471D">
            <w:pPr>
              <w:autoSpaceDE w:val="0"/>
              <w:autoSpaceDN w:val="0"/>
              <w:adjustRightInd w:val="0"/>
              <w:spacing w:after="0" w:line="240" w:lineRule="auto"/>
              <w:rPr>
                <w:color w:val="000000"/>
              </w:rPr>
            </w:pPr>
            <w:r w:rsidRPr="00CF471D">
              <w:rPr>
                <w:color w:val="000000"/>
              </w:rPr>
              <w:t>Simulation type</w:t>
            </w:r>
          </w:p>
        </w:tc>
        <w:tc>
          <w:tcPr>
            <w:tcW w:w="1164" w:type="dxa"/>
            <w:tcBorders>
              <w:top w:val="single" w:sz="4" w:space="0" w:color="auto"/>
              <w:left w:val="single" w:sz="4" w:space="0" w:color="auto"/>
              <w:bottom w:val="single" w:sz="4" w:space="0" w:color="auto"/>
              <w:right w:val="single" w:sz="4" w:space="0" w:color="auto"/>
            </w:tcBorders>
          </w:tcPr>
          <w:p w14:paraId="5CB9576C" w14:textId="77777777" w:rsidR="00CF471D" w:rsidRPr="00CF471D" w:rsidRDefault="00CF471D">
            <w:pPr>
              <w:autoSpaceDE w:val="0"/>
              <w:autoSpaceDN w:val="0"/>
              <w:adjustRightInd w:val="0"/>
              <w:spacing w:after="0" w:line="240" w:lineRule="auto"/>
              <w:rPr>
                <w:color w:val="000000"/>
              </w:rPr>
            </w:pPr>
            <w:r w:rsidRPr="00CF471D">
              <w:rPr>
                <w:color w:val="000000"/>
              </w:rPr>
              <w:t>Projected years</w:t>
            </w:r>
          </w:p>
        </w:tc>
        <w:tc>
          <w:tcPr>
            <w:tcW w:w="1118" w:type="dxa"/>
            <w:tcBorders>
              <w:top w:val="single" w:sz="4" w:space="0" w:color="auto"/>
              <w:left w:val="single" w:sz="4" w:space="0" w:color="auto"/>
              <w:bottom w:val="single" w:sz="4" w:space="0" w:color="auto"/>
              <w:right w:val="single" w:sz="4" w:space="0" w:color="auto"/>
            </w:tcBorders>
          </w:tcPr>
          <w:p w14:paraId="4D5BC2B8" w14:textId="77777777" w:rsidR="00CF471D" w:rsidRPr="00CF471D" w:rsidRDefault="00CF471D">
            <w:pPr>
              <w:autoSpaceDE w:val="0"/>
              <w:autoSpaceDN w:val="0"/>
              <w:adjustRightInd w:val="0"/>
              <w:spacing w:after="0" w:line="240" w:lineRule="auto"/>
              <w:rPr>
                <w:color w:val="000000"/>
              </w:rPr>
            </w:pPr>
            <w:r w:rsidRPr="00CF471D">
              <w:rPr>
                <w:color w:val="000000"/>
              </w:rPr>
              <w:t>iterations</w:t>
            </w:r>
          </w:p>
        </w:tc>
        <w:tc>
          <w:tcPr>
            <w:tcW w:w="1443" w:type="dxa"/>
            <w:tcBorders>
              <w:top w:val="single" w:sz="4" w:space="0" w:color="auto"/>
              <w:left w:val="single" w:sz="4" w:space="0" w:color="auto"/>
              <w:bottom w:val="single" w:sz="4" w:space="0" w:color="auto"/>
              <w:right w:val="single" w:sz="4" w:space="0" w:color="auto"/>
            </w:tcBorders>
          </w:tcPr>
          <w:p w14:paraId="5449E9AE" w14:textId="77777777" w:rsidR="00CF471D" w:rsidRPr="00CF471D" w:rsidRDefault="00CF471D">
            <w:pPr>
              <w:autoSpaceDE w:val="0"/>
              <w:autoSpaceDN w:val="0"/>
              <w:adjustRightInd w:val="0"/>
              <w:spacing w:after="0" w:line="240" w:lineRule="auto"/>
              <w:rPr>
                <w:color w:val="000000"/>
              </w:rPr>
            </w:pPr>
            <w:r w:rsidRPr="00CF471D">
              <w:rPr>
                <w:color w:val="000000"/>
              </w:rPr>
              <w:t>HCRs</w:t>
            </w:r>
          </w:p>
        </w:tc>
        <w:tc>
          <w:tcPr>
            <w:tcW w:w="1680" w:type="dxa"/>
            <w:tcBorders>
              <w:top w:val="single" w:sz="4" w:space="0" w:color="auto"/>
              <w:left w:val="single" w:sz="4" w:space="0" w:color="auto"/>
              <w:bottom w:val="single" w:sz="4" w:space="0" w:color="auto"/>
              <w:right w:val="single" w:sz="4" w:space="0" w:color="auto"/>
            </w:tcBorders>
          </w:tcPr>
          <w:p w14:paraId="32969413" w14:textId="77777777" w:rsidR="00CF471D" w:rsidRPr="00CF471D" w:rsidRDefault="00CF471D">
            <w:pPr>
              <w:autoSpaceDE w:val="0"/>
              <w:autoSpaceDN w:val="0"/>
              <w:adjustRightInd w:val="0"/>
              <w:spacing w:after="0" w:line="240" w:lineRule="auto"/>
              <w:rPr>
                <w:color w:val="000000"/>
              </w:rPr>
            </w:pPr>
            <w:r w:rsidRPr="00CF471D">
              <w:rPr>
                <w:color w:val="000000"/>
              </w:rPr>
              <w:t>Number of FCube runs</w:t>
            </w:r>
          </w:p>
        </w:tc>
      </w:tr>
      <w:tr w:rsidR="008E6A06" w:rsidRPr="00CF471D" w14:paraId="3548D324" w14:textId="77777777" w:rsidTr="00F50C72">
        <w:trPr>
          <w:trHeight w:val="290"/>
        </w:trPr>
        <w:tc>
          <w:tcPr>
            <w:tcW w:w="1754" w:type="dxa"/>
            <w:vMerge w:val="restart"/>
            <w:tcBorders>
              <w:top w:val="single" w:sz="4" w:space="0" w:color="auto"/>
              <w:left w:val="single" w:sz="4" w:space="0" w:color="auto"/>
              <w:right w:val="single" w:sz="4" w:space="0" w:color="auto"/>
            </w:tcBorders>
          </w:tcPr>
          <w:p w14:paraId="1200FD22" w14:textId="77777777" w:rsidR="008E6A06" w:rsidRPr="00CF471D" w:rsidRDefault="008E6A06">
            <w:pPr>
              <w:autoSpaceDE w:val="0"/>
              <w:autoSpaceDN w:val="0"/>
              <w:adjustRightInd w:val="0"/>
              <w:spacing w:after="0" w:line="240" w:lineRule="auto"/>
              <w:rPr>
                <w:color w:val="000000"/>
              </w:rPr>
            </w:pPr>
            <w:r w:rsidRPr="00CF471D">
              <w:rPr>
                <w:color w:val="000000"/>
              </w:rPr>
              <w:t>Performance of single-stock HCR</w:t>
            </w:r>
          </w:p>
        </w:tc>
        <w:tc>
          <w:tcPr>
            <w:tcW w:w="2782" w:type="dxa"/>
            <w:vMerge w:val="restart"/>
            <w:tcBorders>
              <w:top w:val="single" w:sz="4" w:space="0" w:color="auto"/>
              <w:left w:val="single" w:sz="4" w:space="0" w:color="auto"/>
              <w:right w:val="single" w:sz="4" w:space="0" w:color="auto"/>
            </w:tcBorders>
          </w:tcPr>
          <w:p w14:paraId="4AFBB354" w14:textId="77777777" w:rsidR="008E6A06" w:rsidRPr="00CF471D" w:rsidRDefault="008E6A06">
            <w:pPr>
              <w:autoSpaceDE w:val="0"/>
              <w:autoSpaceDN w:val="0"/>
              <w:adjustRightInd w:val="0"/>
              <w:spacing w:after="0" w:line="240" w:lineRule="auto"/>
              <w:rPr>
                <w:color w:val="000000"/>
              </w:rPr>
            </w:pPr>
            <w:r w:rsidRPr="00CF471D">
              <w:rPr>
                <w:color w:val="000000"/>
              </w:rPr>
              <w:t>Medium term stochastic MSE without technical interactions</w:t>
            </w:r>
          </w:p>
        </w:tc>
        <w:tc>
          <w:tcPr>
            <w:tcW w:w="1164" w:type="dxa"/>
            <w:vMerge w:val="restart"/>
            <w:tcBorders>
              <w:top w:val="single" w:sz="4" w:space="0" w:color="auto"/>
              <w:left w:val="single" w:sz="4" w:space="0" w:color="auto"/>
              <w:right w:val="single" w:sz="4" w:space="0" w:color="auto"/>
            </w:tcBorders>
          </w:tcPr>
          <w:p w14:paraId="351B7D46" w14:textId="77777777" w:rsidR="008E6A06" w:rsidRPr="00CF471D" w:rsidRDefault="008E6A06">
            <w:pPr>
              <w:autoSpaceDE w:val="0"/>
              <w:autoSpaceDN w:val="0"/>
              <w:adjustRightInd w:val="0"/>
              <w:spacing w:after="0" w:line="240" w:lineRule="auto"/>
              <w:rPr>
                <w:color w:val="000000"/>
              </w:rPr>
            </w:pPr>
            <w:r w:rsidRPr="00CF471D">
              <w:rPr>
                <w:color w:val="000000"/>
              </w:rPr>
              <w:t>30 years</w:t>
            </w:r>
          </w:p>
        </w:tc>
        <w:tc>
          <w:tcPr>
            <w:tcW w:w="1118" w:type="dxa"/>
            <w:vMerge w:val="restart"/>
            <w:tcBorders>
              <w:top w:val="single" w:sz="4" w:space="0" w:color="auto"/>
              <w:left w:val="single" w:sz="4" w:space="0" w:color="auto"/>
              <w:right w:val="single" w:sz="4" w:space="0" w:color="auto"/>
            </w:tcBorders>
          </w:tcPr>
          <w:p w14:paraId="7AA1C583" w14:textId="77777777" w:rsidR="008E6A06" w:rsidRPr="00CF471D" w:rsidRDefault="008E6A06">
            <w:pPr>
              <w:autoSpaceDE w:val="0"/>
              <w:autoSpaceDN w:val="0"/>
              <w:adjustRightInd w:val="0"/>
              <w:spacing w:after="0" w:line="240" w:lineRule="auto"/>
              <w:jc w:val="right"/>
              <w:rPr>
                <w:color w:val="000000"/>
              </w:rPr>
            </w:pPr>
            <w:r w:rsidRPr="00CF471D">
              <w:rPr>
                <w:color w:val="000000"/>
              </w:rPr>
              <w:t>200</w:t>
            </w:r>
          </w:p>
        </w:tc>
        <w:tc>
          <w:tcPr>
            <w:tcW w:w="1443" w:type="dxa"/>
            <w:tcBorders>
              <w:top w:val="single" w:sz="4" w:space="0" w:color="auto"/>
              <w:left w:val="single" w:sz="4" w:space="0" w:color="auto"/>
              <w:bottom w:val="single" w:sz="4" w:space="0" w:color="auto"/>
              <w:right w:val="single" w:sz="4" w:space="0" w:color="auto"/>
            </w:tcBorders>
          </w:tcPr>
          <w:p w14:paraId="2B231FB0" w14:textId="77777777" w:rsidR="008E6A06" w:rsidRPr="00CF471D" w:rsidRDefault="008E6A06">
            <w:pPr>
              <w:autoSpaceDE w:val="0"/>
              <w:autoSpaceDN w:val="0"/>
              <w:adjustRightInd w:val="0"/>
              <w:spacing w:after="0" w:line="240" w:lineRule="auto"/>
              <w:rPr>
                <w:color w:val="000000"/>
              </w:rPr>
            </w:pPr>
            <w:r w:rsidRPr="00CF471D">
              <w:rPr>
                <w:color w:val="000000"/>
              </w:rPr>
              <w:t>Current LTMP</w:t>
            </w:r>
          </w:p>
        </w:tc>
        <w:tc>
          <w:tcPr>
            <w:tcW w:w="1680" w:type="dxa"/>
            <w:tcBorders>
              <w:top w:val="single" w:sz="4" w:space="0" w:color="auto"/>
              <w:left w:val="single" w:sz="4" w:space="0" w:color="auto"/>
              <w:bottom w:val="single" w:sz="4" w:space="0" w:color="auto"/>
              <w:right w:val="single" w:sz="4" w:space="0" w:color="auto"/>
            </w:tcBorders>
          </w:tcPr>
          <w:p w14:paraId="7D836865" w14:textId="77777777" w:rsidR="008E6A06" w:rsidRPr="00CF471D" w:rsidRDefault="008E6A06">
            <w:pPr>
              <w:autoSpaceDE w:val="0"/>
              <w:autoSpaceDN w:val="0"/>
              <w:adjustRightInd w:val="0"/>
              <w:spacing w:after="0" w:line="240" w:lineRule="auto"/>
              <w:rPr>
                <w:color w:val="000000"/>
              </w:rPr>
            </w:pPr>
            <w:r w:rsidRPr="00CF471D">
              <w:rPr>
                <w:color w:val="000000"/>
              </w:rPr>
              <w:t>1 (single-stock MSE)</w:t>
            </w:r>
          </w:p>
        </w:tc>
      </w:tr>
      <w:tr w:rsidR="008E6A06" w:rsidRPr="00CF471D" w14:paraId="667EFC91" w14:textId="77777777" w:rsidTr="00F50C72">
        <w:trPr>
          <w:trHeight w:val="290"/>
        </w:trPr>
        <w:tc>
          <w:tcPr>
            <w:tcW w:w="1754" w:type="dxa"/>
            <w:vMerge/>
            <w:tcBorders>
              <w:left w:val="single" w:sz="4" w:space="0" w:color="auto"/>
              <w:right w:val="single" w:sz="4" w:space="0" w:color="auto"/>
            </w:tcBorders>
          </w:tcPr>
          <w:p w14:paraId="45D8EDDC" w14:textId="77777777" w:rsidR="008E6A06" w:rsidRPr="00CF471D" w:rsidRDefault="008E6A06">
            <w:pPr>
              <w:autoSpaceDE w:val="0"/>
              <w:autoSpaceDN w:val="0"/>
              <w:adjustRightInd w:val="0"/>
              <w:spacing w:after="0" w:line="240" w:lineRule="auto"/>
              <w:jc w:val="right"/>
              <w:rPr>
                <w:color w:val="000000"/>
              </w:rPr>
            </w:pPr>
          </w:p>
        </w:tc>
        <w:tc>
          <w:tcPr>
            <w:tcW w:w="2782" w:type="dxa"/>
            <w:vMerge/>
            <w:tcBorders>
              <w:left w:val="single" w:sz="4" w:space="0" w:color="auto"/>
              <w:right w:val="single" w:sz="4" w:space="0" w:color="auto"/>
            </w:tcBorders>
          </w:tcPr>
          <w:p w14:paraId="2E29EC56" w14:textId="77777777" w:rsidR="008E6A06" w:rsidRPr="00CF471D" w:rsidRDefault="008E6A06">
            <w:pPr>
              <w:autoSpaceDE w:val="0"/>
              <w:autoSpaceDN w:val="0"/>
              <w:adjustRightInd w:val="0"/>
              <w:spacing w:after="0" w:line="240" w:lineRule="auto"/>
              <w:jc w:val="right"/>
              <w:rPr>
                <w:color w:val="000000"/>
              </w:rPr>
            </w:pPr>
          </w:p>
        </w:tc>
        <w:tc>
          <w:tcPr>
            <w:tcW w:w="1164" w:type="dxa"/>
            <w:vMerge/>
            <w:tcBorders>
              <w:left w:val="single" w:sz="4" w:space="0" w:color="auto"/>
              <w:right w:val="single" w:sz="4" w:space="0" w:color="auto"/>
            </w:tcBorders>
          </w:tcPr>
          <w:p w14:paraId="195C69CC" w14:textId="77777777" w:rsidR="008E6A06" w:rsidRPr="00CF471D" w:rsidRDefault="008E6A06">
            <w:pPr>
              <w:autoSpaceDE w:val="0"/>
              <w:autoSpaceDN w:val="0"/>
              <w:adjustRightInd w:val="0"/>
              <w:spacing w:after="0" w:line="240" w:lineRule="auto"/>
              <w:jc w:val="right"/>
              <w:rPr>
                <w:color w:val="000000"/>
              </w:rPr>
            </w:pPr>
          </w:p>
        </w:tc>
        <w:tc>
          <w:tcPr>
            <w:tcW w:w="1118" w:type="dxa"/>
            <w:vMerge/>
            <w:tcBorders>
              <w:left w:val="single" w:sz="4" w:space="0" w:color="auto"/>
              <w:right w:val="single" w:sz="4" w:space="0" w:color="auto"/>
            </w:tcBorders>
          </w:tcPr>
          <w:p w14:paraId="095386B0" w14:textId="77777777" w:rsidR="008E6A06" w:rsidRPr="00CF471D" w:rsidRDefault="008E6A06">
            <w:pPr>
              <w:autoSpaceDE w:val="0"/>
              <w:autoSpaceDN w:val="0"/>
              <w:adjustRightInd w:val="0"/>
              <w:spacing w:after="0" w:line="240" w:lineRule="auto"/>
              <w:jc w:val="right"/>
              <w:rPr>
                <w:color w:val="000000"/>
              </w:rPr>
            </w:pPr>
          </w:p>
        </w:tc>
        <w:tc>
          <w:tcPr>
            <w:tcW w:w="1443" w:type="dxa"/>
            <w:tcBorders>
              <w:top w:val="single" w:sz="4" w:space="0" w:color="auto"/>
              <w:left w:val="single" w:sz="4" w:space="0" w:color="auto"/>
              <w:bottom w:val="single" w:sz="4" w:space="0" w:color="auto"/>
              <w:right w:val="single" w:sz="4" w:space="0" w:color="auto"/>
            </w:tcBorders>
          </w:tcPr>
          <w:p w14:paraId="6462BDAA" w14:textId="50E24C03" w:rsidR="008E6A06" w:rsidRPr="00CF471D" w:rsidRDefault="008E6A06">
            <w:pPr>
              <w:autoSpaceDE w:val="0"/>
              <w:autoSpaceDN w:val="0"/>
              <w:adjustRightInd w:val="0"/>
              <w:spacing w:after="0" w:line="240" w:lineRule="auto"/>
              <w:rPr>
                <w:color w:val="000000"/>
              </w:rPr>
            </w:pPr>
            <w:r w:rsidRPr="00CF471D">
              <w:rPr>
                <w:color w:val="000000"/>
              </w:rPr>
              <w:t>F</w:t>
            </w:r>
            <w:r w:rsidR="00521B61" w:rsidRPr="00521B61">
              <w:rPr>
                <w:color w:val="000000"/>
                <w:vertAlign w:val="subscript"/>
              </w:rPr>
              <w:t>MSY</w:t>
            </w:r>
          </w:p>
        </w:tc>
        <w:tc>
          <w:tcPr>
            <w:tcW w:w="1680" w:type="dxa"/>
            <w:tcBorders>
              <w:top w:val="single" w:sz="4" w:space="0" w:color="auto"/>
              <w:left w:val="single" w:sz="4" w:space="0" w:color="auto"/>
              <w:bottom w:val="single" w:sz="4" w:space="0" w:color="auto"/>
              <w:right w:val="single" w:sz="4" w:space="0" w:color="auto"/>
            </w:tcBorders>
          </w:tcPr>
          <w:p w14:paraId="3B1317A6" w14:textId="77777777" w:rsidR="008E6A06" w:rsidRPr="00CF471D" w:rsidRDefault="008E6A06">
            <w:pPr>
              <w:autoSpaceDE w:val="0"/>
              <w:autoSpaceDN w:val="0"/>
              <w:adjustRightInd w:val="0"/>
              <w:spacing w:after="0" w:line="240" w:lineRule="auto"/>
              <w:rPr>
                <w:color w:val="000000"/>
              </w:rPr>
            </w:pPr>
            <w:r w:rsidRPr="00CF471D">
              <w:rPr>
                <w:color w:val="000000"/>
              </w:rPr>
              <w:t>1 (single-stock MSE)</w:t>
            </w:r>
          </w:p>
        </w:tc>
      </w:tr>
      <w:tr w:rsidR="008E6A06" w:rsidRPr="00CF471D" w14:paraId="4D4DC5AA" w14:textId="77777777" w:rsidTr="00F50C72">
        <w:trPr>
          <w:trHeight w:val="290"/>
        </w:trPr>
        <w:tc>
          <w:tcPr>
            <w:tcW w:w="1754" w:type="dxa"/>
            <w:vMerge/>
            <w:tcBorders>
              <w:left w:val="single" w:sz="4" w:space="0" w:color="auto"/>
              <w:right w:val="single" w:sz="4" w:space="0" w:color="auto"/>
            </w:tcBorders>
          </w:tcPr>
          <w:p w14:paraId="30AC2889" w14:textId="77777777" w:rsidR="008E6A06" w:rsidRPr="00CF471D" w:rsidRDefault="008E6A06">
            <w:pPr>
              <w:autoSpaceDE w:val="0"/>
              <w:autoSpaceDN w:val="0"/>
              <w:adjustRightInd w:val="0"/>
              <w:spacing w:after="0" w:line="240" w:lineRule="auto"/>
              <w:jc w:val="right"/>
              <w:rPr>
                <w:color w:val="000000"/>
              </w:rPr>
            </w:pPr>
          </w:p>
        </w:tc>
        <w:tc>
          <w:tcPr>
            <w:tcW w:w="2782" w:type="dxa"/>
            <w:vMerge/>
            <w:tcBorders>
              <w:left w:val="single" w:sz="4" w:space="0" w:color="auto"/>
              <w:right w:val="single" w:sz="4" w:space="0" w:color="auto"/>
            </w:tcBorders>
          </w:tcPr>
          <w:p w14:paraId="579BCBC9" w14:textId="77777777" w:rsidR="008E6A06" w:rsidRPr="00CF471D" w:rsidRDefault="008E6A06">
            <w:pPr>
              <w:autoSpaceDE w:val="0"/>
              <w:autoSpaceDN w:val="0"/>
              <w:adjustRightInd w:val="0"/>
              <w:spacing w:after="0" w:line="240" w:lineRule="auto"/>
              <w:jc w:val="right"/>
              <w:rPr>
                <w:color w:val="000000"/>
              </w:rPr>
            </w:pPr>
          </w:p>
        </w:tc>
        <w:tc>
          <w:tcPr>
            <w:tcW w:w="1164" w:type="dxa"/>
            <w:vMerge/>
            <w:tcBorders>
              <w:left w:val="single" w:sz="4" w:space="0" w:color="auto"/>
              <w:right w:val="single" w:sz="4" w:space="0" w:color="auto"/>
            </w:tcBorders>
          </w:tcPr>
          <w:p w14:paraId="0EE5CAD2" w14:textId="77777777" w:rsidR="008E6A06" w:rsidRPr="00CF471D" w:rsidRDefault="008E6A06">
            <w:pPr>
              <w:autoSpaceDE w:val="0"/>
              <w:autoSpaceDN w:val="0"/>
              <w:adjustRightInd w:val="0"/>
              <w:spacing w:after="0" w:line="240" w:lineRule="auto"/>
              <w:jc w:val="right"/>
              <w:rPr>
                <w:color w:val="000000"/>
              </w:rPr>
            </w:pPr>
          </w:p>
        </w:tc>
        <w:tc>
          <w:tcPr>
            <w:tcW w:w="1118" w:type="dxa"/>
            <w:vMerge/>
            <w:tcBorders>
              <w:left w:val="single" w:sz="4" w:space="0" w:color="auto"/>
              <w:right w:val="single" w:sz="4" w:space="0" w:color="auto"/>
            </w:tcBorders>
          </w:tcPr>
          <w:p w14:paraId="20A283E0" w14:textId="77777777" w:rsidR="008E6A06" w:rsidRPr="00CF471D" w:rsidRDefault="008E6A06">
            <w:pPr>
              <w:autoSpaceDE w:val="0"/>
              <w:autoSpaceDN w:val="0"/>
              <w:adjustRightInd w:val="0"/>
              <w:spacing w:after="0" w:line="240" w:lineRule="auto"/>
              <w:jc w:val="right"/>
              <w:rPr>
                <w:color w:val="000000"/>
              </w:rPr>
            </w:pPr>
          </w:p>
        </w:tc>
        <w:tc>
          <w:tcPr>
            <w:tcW w:w="1443" w:type="dxa"/>
            <w:tcBorders>
              <w:top w:val="single" w:sz="4" w:space="0" w:color="auto"/>
              <w:left w:val="single" w:sz="4" w:space="0" w:color="auto"/>
              <w:bottom w:val="single" w:sz="4" w:space="0" w:color="auto"/>
              <w:right w:val="single" w:sz="4" w:space="0" w:color="auto"/>
            </w:tcBorders>
          </w:tcPr>
          <w:p w14:paraId="15A9FAF3" w14:textId="6F8D08A5" w:rsidR="008E6A06" w:rsidRPr="00CF471D" w:rsidRDefault="008E6A06">
            <w:pPr>
              <w:autoSpaceDE w:val="0"/>
              <w:autoSpaceDN w:val="0"/>
              <w:adjustRightInd w:val="0"/>
              <w:spacing w:after="0" w:line="240" w:lineRule="auto"/>
              <w:rPr>
                <w:color w:val="000000"/>
              </w:rPr>
            </w:pPr>
            <w:r w:rsidRPr="00CF471D">
              <w:rPr>
                <w:color w:val="000000"/>
              </w:rPr>
              <w:t>MSY F</w:t>
            </w:r>
            <w:r w:rsidR="00521B61" w:rsidRPr="00521B61">
              <w:rPr>
                <w:color w:val="000000"/>
                <w:vertAlign w:val="subscript"/>
              </w:rPr>
              <w:t>lower</w:t>
            </w:r>
          </w:p>
        </w:tc>
        <w:tc>
          <w:tcPr>
            <w:tcW w:w="1680" w:type="dxa"/>
            <w:tcBorders>
              <w:top w:val="single" w:sz="4" w:space="0" w:color="auto"/>
              <w:left w:val="single" w:sz="4" w:space="0" w:color="auto"/>
              <w:bottom w:val="single" w:sz="4" w:space="0" w:color="auto"/>
              <w:right w:val="single" w:sz="4" w:space="0" w:color="auto"/>
            </w:tcBorders>
          </w:tcPr>
          <w:p w14:paraId="350CF633" w14:textId="77777777" w:rsidR="008E6A06" w:rsidRPr="00CF471D" w:rsidRDefault="008E6A06">
            <w:pPr>
              <w:autoSpaceDE w:val="0"/>
              <w:autoSpaceDN w:val="0"/>
              <w:adjustRightInd w:val="0"/>
              <w:spacing w:after="0" w:line="240" w:lineRule="auto"/>
              <w:rPr>
                <w:color w:val="000000"/>
              </w:rPr>
            </w:pPr>
            <w:r w:rsidRPr="00CF471D">
              <w:rPr>
                <w:color w:val="000000"/>
              </w:rPr>
              <w:t>1 (single-stock MSE)</w:t>
            </w:r>
          </w:p>
        </w:tc>
      </w:tr>
      <w:tr w:rsidR="008E6A06" w:rsidRPr="00CF471D" w14:paraId="1DC6976B" w14:textId="77777777" w:rsidTr="00F50C72">
        <w:trPr>
          <w:trHeight w:val="290"/>
        </w:trPr>
        <w:tc>
          <w:tcPr>
            <w:tcW w:w="1754" w:type="dxa"/>
            <w:vMerge/>
            <w:tcBorders>
              <w:left w:val="single" w:sz="4" w:space="0" w:color="auto"/>
              <w:bottom w:val="single" w:sz="4" w:space="0" w:color="auto"/>
              <w:right w:val="single" w:sz="4" w:space="0" w:color="auto"/>
            </w:tcBorders>
          </w:tcPr>
          <w:p w14:paraId="3BA4DB02" w14:textId="77777777" w:rsidR="008E6A06" w:rsidRPr="00CF471D" w:rsidRDefault="008E6A06">
            <w:pPr>
              <w:autoSpaceDE w:val="0"/>
              <w:autoSpaceDN w:val="0"/>
              <w:adjustRightInd w:val="0"/>
              <w:spacing w:after="0" w:line="240" w:lineRule="auto"/>
              <w:jc w:val="right"/>
              <w:rPr>
                <w:color w:val="000000"/>
              </w:rPr>
            </w:pPr>
          </w:p>
        </w:tc>
        <w:tc>
          <w:tcPr>
            <w:tcW w:w="2782" w:type="dxa"/>
            <w:vMerge/>
            <w:tcBorders>
              <w:left w:val="single" w:sz="4" w:space="0" w:color="auto"/>
              <w:bottom w:val="single" w:sz="4" w:space="0" w:color="auto"/>
              <w:right w:val="single" w:sz="4" w:space="0" w:color="auto"/>
            </w:tcBorders>
          </w:tcPr>
          <w:p w14:paraId="3E72A3CF" w14:textId="77777777" w:rsidR="008E6A06" w:rsidRPr="00CF471D" w:rsidRDefault="008E6A06">
            <w:pPr>
              <w:autoSpaceDE w:val="0"/>
              <w:autoSpaceDN w:val="0"/>
              <w:adjustRightInd w:val="0"/>
              <w:spacing w:after="0" w:line="240" w:lineRule="auto"/>
              <w:jc w:val="right"/>
              <w:rPr>
                <w:color w:val="000000"/>
              </w:rPr>
            </w:pPr>
          </w:p>
        </w:tc>
        <w:tc>
          <w:tcPr>
            <w:tcW w:w="1164" w:type="dxa"/>
            <w:vMerge/>
            <w:tcBorders>
              <w:left w:val="single" w:sz="4" w:space="0" w:color="auto"/>
              <w:bottom w:val="single" w:sz="4" w:space="0" w:color="auto"/>
              <w:right w:val="single" w:sz="4" w:space="0" w:color="auto"/>
            </w:tcBorders>
          </w:tcPr>
          <w:p w14:paraId="4F030BFF" w14:textId="77777777" w:rsidR="008E6A06" w:rsidRPr="00CF471D" w:rsidRDefault="008E6A06">
            <w:pPr>
              <w:autoSpaceDE w:val="0"/>
              <w:autoSpaceDN w:val="0"/>
              <w:adjustRightInd w:val="0"/>
              <w:spacing w:after="0" w:line="240" w:lineRule="auto"/>
              <w:jc w:val="right"/>
              <w:rPr>
                <w:color w:val="000000"/>
              </w:rPr>
            </w:pPr>
          </w:p>
        </w:tc>
        <w:tc>
          <w:tcPr>
            <w:tcW w:w="1118" w:type="dxa"/>
            <w:vMerge/>
            <w:tcBorders>
              <w:left w:val="single" w:sz="4" w:space="0" w:color="auto"/>
              <w:bottom w:val="single" w:sz="4" w:space="0" w:color="auto"/>
              <w:right w:val="single" w:sz="4" w:space="0" w:color="auto"/>
            </w:tcBorders>
          </w:tcPr>
          <w:p w14:paraId="42F020A2" w14:textId="77777777" w:rsidR="008E6A06" w:rsidRPr="00CF471D" w:rsidRDefault="008E6A06">
            <w:pPr>
              <w:autoSpaceDE w:val="0"/>
              <w:autoSpaceDN w:val="0"/>
              <w:adjustRightInd w:val="0"/>
              <w:spacing w:after="0" w:line="240" w:lineRule="auto"/>
              <w:jc w:val="right"/>
              <w:rPr>
                <w:color w:val="000000"/>
              </w:rPr>
            </w:pPr>
          </w:p>
        </w:tc>
        <w:tc>
          <w:tcPr>
            <w:tcW w:w="1443" w:type="dxa"/>
            <w:tcBorders>
              <w:top w:val="single" w:sz="4" w:space="0" w:color="auto"/>
              <w:left w:val="single" w:sz="4" w:space="0" w:color="auto"/>
              <w:bottom w:val="single" w:sz="4" w:space="0" w:color="auto"/>
              <w:right w:val="single" w:sz="4" w:space="0" w:color="auto"/>
            </w:tcBorders>
          </w:tcPr>
          <w:p w14:paraId="1120CF61" w14:textId="1E9F20BF" w:rsidR="008E6A06" w:rsidRPr="00CF471D" w:rsidRDefault="008E6A06">
            <w:pPr>
              <w:autoSpaceDE w:val="0"/>
              <w:autoSpaceDN w:val="0"/>
              <w:adjustRightInd w:val="0"/>
              <w:spacing w:after="0" w:line="240" w:lineRule="auto"/>
              <w:rPr>
                <w:color w:val="000000"/>
              </w:rPr>
            </w:pPr>
            <w:r w:rsidRPr="00CF471D">
              <w:rPr>
                <w:color w:val="000000"/>
              </w:rPr>
              <w:t>MSY F</w:t>
            </w:r>
            <w:r w:rsidR="00521B61" w:rsidRPr="00521B61">
              <w:rPr>
                <w:color w:val="000000"/>
                <w:vertAlign w:val="subscript"/>
              </w:rPr>
              <w:t>upper</w:t>
            </w:r>
          </w:p>
        </w:tc>
        <w:tc>
          <w:tcPr>
            <w:tcW w:w="1680" w:type="dxa"/>
            <w:tcBorders>
              <w:top w:val="single" w:sz="4" w:space="0" w:color="auto"/>
              <w:left w:val="single" w:sz="4" w:space="0" w:color="auto"/>
              <w:bottom w:val="single" w:sz="4" w:space="0" w:color="auto"/>
              <w:right w:val="single" w:sz="4" w:space="0" w:color="auto"/>
            </w:tcBorders>
          </w:tcPr>
          <w:p w14:paraId="32C07EA0" w14:textId="77777777" w:rsidR="008E6A06" w:rsidRPr="00CF471D" w:rsidRDefault="008E6A06">
            <w:pPr>
              <w:autoSpaceDE w:val="0"/>
              <w:autoSpaceDN w:val="0"/>
              <w:adjustRightInd w:val="0"/>
              <w:spacing w:after="0" w:line="240" w:lineRule="auto"/>
              <w:rPr>
                <w:color w:val="000000"/>
              </w:rPr>
            </w:pPr>
            <w:r w:rsidRPr="00CF471D">
              <w:rPr>
                <w:color w:val="000000"/>
              </w:rPr>
              <w:t>1 (single-stock MSE)</w:t>
            </w:r>
          </w:p>
        </w:tc>
      </w:tr>
      <w:tr w:rsidR="008E6A06" w:rsidRPr="00CF471D" w14:paraId="27291049" w14:textId="77777777" w:rsidTr="00F50C72">
        <w:trPr>
          <w:trHeight w:val="290"/>
        </w:trPr>
        <w:tc>
          <w:tcPr>
            <w:tcW w:w="1754" w:type="dxa"/>
            <w:vMerge w:val="restart"/>
            <w:tcBorders>
              <w:top w:val="single" w:sz="4" w:space="0" w:color="auto"/>
              <w:left w:val="single" w:sz="4" w:space="0" w:color="auto"/>
              <w:right w:val="single" w:sz="4" w:space="0" w:color="auto"/>
            </w:tcBorders>
          </w:tcPr>
          <w:p w14:paraId="66ABAECC" w14:textId="77777777" w:rsidR="008E6A06" w:rsidRPr="00CF471D" w:rsidRDefault="008E6A06">
            <w:pPr>
              <w:autoSpaceDE w:val="0"/>
              <w:autoSpaceDN w:val="0"/>
              <w:adjustRightInd w:val="0"/>
              <w:spacing w:after="0" w:line="240" w:lineRule="auto"/>
              <w:rPr>
                <w:color w:val="000000"/>
              </w:rPr>
            </w:pPr>
            <w:r w:rsidRPr="00CF471D">
              <w:rPr>
                <w:color w:val="000000"/>
              </w:rPr>
              <w:t>Robustness of HCR to mixed fisheries implementation error</w:t>
            </w:r>
          </w:p>
        </w:tc>
        <w:tc>
          <w:tcPr>
            <w:tcW w:w="2782" w:type="dxa"/>
            <w:vMerge w:val="restart"/>
            <w:tcBorders>
              <w:top w:val="single" w:sz="4" w:space="0" w:color="auto"/>
              <w:left w:val="single" w:sz="4" w:space="0" w:color="auto"/>
              <w:right w:val="single" w:sz="4" w:space="0" w:color="auto"/>
            </w:tcBorders>
          </w:tcPr>
          <w:p w14:paraId="635DBA86" w14:textId="77777777" w:rsidR="008E6A06" w:rsidRPr="00CF471D" w:rsidRDefault="008E6A06">
            <w:pPr>
              <w:autoSpaceDE w:val="0"/>
              <w:autoSpaceDN w:val="0"/>
              <w:adjustRightInd w:val="0"/>
              <w:spacing w:after="0" w:line="240" w:lineRule="auto"/>
              <w:rPr>
                <w:color w:val="000000"/>
              </w:rPr>
            </w:pPr>
            <w:r w:rsidRPr="00CF471D">
              <w:rPr>
                <w:color w:val="000000"/>
              </w:rPr>
              <w:t>Medium term stochastic MSE with technical interactions</w:t>
            </w:r>
          </w:p>
        </w:tc>
        <w:tc>
          <w:tcPr>
            <w:tcW w:w="1164" w:type="dxa"/>
            <w:vMerge w:val="restart"/>
            <w:tcBorders>
              <w:top w:val="single" w:sz="4" w:space="0" w:color="auto"/>
              <w:left w:val="single" w:sz="4" w:space="0" w:color="auto"/>
              <w:right w:val="single" w:sz="4" w:space="0" w:color="auto"/>
            </w:tcBorders>
          </w:tcPr>
          <w:p w14:paraId="1DC98E88" w14:textId="77777777" w:rsidR="008E6A06" w:rsidRPr="00CF471D" w:rsidRDefault="008E6A06">
            <w:pPr>
              <w:autoSpaceDE w:val="0"/>
              <w:autoSpaceDN w:val="0"/>
              <w:adjustRightInd w:val="0"/>
              <w:spacing w:after="0" w:line="240" w:lineRule="auto"/>
              <w:rPr>
                <w:color w:val="000000"/>
              </w:rPr>
            </w:pPr>
            <w:r w:rsidRPr="00CF471D">
              <w:rPr>
                <w:color w:val="000000"/>
              </w:rPr>
              <w:t>30 years</w:t>
            </w:r>
          </w:p>
        </w:tc>
        <w:tc>
          <w:tcPr>
            <w:tcW w:w="1118" w:type="dxa"/>
            <w:vMerge w:val="restart"/>
            <w:tcBorders>
              <w:top w:val="single" w:sz="4" w:space="0" w:color="auto"/>
              <w:left w:val="single" w:sz="4" w:space="0" w:color="auto"/>
              <w:right w:val="single" w:sz="4" w:space="0" w:color="auto"/>
            </w:tcBorders>
          </w:tcPr>
          <w:p w14:paraId="586DC7CE" w14:textId="77777777" w:rsidR="008E6A06" w:rsidRPr="00CF471D" w:rsidRDefault="008E6A06">
            <w:pPr>
              <w:autoSpaceDE w:val="0"/>
              <w:autoSpaceDN w:val="0"/>
              <w:adjustRightInd w:val="0"/>
              <w:spacing w:after="0" w:line="240" w:lineRule="auto"/>
              <w:jc w:val="right"/>
              <w:rPr>
                <w:color w:val="000000"/>
              </w:rPr>
            </w:pPr>
            <w:r w:rsidRPr="00CF471D">
              <w:rPr>
                <w:color w:val="000000"/>
              </w:rPr>
              <w:t>200</w:t>
            </w:r>
          </w:p>
        </w:tc>
        <w:tc>
          <w:tcPr>
            <w:tcW w:w="1443" w:type="dxa"/>
            <w:tcBorders>
              <w:top w:val="single" w:sz="4" w:space="0" w:color="auto"/>
              <w:left w:val="single" w:sz="4" w:space="0" w:color="auto"/>
              <w:bottom w:val="single" w:sz="4" w:space="0" w:color="auto"/>
              <w:right w:val="single" w:sz="4" w:space="0" w:color="auto"/>
            </w:tcBorders>
          </w:tcPr>
          <w:p w14:paraId="0696FFDC" w14:textId="77777777" w:rsidR="008E6A06" w:rsidRPr="00CF471D" w:rsidRDefault="008E6A06">
            <w:pPr>
              <w:autoSpaceDE w:val="0"/>
              <w:autoSpaceDN w:val="0"/>
              <w:adjustRightInd w:val="0"/>
              <w:spacing w:after="0" w:line="240" w:lineRule="auto"/>
              <w:rPr>
                <w:color w:val="000000"/>
              </w:rPr>
            </w:pPr>
            <w:r w:rsidRPr="00CF471D">
              <w:rPr>
                <w:color w:val="000000"/>
              </w:rPr>
              <w:t>Constant Effort</w:t>
            </w:r>
          </w:p>
        </w:tc>
        <w:tc>
          <w:tcPr>
            <w:tcW w:w="1680" w:type="dxa"/>
            <w:tcBorders>
              <w:top w:val="single" w:sz="4" w:space="0" w:color="auto"/>
              <w:left w:val="single" w:sz="4" w:space="0" w:color="auto"/>
              <w:bottom w:val="single" w:sz="4" w:space="0" w:color="auto"/>
              <w:right w:val="single" w:sz="4" w:space="0" w:color="auto"/>
            </w:tcBorders>
          </w:tcPr>
          <w:p w14:paraId="69E23C1D" w14:textId="77777777" w:rsidR="008E6A06" w:rsidRPr="00CF471D" w:rsidRDefault="008E6A06">
            <w:pPr>
              <w:autoSpaceDE w:val="0"/>
              <w:autoSpaceDN w:val="0"/>
              <w:adjustRightInd w:val="0"/>
              <w:spacing w:after="0" w:line="240" w:lineRule="auto"/>
              <w:rPr>
                <w:color w:val="000000"/>
              </w:rPr>
            </w:pPr>
            <w:r w:rsidRPr="00CF471D">
              <w:rPr>
                <w:color w:val="000000"/>
              </w:rPr>
              <w:t>1 (all stocks together)</w:t>
            </w:r>
          </w:p>
        </w:tc>
      </w:tr>
      <w:tr w:rsidR="008E6A06" w:rsidRPr="00CF471D" w14:paraId="5DBB6C1B" w14:textId="77777777" w:rsidTr="00F50C72">
        <w:trPr>
          <w:trHeight w:val="290"/>
        </w:trPr>
        <w:tc>
          <w:tcPr>
            <w:tcW w:w="1754" w:type="dxa"/>
            <w:vMerge/>
            <w:tcBorders>
              <w:left w:val="single" w:sz="4" w:space="0" w:color="auto"/>
              <w:right w:val="single" w:sz="4" w:space="0" w:color="auto"/>
            </w:tcBorders>
          </w:tcPr>
          <w:p w14:paraId="6D627BA3" w14:textId="77777777" w:rsidR="008E6A06" w:rsidRPr="00CF471D" w:rsidRDefault="008E6A06">
            <w:pPr>
              <w:autoSpaceDE w:val="0"/>
              <w:autoSpaceDN w:val="0"/>
              <w:adjustRightInd w:val="0"/>
              <w:spacing w:after="0" w:line="240" w:lineRule="auto"/>
              <w:jc w:val="right"/>
              <w:rPr>
                <w:color w:val="000000"/>
              </w:rPr>
            </w:pPr>
          </w:p>
        </w:tc>
        <w:tc>
          <w:tcPr>
            <w:tcW w:w="2782" w:type="dxa"/>
            <w:vMerge/>
            <w:tcBorders>
              <w:left w:val="single" w:sz="4" w:space="0" w:color="auto"/>
              <w:right w:val="single" w:sz="4" w:space="0" w:color="auto"/>
            </w:tcBorders>
          </w:tcPr>
          <w:p w14:paraId="762E021D" w14:textId="77777777" w:rsidR="008E6A06" w:rsidRPr="00CF471D" w:rsidRDefault="008E6A06">
            <w:pPr>
              <w:autoSpaceDE w:val="0"/>
              <w:autoSpaceDN w:val="0"/>
              <w:adjustRightInd w:val="0"/>
              <w:spacing w:after="0" w:line="240" w:lineRule="auto"/>
              <w:jc w:val="right"/>
              <w:rPr>
                <w:color w:val="000000"/>
              </w:rPr>
            </w:pPr>
          </w:p>
        </w:tc>
        <w:tc>
          <w:tcPr>
            <w:tcW w:w="1164" w:type="dxa"/>
            <w:vMerge/>
            <w:tcBorders>
              <w:left w:val="single" w:sz="4" w:space="0" w:color="auto"/>
              <w:right w:val="single" w:sz="4" w:space="0" w:color="auto"/>
            </w:tcBorders>
          </w:tcPr>
          <w:p w14:paraId="5E1413EF" w14:textId="77777777" w:rsidR="008E6A06" w:rsidRPr="00CF471D" w:rsidRDefault="008E6A06">
            <w:pPr>
              <w:autoSpaceDE w:val="0"/>
              <w:autoSpaceDN w:val="0"/>
              <w:adjustRightInd w:val="0"/>
              <w:spacing w:after="0" w:line="240" w:lineRule="auto"/>
              <w:jc w:val="right"/>
              <w:rPr>
                <w:color w:val="000000"/>
              </w:rPr>
            </w:pPr>
          </w:p>
        </w:tc>
        <w:tc>
          <w:tcPr>
            <w:tcW w:w="1118" w:type="dxa"/>
            <w:vMerge/>
            <w:tcBorders>
              <w:left w:val="single" w:sz="4" w:space="0" w:color="auto"/>
              <w:right w:val="single" w:sz="4" w:space="0" w:color="auto"/>
            </w:tcBorders>
          </w:tcPr>
          <w:p w14:paraId="434DAC56" w14:textId="77777777" w:rsidR="008E6A06" w:rsidRPr="00CF471D" w:rsidRDefault="008E6A06">
            <w:pPr>
              <w:autoSpaceDE w:val="0"/>
              <w:autoSpaceDN w:val="0"/>
              <w:adjustRightInd w:val="0"/>
              <w:spacing w:after="0" w:line="240" w:lineRule="auto"/>
              <w:jc w:val="right"/>
              <w:rPr>
                <w:color w:val="000000"/>
              </w:rPr>
            </w:pPr>
          </w:p>
        </w:tc>
        <w:tc>
          <w:tcPr>
            <w:tcW w:w="1443" w:type="dxa"/>
            <w:tcBorders>
              <w:top w:val="single" w:sz="4" w:space="0" w:color="auto"/>
              <w:left w:val="single" w:sz="4" w:space="0" w:color="auto"/>
              <w:bottom w:val="single" w:sz="4" w:space="0" w:color="auto"/>
              <w:right w:val="single" w:sz="4" w:space="0" w:color="auto"/>
            </w:tcBorders>
          </w:tcPr>
          <w:p w14:paraId="15D94A64" w14:textId="77777777" w:rsidR="008E6A06" w:rsidRPr="00CF471D" w:rsidRDefault="008E6A06">
            <w:pPr>
              <w:autoSpaceDE w:val="0"/>
              <w:autoSpaceDN w:val="0"/>
              <w:adjustRightInd w:val="0"/>
              <w:spacing w:after="0" w:line="240" w:lineRule="auto"/>
              <w:rPr>
                <w:color w:val="000000"/>
              </w:rPr>
            </w:pPr>
            <w:r w:rsidRPr="00CF471D">
              <w:rPr>
                <w:color w:val="000000"/>
              </w:rPr>
              <w:t>Current LTMP</w:t>
            </w:r>
          </w:p>
        </w:tc>
        <w:tc>
          <w:tcPr>
            <w:tcW w:w="1680" w:type="dxa"/>
            <w:tcBorders>
              <w:top w:val="single" w:sz="4" w:space="0" w:color="auto"/>
              <w:left w:val="single" w:sz="4" w:space="0" w:color="auto"/>
              <w:bottom w:val="single" w:sz="4" w:space="0" w:color="auto"/>
              <w:right w:val="single" w:sz="4" w:space="0" w:color="auto"/>
            </w:tcBorders>
          </w:tcPr>
          <w:p w14:paraId="4C07AE6D" w14:textId="77777777" w:rsidR="008E6A06" w:rsidRPr="00CF471D" w:rsidRDefault="008E6A06">
            <w:pPr>
              <w:autoSpaceDE w:val="0"/>
              <w:autoSpaceDN w:val="0"/>
              <w:adjustRightInd w:val="0"/>
              <w:spacing w:after="0" w:line="240" w:lineRule="auto"/>
              <w:rPr>
                <w:color w:val="000000"/>
              </w:rPr>
            </w:pPr>
            <w:r w:rsidRPr="00CF471D">
              <w:rPr>
                <w:color w:val="000000"/>
              </w:rPr>
              <w:t>3 (Max, Min, Value)</w:t>
            </w:r>
          </w:p>
        </w:tc>
      </w:tr>
      <w:tr w:rsidR="008E6A06" w:rsidRPr="00CF471D" w14:paraId="225C7DF4" w14:textId="77777777" w:rsidTr="00F50C72">
        <w:trPr>
          <w:trHeight w:val="290"/>
        </w:trPr>
        <w:tc>
          <w:tcPr>
            <w:tcW w:w="1754" w:type="dxa"/>
            <w:vMerge/>
            <w:tcBorders>
              <w:left w:val="single" w:sz="4" w:space="0" w:color="auto"/>
              <w:right w:val="single" w:sz="4" w:space="0" w:color="auto"/>
            </w:tcBorders>
          </w:tcPr>
          <w:p w14:paraId="7A2F1FD9" w14:textId="77777777" w:rsidR="008E6A06" w:rsidRPr="00CF471D" w:rsidRDefault="008E6A06">
            <w:pPr>
              <w:autoSpaceDE w:val="0"/>
              <w:autoSpaceDN w:val="0"/>
              <w:adjustRightInd w:val="0"/>
              <w:spacing w:after="0" w:line="240" w:lineRule="auto"/>
              <w:jc w:val="right"/>
              <w:rPr>
                <w:color w:val="000000"/>
              </w:rPr>
            </w:pPr>
          </w:p>
        </w:tc>
        <w:tc>
          <w:tcPr>
            <w:tcW w:w="2782" w:type="dxa"/>
            <w:vMerge/>
            <w:tcBorders>
              <w:left w:val="single" w:sz="4" w:space="0" w:color="auto"/>
              <w:right w:val="single" w:sz="4" w:space="0" w:color="auto"/>
            </w:tcBorders>
          </w:tcPr>
          <w:p w14:paraId="7CE5B214" w14:textId="77777777" w:rsidR="008E6A06" w:rsidRPr="00CF471D" w:rsidRDefault="008E6A06">
            <w:pPr>
              <w:autoSpaceDE w:val="0"/>
              <w:autoSpaceDN w:val="0"/>
              <w:adjustRightInd w:val="0"/>
              <w:spacing w:after="0" w:line="240" w:lineRule="auto"/>
              <w:jc w:val="right"/>
              <w:rPr>
                <w:color w:val="000000"/>
              </w:rPr>
            </w:pPr>
          </w:p>
        </w:tc>
        <w:tc>
          <w:tcPr>
            <w:tcW w:w="1164" w:type="dxa"/>
            <w:vMerge/>
            <w:tcBorders>
              <w:left w:val="single" w:sz="4" w:space="0" w:color="auto"/>
              <w:right w:val="single" w:sz="4" w:space="0" w:color="auto"/>
            </w:tcBorders>
          </w:tcPr>
          <w:p w14:paraId="12ED98D6" w14:textId="77777777" w:rsidR="008E6A06" w:rsidRPr="00CF471D" w:rsidRDefault="008E6A06">
            <w:pPr>
              <w:autoSpaceDE w:val="0"/>
              <w:autoSpaceDN w:val="0"/>
              <w:adjustRightInd w:val="0"/>
              <w:spacing w:after="0" w:line="240" w:lineRule="auto"/>
              <w:jc w:val="right"/>
              <w:rPr>
                <w:color w:val="000000"/>
              </w:rPr>
            </w:pPr>
          </w:p>
        </w:tc>
        <w:tc>
          <w:tcPr>
            <w:tcW w:w="1118" w:type="dxa"/>
            <w:vMerge/>
            <w:tcBorders>
              <w:left w:val="single" w:sz="4" w:space="0" w:color="auto"/>
              <w:right w:val="single" w:sz="4" w:space="0" w:color="auto"/>
            </w:tcBorders>
          </w:tcPr>
          <w:p w14:paraId="400D0F0D" w14:textId="77777777" w:rsidR="008E6A06" w:rsidRPr="00CF471D" w:rsidRDefault="008E6A06">
            <w:pPr>
              <w:autoSpaceDE w:val="0"/>
              <w:autoSpaceDN w:val="0"/>
              <w:adjustRightInd w:val="0"/>
              <w:spacing w:after="0" w:line="240" w:lineRule="auto"/>
              <w:jc w:val="right"/>
              <w:rPr>
                <w:color w:val="000000"/>
              </w:rPr>
            </w:pPr>
          </w:p>
        </w:tc>
        <w:tc>
          <w:tcPr>
            <w:tcW w:w="1443" w:type="dxa"/>
            <w:tcBorders>
              <w:top w:val="single" w:sz="4" w:space="0" w:color="auto"/>
              <w:left w:val="single" w:sz="4" w:space="0" w:color="auto"/>
              <w:bottom w:val="single" w:sz="4" w:space="0" w:color="auto"/>
              <w:right w:val="single" w:sz="4" w:space="0" w:color="auto"/>
            </w:tcBorders>
          </w:tcPr>
          <w:p w14:paraId="5007403C" w14:textId="3152F5E8" w:rsidR="008E6A06" w:rsidRPr="00CF471D" w:rsidRDefault="008E6A06">
            <w:pPr>
              <w:autoSpaceDE w:val="0"/>
              <w:autoSpaceDN w:val="0"/>
              <w:adjustRightInd w:val="0"/>
              <w:spacing w:after="0" w:line="240" w:lineRule="auto"/>
              <w:rPr>
                <w:color w:val="000000"/>
              </w:rPr>
            </w:pPr>
            <w:r w:rsidRPr="00CF471D">
              <w:rPr>
                <w:color w:val="000000"/>
              </w:rPr>
              <w:t>F</w:t>
            </w:r>
            <w:r w:rsidR="00521B61" w:rsidRPr="00521B61">
              <w:rPr>
                <w:color w:val="000000"/>
                <w:vertAlign w:val="subscript"/>
              </w:rPr>
              <w:t>MSY</w:t>
            </w:r>
          </w:p>
        </w:tc>
        <w:tc>
          <w:tcPr>
            <w:tcW w:w="1680" w:type="dxa"/>
            <w:tcBorders>
              <w:top w:val="single" w:sz="4" w:space="0" w:color="auto"/>
              <w:left w:val="single" w:sz="4" w:space="0" w:color="auto"/>
              <w:bottom w:val="single" w:sz="4" w:space="0" w:color="auto"/>
              <w:right w:val="single" w:sz="4" w:space="0" w:color="auto"/>
            </w:tcBorders>
          </w:tcPr>
          <w:p w14:paraId="413827D2" w14:textId="77777777" w:rsidR="008E6A06" w:rsidRPr="00CF471D" w:rsidRDefault="008E6A06">
            <w:pPr>
              <w:autoSpaceDE w:val="0"/>
              <w:autoSpaceDN w:val="0"/>
              <w:adjustRightInd w:val="0"/>
              <w:spacing w:after="0" w:line="240" w:lineRule="auto"/>
              <w:rPr>
                <w:color w:val="000000"/>
              </w:rPr>
            </w:pPr>
            <w:r w:rsidRPr="00CF471D">
              <w:rPr>
                <w:color w:val="000000"/>
              </w:rPr>
              <w:t>3 (Max, Min, Value)</w:t>
            </w:r>
          </w:p>
        </w:tc>
      </w:tr>
      <w:tr w:rsidR="008E6A06" w:rsidRPr="00CF471D" w14:paraId="4952EE23" w14:textId="77777777" w:rsidTr="00F50C72">
        <w:trPr>
          <w:trHeight w:val="290"/>
        </w:trPr>
        <w:tc>
          <w:tcPr>
            <w:tcW w:w="1754" w:type="dxa"/>
            <w:vMerge/>
            <w:tcBorders>
              <w:left w:val="single" w:sz="4" w:space="0" w:color="auto"/>
              <w:right w:val="single" w:sz="4" w:space="0" w:color="auto"/>
            </w:tcBorders>
          </w:tcPr>
          <w:p w14:paraId="5158CB3D" w14:textId="77777777" w:rsidR="008E6A06" w:rsidRPr="00CF471D" w:rsidRDefault="008E6A06">
            <w:pPr>
              <w:autoSpaceDE w:val="0"/>
              <w:autoSpaceDN w:val="0"/>
              <w:adjustRightInd w:val="0"/>
              <w:spacing w:after="0" w:line="240" w:lineRule="auto"/>
              <w:jc w:val="right"/>
              <w:rPr>
                <w:color w:val="000000"/>
              </w:rPr>
            </w:pPr>
          </w:p>
        </w:tc>
        <w:tc>
          <w:tcPr>
            <w:tcW w:w="2782" w:type="dxa"/>
            <w:vMerge/>
            <w:tcBorders>
              <w:left w:val="single" w:sz="4" w:space="0" w:color="auto"/>
              <w:right w:val="single" w:sz="4" w:space="0" w:color="auto"/>
            </w:tcBorders>
          </w:tcPr>
          <w:p w14:paraId="5679B595" w14:textId="77777777" w:rsidR="008E6A06" w:rsidRPr="00CF471D" w:rsidRDefault="008E6A06">
            <w:pPr>
              <w:autoSpaceDE w:val="0"/>
              <w:autoSpaceDN w:val="0"/>
              <w:adjustRightInd w:val="0"/>
              <w:spacing w:after="0" w:line="240" w:lineRule="auto"/>
              <w:jc w:val="right"/>
              <w:rPr>
                <w:color w:val="000000"/>
              </w:rPr>
            </w:pPr>
          </w:p>
        </w:tc>
        <w:tc>
          <w:tcPr>
            <w:tcW w:w="1164" w:type="dxa"/>
            <w:vMerge/>
            <w:tcBorders>
              <w:left w:val="single" w:sz="4" w:space="0" w:color="auto"/>
              <w:right w:val="single" w:sz="4" w:space="0" w:color="auto"/>
            </w:tcBorders>
          </w:tcPr>
          <w:p w14:paraId="1637E77A" w14:textId="77777777" w:rsidR="008E6A06" w:rsidRPr="00CF471D" w:rsidRDefault="008E6A06">
            <w:pPr>
              <w:autoSpaceDE w:val="0"/>
              <w:autoSpaceDN w:val="0"/>
              <w:adjustRightInd w:val="0"/>
              <w:spacing w:after="0" w:line="240" w:lineRule="auto"/>
              <w:jc w:val="right"/>
              <w:rPr>
                <w:color w:val="000000"/>
              </w:rPr>
            </w:pPr>
          </w:p>
        </w:tc>
        <w:tc>
          <w:tcPr>
            <w:tcW w:w="1118" w:type="dxa"/>
            <w:vMerge/>
            <w:tcBorders>
              <w:left w:val="single" w:sz="4" w:space="0" w:color="auto"/>
              <w:right w:val="single" w:sz="4" w:space="0" w:color="auto"/>
            </w:tcBorders>
          </w:tcPr>
          <w:p w14:paraId="79B7FEB2" w14:textId="77777777" w:rsidR="008E6A06" w:rsidRPr="00CF471D" w:rsidRDefault="008E6A06">
            <w:pPr>
              <w:autoSpaceDE w:val="0"/>
              <w:autoSpaceDN w:val="0"/>
              <w:adjustRightInd w:val="0"/>
              <w:spacing w:after="0" w:line="240" w:lineRule="auto"/>
              <w:jc w:val="right"/>
              <w:rPr>
                <w:color w:val="000000"/>
              </w:rPr>
            </w:pPr>
          </w:p>
        </w:tc>
        <w:tc>
          <w:tcPr>
            <w:tcW w:w="1443" w:type="dxa"/>
            <w:tcBorders>
              <w:top w:val="single" w:sz="4" w:space="0" w:color="auto"/>
              <w:left w:val="single" w:sz="4" w:space="0" w:color="auto"/>
              <w:bottom w:val="single" w:sz="4" w:space="0" w:color="auto"/>
              <w:right w:val="single" w:sz="4" w:space="0" w:color="auto"/>
            </w:tcBorders>
          </w:tcPr>
          <w:p w14:paraId="22B2E887" w14:textId="3B90B370" w:rsidR="008E6A06" w:rsidRPr="00CF471D" w:rsidRDefault="008E6A06">
            <w:pPr>
              <w:autoSpaceDE w:val="0"/>
              <w:autoSpaceDN w:val="0"/>
              <w:adjustRightInd w:val="0"/>
              <w:spacing w:after="0" w:line="240" w:lineRule="auto"/>
              <w:rPr>
                <w:color w:val="000000"/>
              </w:rPr>
            </w:pPr>
            <w:r w:rsidRPr="00CF471D">
              <w:rPr>
                <w:color w:val="000000"/>
              </w:rPr>
              <w:t>MSY F</w:t>
            </w:r>
            <w:r w:rsidR="00521B61" w:rsidRPr="00521B61">
              <w:rPr>
                <w:color w:val="000000"/>
                <w:vertAlign w:val="subscript"/>
              </w:rPr>
              <w:t>lower</w:t>
            </w:r>
          </w:p>
        </w:tc>
        <w:tc>
          <w:tcPr>
            <w:tcW w:w="1680" w:type="dxa"/>
            <w:tcBorders>
              <w:top w:val="single" w:sz="4" w:space="0" w:color="auto"/>
              <w:left w:val="single" w:sz="4" w:space="0" w:color="auto"/>
              <w:bottom w:val="single" w:sz="4" w:space="0" w:color="auto"/>
              <w:right w:val="single" w:sz="4" w:space="0" w:color="auto"/>
            </w:tcBorders>
          </w:tcPr>
          <w:p w14:paraId="448F523E" w14:textId="77777777" w:rsidR="008E6A06" w:rsidRPr="00CF471D" w:rsidRDefault="008E6A06">
            <w:pPr>
              <w:autoSpaceDE w:val="0"/>
              <w:autoSpaceDN w:val="0"/>
              <w:adjustRightInd w:val="0"/>
              <w:spacing w:after="0" w:line="240" w:lineRule="auto"/>
              <w:rPr>
                <w:color w:val="000000"/>
              </w:rPr>
            </w:pPr>
            <w:r w:rsidRPr="00CF471D">
              <w:rPr>
                <w:color w:val="000000"/>
              </w:rPr>
              <w:t>3 (Max, Min, Value)</w:t>
            </w:r>
          </w:p>
        </w:tc>
      </w:tr>
      <w:tr w:rsidR="008E6A06" w:rsidRPr="00CF471D" w14:paraId="2AE9B78B" w14:textId="77777777" w:rsidTr="00F50C72">
        <w:trPr>
          <w:trHeight w:val="290"/>
        </w:trPr>
        <w:tc>
          <w:tcPr>
            <w:tcW w:w="1754" w:type="dxa"/>
            <w:vMerge/>
            <w:tcBorders>
              <w:left w:val="single" w:sz="4" w:space="0" w:color="auto"/>
              <w:bottom w:val="single" w:sz="4" w:space="0" w:color="auto"/>
              <w:right w:val="single" w:sz="4" w:space="0" w:color="auto"/>
            </w:tcBorders>
          </w:tcPr>
          <w:p w14:paraId="0D8697D9" w14:textId="77777777" w:rsidR="008E6A06" w:rsidRPr="00CF471D" w:rsidRDefault="008E6A06">
            <w:pPr>
              <w:autoSpaceDE w:val="0"/>
              <w:autoSpaceDN w:val="0"/>
              <w:adjustRightInd w:val="0"/>
              <w:spacing w:after="0" w:line="240" w:lineRule="auto"/>
              <w:jc w:val="right"/>
              <w:rPr>
                <w:color w:val="000000"/>
              </w:rPr>
            </w:pPr>
          </w:p>
        </w:tc>
        <w:tc>
          <w:tcPr>
            <w:tcW w:w="2782" w:type="dxa"/>
            <w:vMerge/>
            <w:tcBorders>
              <w:left w:val="single" w:sz="4" w:space="0" w:color="auto"/>
              <w:bottom w:val="single" w:sz="4" w:space="0" w:color="auto"/>
              <w:right w:val="single" w:sz="4" w:space="0" w:color="auto"/>
            </w:tcBorders>
          </w:tcPr>
          <w:p w14:paraId="7F7C1F38" w14:textId="77777777" w:rsidR="008E6A06" w:rsidRPr="00CF471D" w:rsidRDefault="008E6A06">
            <w:pPr>
              <w:autoSpaceDE w:val="0"/>
              <w:autoSpaceDN w:val="0"/>
              <w:adjustRightInd w:val="0"/>
              <w:spacing w:after="0" w:line="240" w:lineRule="auto"/>
              <w:jc w:val="right"/>
              <w:rPr>
                <w:color w:val="000000"/>
              </w:rPr>
            </w:pPr>
          </w:p>
        </w:tc>
        <w:tc>
          <w:tcPr>
            <w:tcW w:w="1164" w:type="dxa"/>
            <w:vMerge/>
            <w:tcBorders>
              <w:left w:val="single" w:sz="4" w:space="0" w:color="auto"/>
              <w:bottom w:val="single" w:sz="4" w:space="0" w:color="auto"/>
              <w:right w:val="single" w:sz="4" w:space="0" w:color="auto"/>
            </w:tcBorders>
          </w:tcPr>
          <w:p w14:paraId="57C69ACF" w14:textId="77777777" w:rsidR="008E6A06" w:rsidRPr="00CF471D" w:rsidRDefault="008E6A06">
            <w:pPr>
              <w:autoSpaceDE w:val="0"/>
              <w:autoSpaceDN w:val="0"/>
              <w:adjustRightInd w:val="0"/>
              <w:spacing w:after="0" w:line="240" w:lineRule="auto"/>
              <w:jc w:val="right"/>
              <w:rPr>
                <w:color w:val="000000"/>
              </w:rPr>
            </w:pPr>
          </w:p>
        </w:tc>
        <w:tc>
          <w:tcPr>
            <w:tcW w:w="1118" w:type="dxa"/>
            <w:vMerge/>
            <w:tcBorders>
              <w:left w:val="single" w:sz="4" w:space="0" w:color="auto"/>
              <w:bottom w:val="single" w:sz="4" w:space="0" w:color="auto"/>
              <w:right w:val="single" w:sz="4" w:space="0" w:color="auto"/>
            </w:tcBorders>
          </w:tcPr>
          <w:p w14:paraId="792DCD97" w14:textId="77777777" w:rsidR="008E6A06" w:rsidRPr="00CF471D" w:rsidRDefault="008E6A06">
            <w:pPr>
              <w:autoSpaceDE w:val="0"/>
              <w:autoSpaceDN w:val="0"/>
              <w:adjustRightInd w:val="0"/>
              <w:spacing w:after="0" w:line="240" w:lineRule="auto"/>
              <w:jc w:val="right"/>
              <w:rPr>
                <w:color w:val="000000"/>
              </w:rPr>
            </w:pPr>
          </w:p>
        </w:tc>
        <w:tc>
          <w:tcPr>
            <w:tcW w:w="1443" w:type="dxa"/>
            <w:tcBorders>
              <w:top w:val="single" w:sz="4" w:space="0" w:color="auto"/>
              <w:left w:val="single" w:sz="4" w:space="0" w:color="auto"/>
              <w:bottom w:val="single" w:sz="4" w:space="0" w:color="auto"/>
              <w:right w:val="single" w:sz="4" w:space="0" w:color="auto"/>
            </w:tcBorders>
          </w:tcPr>
          <w:p w14:paraId="6D350440" w14:textId="00F299B4" w:rsidR="008E6A06" w:rsidRPr="00CF471D" w:rsidRDefault="008E6A06">
            <w:pPr>
              <w:autoSpaceDE w:val="0"/>
              <w:autoSpaceDN w:val="0"/>
              <w:adjustRightInd w:val="0"/>
              <w:spacing w:after="0" w:line="240" w:lineRule="auto"/>
              <w:rPr>
                <w:color w:val="000000"/>
              </w:rPr>
            </w:pPr>
            <w:r w:rsidRPr="00CF471D">
              <w:rPr>
                <w:color w:val="000000"/>
              </w:rPr>
              <w:t>MSY F</w:t>
            </w:r>
            <w:r w:rsidR="00521B61" w:rsidRPr="00521B61">
              <w:rPr>
                <w:color w:val="000000"/>
                <w:vertAlign w:val="subscript"/>
              </w:rPr>
              <w:t>upper</w:t>
            </w:r>
          </w:p>
        </w:tc>
        <w:tc>
          <w:tcPr>
            <w:tcW w:w="1680" w:type="dxa"/>
            <w:tcBorders>
              <w:top w:val="single" w:sz="4" w:space="0" w:color="auto"/>
              <w:left w:val="single" w:sz="4" w:space="0" w:color="auto"/>
              <w:bottom w:val="single" w:sz="4" w:space="0" w:color="auto"/>
              <w:right w:val="single" w:sz="4" w:space="0" w:color="auto"/>
            </w:tcBorders>
          </w:tcPr>
          <w:p w14:paraId="25F108C2" w14:textId="77777777" w:rsidR="008E6A06" w:rsidRPr="00CF471D" w:rsidRDefault="008E6A06">
            <w:pPr>
              <w:autoSpaceDE w:val="0"/>
              <w:autoSpaceDN w:val="0"/>
              <w:adjustRightInd w:val="0"/>
              <w:spacing w:after="0" w:line="240" w:lineRule="auto"/>
              <w:rPr>
                <w:color w:val="000000"/>
              </w:rPr>
            </w:pPr>
            <w:r w:rsidRPr="00CF471D">
              <w:rPr>
                <w:color w:val="000000"/>
              </w:rPr>
              <w:t>3 (Max, Min, Value)</w:t>
            </w:r>
          </w:p>
        </w:tc>
      </w:tr>
      <w:tr w:rsidR="00CF471D" w:rsidRPr="00CF471D" w14:paraId="11A03495" w14:textId="77777777" w:rsidTr="00F50C72">
        <w:trPr>
          <w:trHeight w:val="290"/>
        </w:trPr>
        <w:tc>
          <w:tcPr>
            <w:tcW w:w="1754" w:type="dxa"/>
            <w:tcBorders>
              <w:top w:val="single" w:sz="4" w:space="0" w:color="auto"/>
              <w:left w:val="single" w:sz="4" w:space="0" w:color="auto"/>
              <w:bottom w:val="single" w:sz="4" w:space="0" w:color="auto"/>
              <w:right w:val="single" w:sz="4" w:space="0" w:color="auto"/>
            </w:tcBorders>
          </w:tcPr>
          <w:p w14:paraId="63332AC2" w14:textId="77777777" w:rsidR="00CF471D" w:rsidRPr="00CF471D" w:rsidRDefault="00CF471D">
            <w:pPr>
              <w:autoSpaceDE w:val="0"/>
              <w:autoSpaceDN w:val="0"/>
              <w:adjustRightInd w:val="0"/>
              <w:spacing w:after="0" w:line="240" w:lineRule="auto"/>
              <w:rPr>
                <w:color w:val="000000"/>
              </w:rPr>
            </w:pPr>
            <w:r w:rsidRPr="00CF471D">
              <w:rPr>
                <w:color w:val="000000"/>
              </w:rPr>
              <w:t>Minimum imbalance</w:t>
            </w:r>
          </w:p>
        </w:tc>
        <w:tc>
          <w:tcPr>
            <w:tcW w:w="2782" w:type="dxa"/>
            <w:tcBorders>
              <w:top w:val="single" w:sz="4" w:space="0" w:color="auto"/>
              <w:left w:val="single" w:sz="4" w:space="0" w:color="auto"/>
              <w:bottom w:val="single" w:sz="4" w:space="0" w:color="auto"/>
              <w:right w:val="single" w:sz="4" w:space="0" w:color="auto"/>
            </w:tcBorders>
          </w:tcPr>
          <w:p w14:paraId="3CFC3775" w14:textId="77777777" w:rsidR="00CF471D" w:rsidRPr="00CF471D" w:rsidRDefault="00CF471D">
            <w:pPr>
              <w:autoSpaceDE w:val="0"/>
              <w:autoSpaceDN w:val="0"/>
              <w:adjustRightInd w:val="0"/>
              <w:spacing w:after="0" w:line="240" w:lineRule="auto"/>
              <w:rPr>
                <w:color w:val="000000"/>
              </w:rPr>
            </w:pPr>
            <w:r w:rsidRPr="00CF471D">
              <w:rPr>
                <w:color w:val="000000"/>
              </w:rPr>
              <w:t>Optimisation of 2016 fishing opportunities</w:t>
            </w:r>
          </w:p>
        </w:tc>
        <w:tc>
          <w:tcPr>
            <w:tcW w:w="1164" w:type="dxa"/>
            <w:tcBorders>
              <w:top w:val="single" w:sz="4" w:space="0" w:color="auto"/>
              <w:left w:val="single" w:sz="4" w:space="0" w:color="auto"/>
              <w:bottom w:val="single" w:sz="4" w:space="0" w:color="auto"/>
              <w:right w:val="single" w:sz="4" w:space="0" w:color="auto"/>
            </w:tcBorders>
          </w:tcPr>
          <w:p w14:paraId="32E85B52" w14:textId="4FC155BC" w:rsidR="00CF471D" w:rsidRPr="00CF471D" w:rsidRDefault="00CF471D">
            <w:pPr>
              <w:autoSpaceDE w:val="0"/>
              <w:autoSpaceDN w:val="0"/>
              <w:adjustRightInd w:val="0"/>
              <w:spacing w:after="0" w:line="240" w:lineRule="auto"/>
              <w:jc w:val="right"/>
              <w:rPr>
                <w:color w:val="000000"/>
              </w:rPr>
            </w:pPr>
            <w:r w:rsidRPr="00CF471D">
              <w:rPr>
                <w:color w:val="000000"/>
              </w:rPr>
              <w:t>2</w:t>
            </w:r>
            <w:r w:rsidR="007172AC">
              <w:rPr>
                <w:color w:val="000000"/>
              </w:rPr>
              <w:t xml:space="preserve"> years</w:t>
            </w:r>
          </w:p>
        </w:tc>
        <w:tc>
          <w:tcPr>
            <w:tcW w:w="1118" w:type="dxa"/>
            <w:tcBorders>
              <w:top w:val="single" w:sz="4" w:space="0" w:color="auto"/>
              <w:left w:val="single" w:sz="4" w:space="0" w:color="auto"/>
              <w:bottom w:val="single" w:sz="4" w:space="0" w:color="auto"/>
              <w:right w:val="single" w:sz="4" w:space="0" w:color="auto"/>
            </w:tcBorders>
          </w:tcPr>
          <w:p w14:paraId="17042E23" w14:textId="77777777" w:rsidR="00CF471D" w:rsidRPr="00CF471D" w:rsidRDefault="00CF471D">
            <w:pPr>
              <w:autoSpaceDE w:val="0"/>
              <w:autoSpaceDN w:val="0"/>
              <w:adjustRightInd w:val="0"/>
              <w:spacing w:after="0" w:line="240" w:lineRule="auto"/>
              <w:jc w:val="right"/>
              <w:rPr>
                <w:color w:val="000000"/>
              </w:rPr>
            </w:pPr>
            <w:r w:rsidRPr="00CF471D">
              <w:rPr>
                <w:color w:val="000000"/>
              </w:rPr>
              <w:t>1</w:t>
            </w:r>
          </w:p>
        </w:tc>
        <w:tc>
          <w:tcPr>
            <w:tcW w:w="1443" w:type="dxa"/>
            <w:tcBorders>
              <w:top w:val="single" w:sz="4" w:space="0" w:color="auto"/>
              <w:left w:val="single" w:sz="4" w:space="0" w:color="auto"/>
              <w:bottom w:val="single" w:sz="4" w:space="0" w:color="auto"/>
              <w:right w:val="single" w:sz="4" w:space="0" w:color="auto"/>
            </w:tcBorders>
          </w:tcPr>
          <w:p w14:paraId="166AA3EC" w14:textId="77777777" w:rsidR="00CF471D" w:rsidRPr="00CF471D" w:rsidRDefault="00CF471D">
            <w:pPr>
              <w:autoSpaceDE w:val="0"/>
              <w:autoSpaceDN w:val="0"/>
              <w:adjustRightInd w:val="0"/>
              <w:spacing w:after="0" w:line="240" w:lineRule="auto"/>
              <w:rPr>
                <w:color w:val="000000"/>
              </w:rPr>
            </w:pPr>
            <w:r w:rsidRPr="00CF471D">
              <w:rPr>
                <w:color w:val="000000"/>
              </w:rPr>
              <w:t>MSY ranges</w:t>
            </w:r>
          </w:p>
        </w:tc>
        <w:tc>
          <w:tcPr>
            <w:tcW w:w="1680" w:type="dxa"/>
            <w:tcBorders>
              <w:top w:val="single" w:sz="4" w:space="0" w:color="auto"/>
              <w:left w:val="single" w:sz="4" w:space="0" w:color="auto"/>
              <w:bottom w:val="single" w:sz="4" w:space="0" w:color="auto"/>
              <w:right w:val="single" w:sz="4" w:space="0" w:color="auto"/>
            </w:tcBorders>
          </w:tcPr>
          <w:p w14:paraId="141F58D9" w14:textId="77777777" w:rsidR="00CF471D" w:rsidRPr="00CF471D" w:rsidRDefault="00CF471D">
            <w:pPr>
              <w:autoSpaceDE w:val="0"/>
              <w:autoSpaceDN w:val="0"/>
              <w:adjustRightInd w:val="0"/>
              <w:spacing w:after="0" w:line="240" w:lineRule="auto"/>
              <w:rPr>
                <w:color w:val="000000"/>
              </w:rPr>
            </w:pPr>
            <w:r w:rsidRPr="00CF471D">
              <w:rPr>
                <w:color w:val="000000"/>
              </w:rPr>
              <w:t>1 (Optim = minimised difference between Max and Min)</w:t>
            </w:r>
          </w:p>
        </w:tc>
      </w:tr>
      <w:tr w:rsidR="008E6A06" w:rsidRPr="00CF471D" w14:paraId="3FFA0581" w14:textId="77777777" w:rsidTr="00F50C72">
        <w:trPr>
          <w:trHeight w:val="290"/>
        </w:trPr>
        <w:tc>
          <w:tcPr>
            <w:tcW w:w="1754" w:type="dxa"/>
            <w:vMerge w:val="restart"/>
            <w:tcBorders>
              <w:top w:val="single" w:sz="4" w:space="0" w:color="auto"/>
              <w:left w:val="single" w:sz="4" w:space="0" w:color="auto"/>
              <w:right w:val="single" w:sz="4" w:space="0" w:color="auto"/>
            </w:tcBorders>
          </w:tcPr>
          <w:p w14:paraId="4A0DF100" w14:textId="77777777" w:rsidR="008E6A06" w:rsidRPr="00CF471D" w:rsidRDefault="008E6A06">
            <w:pPr>
              <w:autoSpaceDE w:val="0"/>
              <w:autoSpaceDN w:val="0"/>
              <w:adjustRightInd w:val="0"/>
              <w:spacing w:after="0" w:line="240" w:lineRule="auto"/>
              <w:rPr>
                <w:color w:val="000000"/>
              </w:rPr>
            </w:pPr>
            <w:r w:rsidRPr="00CF471D">
              <w:rPr>
                <w:color w:val="000000"/>
              </w:rPr>
              <w:t>Impact Assessment</w:t>
            </w:r>
          </w:p>
        </w:tc>
        <w:tc>
          <w:tcPr>
            <w:tcW w:w="2782" w:type="dxa"/>
            <w:vMerge w:val="restart"/>
            <w:tcBorders>
              <w:top w:val="single" w:sz="4" w:space="0" w:color="auto"/>
              <w:left w:val="single" w:sz="4" w:space="0" w:color="auto"/>
              <w:right w:val="single" w:sz="4" w:space="0" w:color="auto"/>
            </w:tcBorders>
          </w:tcPr>
          <w:p w14:paraId="13E361AC" w14:textId="77777777" w:rsidR="008E6A06" w:rsidRPr="00CF471D" w:rsidRDefault="008E6A06">
            <w:pPr>
              <w:autoSpaceDE w:val="0"/>
              <w:autoSpaceDN w:val="0"/>
              <w:adjustRightInd w:val="0"/>
              <w:spacing w:after="0" w:line="240" w:lineRule="auto"/>
              <w:rPr>
                <w:color w:val="000000"/>
              </w:rPr>
            </w:pPr>
            <w:r w:rsidRPr="00CF471D">
              <w:rPr>
                <w:color w:val="000000"/>
              </w:rPr>
              <w:t>Impact in 2016 of different HCR</w:t>
            </w:r>
          </w:p>
        </w:tc>
        <w:tc>
          <w:tcPr>
            <w:tcW w:w="1164" w:type="dxa"/>
            <w:vMerge w:val="restart"/>
            <w:tcBorders>
              <w:top w:val="single" w:sz="4" w:space="0" w:color="auto"/>
              <w:left w:val="single" w:sz="4" w:space="0" w:color="auto"/>
              <w:right w:val="single" w:sz="4" w:space="0" w:color="auto"/>
            </w:tcBorders>
          </w:tcPr>
          <w:p w14:paraId="1526C0B4" w14:textId="504F9C97" w:rsidR="008E6A06" w:rsidRPr="00CF471D" w:rsidRDefault="008E6A06">
            <w:pPr>
              <w:autoSpaceDE w:val="0"/>
              <w:autoSpaceDN w:val="0"/>
              <w:adjustRightInd w:val="0"/>
              <w:spacing w:after="0" w:line="240" w:lineRule="auto"/>
              <w:jc w:val="right"/>
              <w:rPr>
                <w:color w:val="000000"/>
              </w:rPr>
            </w:pPr>
            <w:r w:rsidRPr="00CF471D">
              <w:rPr>
                <w:color w:val="000000"/>
              </w:rPr>
              <w:t>2</w:t>
            </w:r>
            <w:r w:rsidR="007172AC">
              <w:rPr>
                <w:color w:val="000000"/>
              </w:rPr>
              <w:t xml:space="preserve"> years</w:t>
            </w:r>
          </w:p>
        </w:tc>
        <w:tc>
          <w:tcPr>
            <w:tcW w:w="1118" w:type="dxa"/>
            <w:vMerge w:val="restart"/>
            <w:tcBorders>
              <w:top w:val="single" w:sz="4" w:space="0" w:color="auto"/>
              <w:left w:val="single" w:sz="4" w:space="0" w:color="auto"/>
              <w:right w:val="single" w:sz="4" w:space="0" w:color="auto"/>
            </w:tcBorders>
          </w:tcPr>
          <w:p w14:paraId="0ABB7C3B" w14:textId="77777777" w:rsidR="008E6A06" w:rsidRPr="00CF471D" w:rsidRDefault="008E6A06">
            <w:pPr>
              <w:autoSpaceDE w:val="0"/>
              <w:autoSpaceDN w:val="0"/>
              <w:adjustRightInd w:val="0"/>
              <w:spacing w:after="0" w:line="240" w:lineRule="auto"/>
              <w:jc w:val="right"/>
              <w:rPr>
                <w:color w:val="000000"/>
              </w:rPr>
            </w:pPr>
            <w:r w:rsidRPr="00CF471D">
              <w:rPr>
                <w:color w:val="000000"/>
              </w:rPr>
              <w:t>1</w:t>
            </w:r>
          </w:p>
        </w:tc>
        <w:tc>
          <w:tcPr>
            <w:tcW w:w="1443" w:type="dxa"/>
            <w:tcBorders>
              <w:top w:val="single" w:sz="4" w:space="0" w:color="auto"/>
              <w:left w:val="single" w:sz="4" w:space="0" w:color="auto"/>
              <w:bottom w:val="single" w:sz="4" w:space="0" w:color="auto"/>
              <w:right w:val="single" w:sz="4" w:space="0" w:color="auto"/>
            </w:tcBorders>
          </w:tcPr>
          <w:p w14:paraId="559997CF" w14:textId="51D22E8D" w:rsidR="008E6A06" w:rsidRPr="00CF471D" w:rsidRDefault="008E6A06">
            <w:pPr>
              <w:autoSpaceDE w:val="0"/>
              <w:autoSpaceDN w:val="0"/>
              <w:adjustRightInd w:val="0"/>
              <w:spacing w:after="0" w:line="240" w:lineRule="auto"/>
              <w:rPr>
                <w:color w:val="000000"/>
              </w:rPr>
            </w:pPr>
            <w:r w:rsidRPr="00CF471D">
              <w:rPr>
                <w:color w:val="000000"/>
              </w:rPr>
              <w:t>F</w:t>
            </w:r>
            <w:r w:rsidR="00521B61" w:rsidRPr="00521B61">
              <w:rPr>
                <w:color w:val="000000"/>
                <w:vertAlign w:val="subscript"/>
              </w:rPr>
              <w:t>MSY</w:t>
            </w:r>
          </w:p>
        </w:tc>
        <w:tc>
          <w:tcPr>
            <w:tcW w:w="1680" w:type="dxa"/>
            <w:tcBorders>
              <w:top w:val="single" w:sz="4" w:space="0" w:color="auto"/>
              <w:left w:val="single" w:sz="4" w:space="0" w:color="auto"/>
              <w:bottom w:val="single" w:sz="4" w:space="0" w:color="auto"/>
              <w:right w:val="single" w:sz="4" w:space="0" w:color="auto"/>
            </w:tcBorders>
          </w:tcPr>
          <w:p w14:paraId="0061B8C5" w14:textId="77777777" w:rsidR="008E6A06" w:rsidRPr="00CF471D" w:rsidRDefault="008E6A06">
            <w:pPr>
              <w:autoSpaceDE w:val="0"/>
              <w:autoSpaceDN w:val="0"/>
              <w:adjustRightInd w:val="0"/>
              <w:spacing w:after="0" w:line="240" w:lineRule="auto"/>
              <w:rPr>
                <w:color w:val="000000"/>
              </w:rPr>
            </w:pPr>
            <w:r w:rsidRPr="00CF471D">
              <w:rPr>
                <w:color w:val="000000"/>
              </w:rPr>
              <w:t>1 (Value)</w:t>
            </w:r>
          </w:p>
        </w:tc>
      </w:tr>
      <w:tr w:rsidR="008E6A06" w:rsidRPr="00CF471D" w14:paraId="391AF78E" w14:textId="77777777" w:rsidTr="00F50C72">
        <w:trPr>
          <w:trHeight w:val="290"/>
        </w:trPr>
        <w:tc>
          <w:tcPr>
            <w:tcW w:w="1754" w:type="dxa"/>
            <w:vMerge/>
            <w:tcBorders>
              <w:left w:val="single" w:sz="4" w:space="0" w:color="auto"/>
              <w:bottom w:val="single" w:sz="4" w:space="0" w:color="auto"/>
              <w:right w:val="single" w:sz="4" w:space="0" w:color="auto"/>
            </w:tcBorders>
          </w:tcPr>
          <w:p w14:paraId="75B1F895" w14:textId="77777777" w:rsidR="008E6A06" w:rsidRPr="00CF471D" w:rsidRDefault="008E6A06">
            <w:pPr>
              <w:autoSpaceDE w:val="0"/>
              <w:autoSpaceDN w:val="0"/>
              <w:adjustRightInd w:val="0"/>
              <w:spacing w:after="0" w:line="240" w:lineRule="auto"/>
              <w:jc w:val="right"/>
              <w:rPr>
                <w:color w:val="000000"/>
              </w:rPr>
            </w:pPr>
          </w:p>
        </w:tc>
        <w:tc>
          <w:tcPr>
            <w:tcW w:w="2782" w:type="dxa"/>
            <w:vMerge/>
            <w:tcBorders>
              <w:left w:val="single" w:sz="4" w:space="0" w:color="auto"/>
              <w:bottom w:val="single" w:sz="4" w:space="0" w:color="auto"/>
              <w:right w:val="single" w:sz="4" w:space="0" w:color="auto"/>
            </w:tcBorders>
          </w:tcPr>
          <w:p w14:paraId="479A68BC" w14:textId="77777777" w:rsidR="008E6A06" w:rsidRPr="00CF471D" w:rsidRDefault="008E6A06">
            <w:pPr>
              <w:autoSpaceDE w:val="0"/>
              <w:autoSpaceDN w:val="0"/>
              <w:adjustRightInd w:val="0"/>
              <w:spacing w:after="0" w:line="240" w:lineRule="auto"/>
              <w:jc w:val="right"/>
              <w:rPr>
                <w:color w:val="000000"/>
              </w:rPr>
            </w:pPr>
          </w:p>
        </w:tc>
        <w:tc>
          <w:tcPr>
            <w:tcW w:w="1164" w:type="dxa"/>
            <w:vMerge/>
            <w:tcBorders>
              <w:left w:val="single" w:sz="4" w:space="0" w:color="auto"/>
              <w:bottom w:val="single" w:sz="4" w:space="0" w:color="auto"/>
              <w:right w:val="single" w:sz="4" w:space="0" w:color="auto"/>
            </w:tcBorders>
          </w:tcPr>
          <w:p w14:paraId="09B0D0D6" w14:textId="77777777" w:rsidR="008E6A06" w:rsidRPr="00CF471D" w:rsidRDefault="008E6A06">
            <w:pPr>
              <w:autoSpaceDE w:val="0"/>
              <w:autoSpaceDN w:val="0"/>
              <w:adjustRightInd w:val="0"/>
              <w:spacing w:after="0" w:line="240" w:lineRule="auto"/>
              <w:jc w:val="right"/>
              <w:rPr>
                <w:color w:val="000000"/>
              </w:rPr>
            </w:pPr>
          </w:p>
        </w:tc>
        <w:tc>
          <w:tcPr>
            <w:tcW w:w="1118" w:type="dxa"/>
            <w:vMerge/>
            <w:tcBorders>
              <w:left w:val="single" w:sz="4" w:space="0" w:color="auto"/>
              <w:bottom w:val="single" w:sz="4" w:space="0" w:color="auto"/>
              <w:right w:val="single" w:sz="4" w:space="0" w:color="auto"/>
            </w:tcBorders>
          </w:tcPr>
          <w:p w14:paraId="5F4861BB" w14:textId="77777777" w:rsidR="008E6A06" w:rsidRPr="00CF471D" w:rsidRDefault="008E6A06">
            <w:pPr>
              <w:autoSpaceDE w:val="0"/>
              <w:autoSpaceDN w:val="0"/>
              <w:adjustRightInd w:val="0"/>
              <w:spacing w:after="0" w:line="240" w:lineRule="auto"/>
              <w:jc w:val="right"/>
              <w:rPr>
                <w:color w:val="000000"/>
              </w:rPr>
            </w:pPr>
          </w:p>
        </w:tc>
        <w:tc>
          <w:tcPr>
            <w:tcW w:w="1443" w:type="dxa"/>
            <w:tcBorders>
              <w:top w:val="single" w:sz="4" w:space="0" w:color="auto"/>
              <w:left w:val="single" w:sz="4" w:space="0" w:color="auto"/>
              <w:bottom w:val="single" w:sz="4" w:space="0" w:color="auto"/>
              <w:right w:val="single" w:sz="4" w:space="0" w:color="auto"/>
            </w:tcBorders>
          </w:tcPr>
          <w:p w14:paraId="76DA216A" w14:textId="77777777" w:rsidR="008E6A06" w:rsidRPr="00CF471D" w:rsidRDefault="008E6A06">
            <w:pPr>
              <w:autoSpaceDE w:val="0"/>
              <w:autoSpaceDN w:val="0"/>
              <w:adjustRightInd w:val="0"/>
              <w:spacing w:after="0" w:line="240" w:lineRule="auto"/>
              <w:rPr>
                <w:color w:val="000000"/>
              </w:rPr>
            </w:pPr>
            <w:r w:rsidRPr="00CF471D">
              <w:rPr>
                <w:color w:val="000000"/>
              </w:rPr>
              <w:t>Foptim</w:t>
            </w:r>
          </w:p>
        </w:tc>
        <w:tc>
          <w:tcPr>
            <w:tcW w:w="1680" w:type="dxa"/>
            <w:tcBorders>
              <w:top w:val="single" w:sz="4" w:space="0" w:color="auto"/>
              <w:left w:val="single" w:sz="4" w:space="0" w:color="auto"/>
              <w:bottom w:val="single" w:sz="4" w:space="0" w:color="auto"/>
              <w:right w:val="single" w:sz="4" w:space="0" w:color="auto"/>
            </w:tcBorders>
          </w:tcPr>
          <w:p w14:paraId="2940E196" w14:textId="77777777" w:rsidR="008E6A06" w:rsidRPr="00CF471D" w:rsidRDefault="008E6A06">
            <w:pPr>
              <w:autoSpaceDE w:val="0"/>
              <w:autoSpaceDN w:val="0"/>
              <w:adjustRightInd w:val="0"/>
              <w:spacing w:after="0" w:line="240" w:lineRule="auto"/>
              <w:rPr>
                <w:color w:val="000000"/>
              </w:rPr>
            </w:pPr>
            <w:r w:rsidRPr="00CF471D">
              <w:rPr>
                <w:color w:val="000000"/>
              </w:rPr>
              <w:t>1 (</w:t>
            </w:r>
            <w:r w:rsidRPr="008E6A06">
              <w:rPr>
                <w:color w:val="000000"/>
              </w:rPr>
              <w:t>V</w:t>
            </w:r>
            <w:r w:rsidRPr="00CF471D">
              <w:rPr>
                <w:color w:val="000000"/>
              </w:rPr>
              <w:t>alue)</w:t>
            </w:r>
          </w:p>
        </w:tc>
      </w:tr>
    </w:tbl>
    <w:p w14:paraId="56E97EB8" w14:textId="77777777" w:rsidR="008E6A06" w:rsidRDefault="008E6A06" w:rsidP="008E6A06">
      <w:pPr>
        <w:pStyle w:val="Billedtekst"/>
      </w:pPr>
    </w:p>
    <w:p w14:paraId="75C33621" w14:textId="62DCF8B0" w:rsidR="002F1F26" w:rsidRPr="00192214" w:rsidRDefault="008E6A06" w:rsidP="008E6A06">
      <w:pPr>
        <w:pStyle w:val="Billedtekst"/>
      </w:pPr>
      <w:bookmarkStart w:id="5" w:name="_Ref441836590"/>
      <w:r>
        <w:t xml:space="preserve">Table </w:t>
      </w:r>
      <w:r w:rsidR="00B863D4">
        <w:fldChar w:fldCharType="begin"/>
      </w:r>
      <w:r w:rsidR="00B863D4">
        <w:instrText xml:space="preserve"> SEQ Table \* ARABIC </w:instrText>
      </w:r>
      <w:r w:rsidR="00B863D4">
        <w:fldChar w:fldCharType="separate"/>
      </w:r>
      <w:r>
        <w:rPr>
          <w:noProof/>
        </w:rPr>
        <w:t>2</w:t>
      </w:r>
      <w:r w:rsidR="00B863D4">
        <w:rPr>
          <w:noProof/>
        </w:rPr>
        <w:fldChar w:fldCharType="end"/>
      </w:r>
      <w:bookmarkEnd w:id="5"/>
      <w:r>
        <w:t>. Summary of the various analyses and runs performed</w:t>
      </w:r>
    </w:p>
    <w:p w14:paraId="63941AE0" w14:textId="43D7F38B" w:rsidR="005A31C3" w:rsidRDefault="005A31C3">
      <w:pPr>
        <w:spacing w:line="276" w:lineRule="auto"/>
      </w:pPr>
    </w:p>
    <w:p w14:paraId="4EA6F21D" w14:textId="77777777" w:rsidR="005A31C3" w:rsidRDefault="005A31C3">
      <w:pPr>
        <w:spacing w:line="276" w:lineRule="auto"/>
        <w:sectPr w:rsidR="005A31C3" w:rsidSect="00A53034">
          <w:pgSz w:w="11906" w:h="16838"/>
          <w:pgMar w:top="1701" w:right="1134" w:bottom="1701" w:left="1134" w:header="708" w:footer="708" w:gutter="0"/>
          <w:lnNumType w:countBy="1" w:restart="continuous"/>
          <w:cols w:space="708"/>
          <w:docGrid w:linePitch="360"/>
        </w:sectPr>
      </w:pPr>
    </w:p>
    <w:p w14:paraId="17066145" w14:textId="282D0E8E" w:rsidR="005A31C3" w:rsidRDefault="005A31C3">
      <w:pPr>
        <w:spacing w:line="276" w:lineRule="auto"/>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5"/>
        <w:gridCol w:w="684"/>
        <w:gridCol w:w="681"/>
        <w:gridCol w:w="681"/>
        <w:gridCol w:w="680"/>
        <w:gridCol w:w="686"/>
        <w:gridCol w:w="680"/>
        <w:gridCol w:w="680"/>
        <w:gridCol w:w="680"/>
        <w:gridCol w:w="686"/>
        <w:gridCol w:w="680"/>
        <w:gridCol w:w="680"/>
        <w:gridCol w:w="680"/>
        <w:gridCol w:w="686"/>
        <w:gridCol w:w="680"/>
        <w:gridCol w:w="680"/>
        <w:gridCol w:w="680"/>
        <w:gridCol w:w="686"/>
        <w:gridCol w:w="1069"/>
      </w:tblGrid>
      <w:tr w:rsidR="00F50C72" w:rsidRPr="005A31C3" w14:paraId="1C54F513" w14:textId="68A19E47" w:rsidTr="007D6972">
        <w:trPr>
          <w:trHeight w:val="290"/>
        </w:trPr>
        <w:tc>
          <w:tcPr>
            <w:tcW w:w="274" w:type="pct"/>
          </w:tcPr>
          <w:p w14:paraId="67FE16C3" w14:textId="28D91E72" w:rsidR="007D6972" w:rsidRPr="00096E02" w:rsidRDefault="007D6972" w:rsidP="005A31C3">
            <w:pPr>
              <w:autoSpaceDE w:val="0"/>
              <w:autoSpaceDN w:val="0"/>
              <w:adjustRightInd w:val="0"/>
              <w:spacing w:after="0" w:line="240" w:lineRule="auto"/>
              <w:jc w:val="center"/>
              <w:rPr>
                <w:color w:val="000000"/>
                <w:sz w:val="18"/>
                <w:lang w:val="en-US"/>
              </w:rPr>
            </w:pPr>
            <w:r>
              <w:rPr>
                <w:color w:val="000000"/>
                <w:sz w:val="18"/>
                <w:lang w:val="en-US"/>
              </w:rPr>
              <w:t>HCR</w:t>
            </w:r>
          </w:p>
        </w:tc>
        <w:tc>
          <w:tcPr>
            <w:tcW w:w="255" w:type="pct"/>
          </w:tcPr>
          <w:p w14:paraId="19BC1D0B" w14:textId="763C93A0" w:rsidR="007D6972" w:rsidRPr="00096E02" w:rsidRDefault="007D6972" w:rsidP="005A31C3">
            <w:pPr>
              <w:autoSpaceDE w:val="0"/>
              <w:autoSpaceDN w:val="0"/>
              <w:adjustRightInd w:val="0"/>
              <w:spacing w:after="0" w:line="240" w:lineRule="auto"/>
              <w:jc w:val="center"/>
              <w:rPr>
                <w:color w:val="000000"/>
                <w:sz w:val="18"/>
                <w:lang w:val="en-US"/>
              </w:rPr>
            </w:pPr>
            <w:r w:rsidRPr="005A31C3">
              <w:rPr>
                <w:color w:val="000000"/>
                <w:sz w:val="18"/>
                <w:lang w:val="da-DK"/>
              </w:rPr>
              <w:t>sq-E</w:t>
            </w:r>
          </w:p>
        </w:tc>
        <w:tc>
          <w:tcPr>
            <w:tcW w:w="1018" w:type="pct"/>
            <w:gridSpan w:val="4"/>
          </w:tcPr>
          <w:p w14:paraId="4FFEBEA3" w14:textId="047C5B6C" w:rsidR="007D6972" w:rsidRPr="005A31C3" w:rsidRDefault="007D6972" w:rsidP="005A31C3">
            <w:pPr>
              <w:autoSpaceDE w:val="0"/>
              <w:autoSpaceDN w:val="0"/>
              <w:adjustRightInd w:val="0"/>
              <w:spacing w:after="0" w:line="240" w:lineRule="auto"/>
              <w:jc w:val="center"/>
              <w:rPr>
                <w:color w:val="000000"/>
                <w:sz w:val="18"/>
                <w:lang w:val="da-DK"/>
              </w:rPr>
            </w:pPr>
            <w:r w:rsidRPr="005A31C3">
              <w:rPr>
                <w:color w:val="000000"/>
                <w:sz w:val="18"/>
                <w:lang w:val="da-DK"/>
              </w:rPr>
              <w:t>current LTMP</w:t>
            </w:r>
          </w:p>
        </w:tc>
        <w:tc>
          <w:tcPr>
            <w:tcW w:w="1018" w:type="pct"/>
            <w:gridSpan w:val="4"/>
          </w:tcPr>
          <w:p w14:paraId="5DC22E7F" w14:textId="70A82852" w:rsidR="007D6972" w:rsidRPr="005A31C3" w:rsidRDefault="007D6972" w:rsidP="005A31C3">
            <w:pPr>
              <w:autoSpaceDE w:val="0"/>
              <w:autoSpaceDN w:val="0"/>
              <w:adjustRightInd w:val="0"/>
              <w:spacing w:after="0" w:line="240" w:lineRule="auto"/>
              <w:jc w:val="center"/>
              <w:rPr>
                <w:color w:val="000000"/>
                <w:sz w:val="18"/>
                <w:lang w:val="da-DK"/>
              </w:rPr>
            </w:pPr>
            <w:r>
              <w:rPr>
                <w:color w:val="000000"/>
                <w:sz w:val="18"/>
                <w:lang w:val="da-DK"/>
              </w:rPr>
              <w:t xml:space="preserve">MSY </w:t>
            </w:r>
            <w:r w:rsidRPr="005A31C3">
              <w:rPr>
                <w:color w:val="000000"/>
                <w:sz w:val="18"/>
                <w:lang w:val="da-DK"/>
              </w:rPr>
              <w:t>F</w:t>
            </w:r>
            <w:r w:rsidRPr="005A31C3">
              <w:rPr>
                <w:color w:val="000000"/>
                <w:sz w:val="18"/>
                <w:vertAlign w:val="subscript"/>
                <w:lang w:val="da-DK"/>
              </w:rPr>
              <w:t>lower</w:t>
            </w:r>
          </w:p>
        </w:tc>
        <w:tc>
          <w:tcPr>
            <w:tcW w:w="1018" w:type="pct"/>
            <w:gridSpan w:val="4"/>
          </w:tcPr>
          <w:p w14:paraId="7FEF3903" w14:textId="1935B87B" w:rsidR="007D6972" w:rsidRPr="005A31C3" w:rsidRDefault="007D6972" w:rsidP="005A31C3">
            <w:pPr>
              <w:autoSpaceDE w:val="0"/>
              <w:autoSpaceDN w:val="0"/>
              <w:adjustRightInd w:val="0"/>
              <w:spacing w:after="0" w:line="240" w:lineRule="auto"/>
              <w:jc w:val="center"/>
              <w:rPr>
                <w:color w:val="000000"/>
                <w:sz w:val="18"/>
                <w:lang w:val="da-DK"/>
              </w:rPr>
            </w:pPr>
            <w:r w:rsidRPr="005A31C3">
              <w:rPr>
                <w:color w:val="000000"/>
                <w:sz w:val="18"/>
                <w:lang w:val="da-DK"/>
              </w:rPr>
              <w:t>F</w:t>
            </w:r>
            <w:r w:rsidR="00521B61" w:rsidRPr="00521B61">
              <w:rPr>
                <w:color w:val="000000"/>
                <w:sz w:val="18"/>
                <w:vertAlign w:val="subscript"/>
                <w:lang w:val="da-DK"/>
              </w:rPr>
              <w:t>MSY</w:t>
            </w:r>
          </w:p>
        </w:tc>
        <w:tc>
          <w:tcPr>
            <w:tcW w:w="1018" w:type="pct"/>
            <w:gridSpan w:val="4"/>
          </w:tcPr>
          <w:p w14:paraId="04AA824A" w14:textId="7E1FB49E" w:rsidR="007D6972" w:rsidRPr="005A31C3" w:rsidRDefault="007D6972" w:rsidP="005A31C3">
            <w:pPr>
              <w:autoSpaceDE w:val="0"/>
              <w:autoSpaceDN w:val="0"/>
              <w:adjustRightInd w:val="0"/>
              <w:spacing w:after="0" w:line="240" w:lineRule="auto"/>
              <w:jc w:val="center"/>
              <w:rPr>
                <w:color w:val="000000"/>
                <w:sz w:val="18"/>
                <w:lang w:val="da-DK"/>
              </w:rPr>
            </w:pPr>
            <w:r>
              <w:rPr>
                <w:color w:val="000000"/>
                <w:sz w:val="18"/>
                <w:lang w:val="da-DK"/>
              </w:rPr>
              <w:t xml:space="preserve">MSY </w:t>
            </w:r>
            <w:r w:rsidRPr="005A31C3">
              <w:rPr>
                <w:color w:val="000000"/>
                <w:sz w:val="18"/>
                <w:lang w:val="da-DK"/>
              </w:rPr>
              <w:t>F</w:t>
            </w:r>
            <w:r w:rsidRPr="005A31C3">
              <w:rPr>
                <w:color w:val="000000"/>
                <w:sz w:val="18"/>
                <w:vertAlign w:val="subscript"/>
                <w:lang w:val="da-DK"/>
              </w:rPr>
              <w:t>upper</w:t>
            </w:r>
          </w:p>
        </w:tc>
        <w:tc>
          <w:tcPr>
            <w:tcW w:w="399" w:type="pct"/>
          </w:tcPr>
          <w:p w14:paraId="1B4203EE" w14:textId="311AAB2A" w:rsidR="007D6972" w:rsidRDefault="007D6972" w:rsidP="005A31C3">
            <w:pPr>
              <w:autoSpaceDE w:val="0"/>
              <w:autoSpaceDN w:val="0"/>
              <w:adjustRightInd w:val="0"/>
              <w:spacing w:after="0" w:line="240" w:lineRule="auto"/>
              <w:jc w:val="center"/>
              <w:rPr>
                <w:color w:val="000000"/>
                <w:sz w:val="18"/>
                <w:lang w:val="da-DK"/>
              </w:rPr>
            </w:pPr>
            <w:r>
              <w:rPr>
                <w:color w:val="000000"/>
                <w:sz w:val="18"/>
                <w:lang w:val="da-DK"/>
              </w:rPr>
              <w:t>2014</w:t>
            </w:r>
          </w:p>
        </w:tc>
      </w:tr>
      <w:tr w:rsidR="00F50C72" w:rsidRPr="005A31C3" w14:paraId="52ADE327" w14:textId="4E9D77C9" w:rsidTr="007D6972">
        <w:trPr>
          <w:trHeight w:val="290"/>
        </w:trPr>
        <w:tc>
          <w:tcPr>
            <w:tcW w:w="274" w:type="pct"/>
          </w:tcPr>
          <w:p w14:paraId="024AA97B" w14:textId="7795BEF9" w:rsidR="007D6972" w:rsidRPr="005A31C3" w:rsidRDefault="007D6972" w:rsidP="005A31C3">
            <w:pPr>
              <w:autoSpaceDE w:val="0"/>
              <w:autoSpaceDN w:val="0"/>
              <w:adjustRightInd w:val="0"/>
              <w:spacing w:after="0" w:line="240" w:lineRule="auto"/>
              <w:rPr>
                <w:color w:val="000000"/>
                <w:sz w:val="18"/>
                <w:lang w:val="da-DK"/>
              </w:rPr>
            </w:pPr>
            <w:r w:rsidRPr="005A31C3">
              <w:rPr>
                <w:color w:val="000000"/>
                <w:sz w:val="18"/>
                <w:lang w:val="da-DK"/>
              </w:rPr>
              <w:t>Stock</w:t>
            </w:r>
          </w:p>
        </w:tc>
        <w:tc>
          <w:tcPr>
            <w:tcW w:w="255" w:type="pct"/>
          </w:tcPr>
          <w:p w14:paraId="0554836B" w14:textId="16564A5A" w:rsidR="007D6972" w:rsidRPr="005A31C3" w:rsidRDefault="007D6972" w:rsidP="005A31C3">
            <w:pPr>
              <w:autoSpaceDE w:val="0"/>
              <w:autoSpaceDN w:val="0"/>
              <w:adjustRightInd w:val="0"/>
              <w:spacing w:after="0" w:line="240" w:lineRule="auto"/>
              <w:rPr>
                <w:color w:val="000000"/>
                <w:sz w:val="18"/>
                <w:lang w:val="da-DK"/>
              </w:rPr>
            </w:pPr>
          </w:p>
        </w:tc>
        <w:tc>
          <w:tcPr>
            <w:tcW w:w="254" w:type="pct"/>
          </w:tcPr>
          <w:p w14:paraId="1642480A" w14:textId="77777777" w:rsidR="007D6972" w:rsidRPr="005A31C3" w:rsidRDefault="007D6972" w:rsidP="005A31C3">
            <w:pPr>
              <w:autoSpaceDE w:val="0"/>
              <w:autoSpaceDN w:val="0"/>
              <w:adjustRightInd w:val="0"/>
              <w:spacing w:after="0" w:line="240" w:lineRule="auto"/>
              <w:rPr>
                <w:color w:val="000000"/>
                <w:sz w:val="18"/>
                <w:lang w:val="da-DK"/>
              </w:rPr>
            </w:pPr>
            <w:r w:rsidRPr="005A31C3">
              <w:rPr>
                <w:color w:val="000000"/>
                <w:sz w:val="18"/>
                <w:lang w:val="da-DK"/>
              </w:rPr>
              <w:t>SS</w:t>
            </w:r>
          </w:p>
        </w:tc>
        <w:tc>
          <w:tcPr>
            <w:tcW w:w="254" w:type="pct"/>
          </w:tcPr>
          <w:p w14:paraId="07D25989" w14:textId="43B7D205" w:rsidR="007D6972" w:rsidRPr="005A31C3" w:rsidRDefault="007D6972" w:rsidP="005A31C3">
            <w:pPr>
              <w:autoSpaceDE w:val="0"/>
              <w:autoSpaceDN w:val="0"/>
              <w:adjustRightInd w:val="0"/>
              <w:spacing w:after="0" w:line="240" w:lineRule="auto"/>
              <w:rPr>
                <w:color w:val="000000"/>
                <w:sz w:val="18"/>
                <w:lang w:val="da-DK"/>
              </w:rPr>
            </w:pPr>
            <w:r>
              <w:rPr>
                <w:color w:val="000000"/>
                <w:sz w:val="18"/>
                <w:lang w:val="da-DK"/>
              </w:rPr>
              <w:t>M</w:t>
            </w:r>
            <w:r w:rsidRPr="005A31C3">
              <w:rPr>
                <w:color w:val="000000"/>
                <w:sz w:val="18"/>
                <w:lang w:val="da-DK"/>
              </w:rPr>
              <w:t>ax</w:t>
            </w:r>
          </w:p>
        </w:tc>
        <w:tc>
          <w:tcPr>
            <w:tcW w:w="254" w:type="pct"/>
          </w:tcPr>
          <w:p w14:paraId="2BC18793" w14:textId="03ABCFE3" w:rsidR="007D6972" w:rsidRPr="005A31C3" w:rsidRDefault="007D6972" w:rsidP="005A31C3">
            <w:pPr>
              <w:autoSpaceDE w:val="0"/>
              <w:autoSpaceDN w:val="0"/>
              <w:adjustRightInd w:val="0"/>
              <w:spacing w:after="0" w:line="240" w:lineRule="auto"/>
              <w:rPr>
                <w:color w:val="000000"/>
                <w:sz w:val="18"/>
                <w:lang w:val="da-DK"/>
              </w:rPr>
            </w:pPr>
            <w:r>
              <w:rPr>
                <w:color w:val="000000"/>
                <w:sz w:val="18"/>
                <w:lang w:val="da-DK"/>
              </w:rPr>
              <w:t>M</w:t>
            </w:r>
            <w:r w:rsidRPr="005A31C3">
              <w:rPr>
                <w:color w:val="000000"/>
                <w:sz w:val="18"/>
                <w:lang w:val="da-DK"/>
              </w:rPr>
              <w:t>in</w:t>
            </w:r>
          </w:p>
        </w:tc>
        <w:tc>
          <w:tcPr>
            <w:tcW w:w="255" w:type="pct"/>
          </w:tcPr>
          <w:p w14:paraId="3A7AD987" w14:textId="7C330859" w:rsidR="007D6972" w:rsidRPr="005A31C3" w:rsidRDefault="007D6972" w:rsidP="005A31C3">
            <w:pPr>
              <w:autoSpaceDE w:val="0"/>
              <w:autoSpaceDN w:val="0"/>
              <w:adjustRightInd w:val="0"/>
              <w:spacing w:after="0" w:line="240" w:lineRule="auto"/>
              <w:rPr>
                <w:color w:val="000000"/>
                <w:sz w:val="18"/>
                <w:lang w:val="da-DK"/>
              </w:rPr>
            </w:pPr>
            <w:r>
              <w:rPr>
                <w:color w:val="000000"/>
                <w:sz w:val="18"/>
                <w:lang w:val="da-DK"/>
              </w:rPr>
              <w:t>V</w:t>
            </w:r>
            <w:r w:rsidRPr="005A31C3">
              <w:rPr>
                <w:color w:val="000000"/>
                <w:sz w:val="18"/>
                <w:lang w:val="da-DK"/>
              </w:rPr>
              <w:t>al</w:t>
            </w:r>
            <w:r>
              <w:rPr>
                <w:color w:val="000000"/>
                <w:sz w:val="18"/>
                <w:lang w:val="da-DK"/>
              </w:rPr>
              <w:t>ue</w:t>
            </w:r>
          </w:p>
        </w:tc>
        <w:tc>
          <w:tcPr>
            <w:tcW w:w="254" w:type="pct"/>
          </w:tcPr>
          <w:p w14:paraId="15F7F084" w14:textId="77777777" w:rsidR="007D6972" w:rsidRPr="005A31C3" w:rsidRDefault="007D6972" w:rsidP="005A31C3">
            <w:pPr>
              <w:autoSpaceDE w:val="0"/>
              <w:autoSpaceDN w:val="0"/>
              <w:adjustRightInd w:val="0"/>
              <w:spacing w:after="0" w:line="240" w:lineRule="auto"/>
              <w:rPr>
                <w:color w:val="000000"/>
                <w:sz w:val="18"/>
                <w:lang w:val="da-DK"/>
              </w:rPr>
            </w:pPr>
            <w:r w:rsidRPr="005A31C3">
              <w:rPr>
                <w:color w:val="000000"/>
                <w:sz w:val="18"/>
                <w:lang w:val="da-DK"/>
              </w:rPr>
              <w:t>SS</w:t>
            </w:r>
          </w:p>
        </w:tc>
        <w:tc>
          <w:tcPr>
            <w:tcW w:w="254" w:type="pct"/>
          </w:tcPr>
          <w:p w14:paraId="63D2B95D" w14:textId="50DB47D5" w:rsidR="007D6972" w:rsidRPr="005A31C3" w:rsidRDefault="007D6972" w:rsidP="005A31C3">
            <w:pPr>
              <w:autoSpaceDE w:val="0"/>
              <w:autoSpaceDN w:val="0"/>
              <w:adjustRightInd w:val="0"/>
              <w:spacing w:after="0" w:line="240" w:lineRule="auto"/>
              <w:rPr>
                <w:color w:val="000000"/>
                <w:sz w:val="18"/>
                <w:lang w:val="da-DK"/>
              </w:rPr>
            </w:pPr>
            <w:r>
              <w:rPr>
                <w:color w:val="000000"/>
                <w:sz w:val="18"/>
                <w:lang w:val="da-DK"/>
              </w:rPr>
              <w:t>M</w:t>
            </w:r>
            <w:r w:rsidRPr="005A31C3">
              <w:rPr>
                <w:color w:val="000000"/>
                <w:sz w:val="18"/>
                <w:lang w:val="da-DK"/>
              </w:rPr>
              <w:t>ax</w:t>
            </w:r>
          </w:p>
        </w:tc>
        <w:tc>
          <w:tcPr>
            <w:tcW w:w="254" w:type="pct"/>
          </w:tcPr>
          <w:p w14:paraId="261E1494" w14:textId="7A5FECAA" w:rsidR="007D6972" w:rsidRPr="005A31C3" w:rsidRDefault="007D6972" w:rsidP="005A31C3">
            <w:pPr>
              <w:autoSpaceDE w:val="0"/>
              <w:autoSpaceDN w:val="0"/>
              <w:adjustRightInd w:val="0"/>
              <w:spacing w:after="0" w:line="240" w:lineRule="auto"/>
              <w:rPr>
                <w:color w:val="000000"/>
                <w:sz w:val="18"/>
                <w:lang w:val="da-DK"/>
              </w:rPr>
            </w:pPr>
            <w:r>
              <w:rPr>
                <w:color w:val="000000"/>
                <w:sz w:val="18"/>
                <w:lang w:val="da-DK"/>
              </w:rPr>
              <w:t>M</w:t>
            </w:r>
            <w:r w:rsidRPr="005A31C3">
              <w:rPr>
                <w:color w:val="000000"/>
                <w:sz w:val="18"/>
                <w:lang w:val="da-DK"/>
              </w:rPr>
              <w:t>in</w:t>
            </w:r>
          </w:p>
        </w:tc>
        <w:tc>
          <w:tcPr>
            <w:tcW w:w="255" w:type="pct"/>
          </w:tcPr>
          <w:p w14:paraId="6B084BE7" w14:textId="284C3483" w:rsidR="007D6972" w:rsidRPr="005A31C3" w:rsidRDefault="007D6972" w:rsidP="005A31C3">
            <w:pPr>
              <w:autoSpaceDE w:val="0"/>
              <w:autoSpaceDN w:val="0"/>
              <w:adjustRightInd w:val="0"/>
              <w:spacing w:after="0" w:line="240" w:lineRule="auto"/>
              <w:rPr>
                <w:color w:val="000000"/>
                <w:sz w:val="18"/>
                <w:lang w:val="da-DK"/>
              </w:rPr>
            </w:pPr>
            <w:r>
              <w:rPr>
                <w:color w:val="000000"/>
                <w:sz w:val="18"/>
                <w:lang w:val="da-DK"/>
              </w:rPr>
              <w:t>V</w:t>
            </w:r>
            <w:r w:rsidRPr="005A31C3">
              <w:rPr>
                <w:color w:val="000000"/>
                <w:sz w:val="18"/>
                <w:lang w:val="da-DK"/>
              </w:rPr>
              <w:t>al</w:t>
            </w:r>
            <w:r>
              <w:rPr>
                <w:color w:val="000000"/>
                <w:sz w:val="18"/>
                <w:lang w:val="da-DK"/>
              </w:rPr>
              <w:t>ue</w:t>
            </w:r>
          </w:p>
        </w:tc>
        <w:tc>
          <w:tcPr>
            <w:tcW w:w="254" w:type="pct"/>
          </w:tcPr>
          <w:p w14:paraId="3854CA77" w14:textId="77777777" w:rsidR="007D6972" w:rsidRPr="005A31C3" w:rsidRDefault="007D6972" w:rsidP="005A31C3">
            <w:pPr>
              <w:autoSpaceDE w:val="0"/>
              <w:autoSpaceDN w:val="0"/>
              <w:adjustRightInd w:val="0"/>
              <w:spacing w:after="0" w:line="240" w:lineRule="auto"/>
              <w:rPr>
                <w:color w:val="000000"/>
                <w:sz w:val="18"/>
                <w:lang w:val="da-DK"/>
              </w:rPr>
            </w:pPr>
            <w:r w:rsidRPr="005A31C3">
              <w:rPr>
                <w:color w:val="000000"/>
                <w:sz w:val="18"/>
                <w:lang w:val="da-DK"/>
              </w:rPr>
              <w:t>SS</w:t>
            </w:r>
          </w:p>
        </w:tc>
        <w:tc>
          <w:tcPr>
            <w:tcW w:w="254" w:type="pct"/>
          </w:tcPr>
          <w:p w14:paraId="27E80023" w14:textId="1FEAE901" w:rsidR="007D6972" w:rsidRPr="005A31C3" w:rsidRDefault="007D6972" w:rsidP="005A31C3">
            <w:pPr>
              <w:autoSpaceDE w:val="0"/>
              <w:autoSpaceDN w:val="0"/>
              <w:adjustRightInd w:val="0"/>
              <w:spacing w:after="0" w:line="240" w:lineRule="auto"/>
              <w:rPr>
                <w:color w:val="000000"/>
                <w:sz w:val="18"/>
                <w:lang w:val="da-DK"/>
              </w:rPr>
            </w:pPr>
            <w:r>
              <w:rPr>
                <w:color w:val="000000"/>
                <w:sz w:val="18"/>
                <w:lang w:val="da-DK"/>
              </w:rPr>
              <w:t>M</w:t>
            </w:r>
            <w:r w:rsidRPr="005A31C3">
              <w:rPr>
                <w:color w:val="000000"/>
                <w:sz w:val="18"/>
                <w:lang w:val="da-DK"/>
              </w:rPr>
              <w:t>ax</w:t>
            </w:r>
          </w:p>
        </w:tc>
        <w:tc>
          <w:tcPr>
            <w:tcW w:w="254" w:type="pct"/>
          </w:tcPr>
          <w:p w14:paraId="0A5A0E71" w14:textId="2DCE3565" w:rsidR="007D6972" w:rsidRPr="005A31C3" w:rsidRDefault="007D6972" w:rsidP="005A31C3">
            <w:pPr>
              <w:autoSpaceDE w:val="0"/>
              <w:autoSpaceDN w:val="0"/>
              <w:adjustRightInd w:val="0"/>
              <w:spacing w:after="0" w:line="240" w:lineRule="auto"/>
              <w:rPr>
                <w:color w:val="000000"/>
                <w:sz w:val="18"/>
                <w:lang w:val="da-DK"/>
              </w:rPr>
            </w:pPr>
            <w:r>
              <w:rPr>
                <w:color w:val="000000"/>
                <w:sz w:val="18"/>
                <w:lang w:val="da-DK"/>
              </w:rPr>
              <w:t>M</w:t>
            </w:r>
            <w:r w:rsidRPr="005A31C3">
              <w:rPr>
                <w:color w:val="000000"/>
                <w:sz w:val="18"/>
                <w:lang w:val="da-DK"/>
              </w:rPr>
              <w:t>in</w:t>
            </w:r>
          </w:p>
        </w:tc>
        <w:tc>
          <w:tcPr>
            <w:tcW w:w="255" w:type="pct"/>
          </w:tcPr>
          <w:p w14:paraId="3BE8C2B8" w14:textId="5B29972A" w:rsidR="007D6972" w:rsidRPr="005A31C3" w:rsidRDefault="007D6972" w:rsidP="005A31C3">
            <w:pPr>
              <w:autoSpaceDE w:val="0"/>
              <w:autoSpaceDN w:val="0"/>
              <w:adjustRightInd w:val="0"/>
              <w:spacing w:after="0" w:line="240" w:lineRule="auto"/>
              <w:rPr>
                <w:color w:val="000000"/>
                <w:sz w:val="18"/>
                <w:lang w:val="da-DK"/>
              </w:rPr>
            </w:pPr>
            <w:r>
              <w:rPr>
                <w:color w:val="000000"/>
                <w:sz w:val="18"/>
                <w:lang w:val="da-DK"/>
              </w:rPr>
              <w:t>V</w:t>
            </w:r>
            <w:r w:rsidRPr="005A31C3">
              <w:rPr>
                <w:color w:val="000000"/>
                <w:sz w:val="18"/>
                <w:lang w:val="da-DK"/>
              </w:rPr>
              <w:t>al</w:t>
            </w:r>
            <w:r>
              <w:rPr>
                <w:color w:val="000000"/>
                <w:sz w:val="18"/>
                <w:lang w:val="da-DK"/>
              </w:rPr>
              <w:t>ue</w:t>
            </w:r>
          </w:p>
        </w:tc>
        <w:tc>
          <w:tcPr>
            <w:tcW w:w="254" w:type="pct"/>
          </w:tcPr>
          <w:p w14:paraId="6B82D320" w14:textId="77777777" w:rsidR="007D6972" w:rsidRPr="005A31C3" w:rsidRDefault="007D6972" w:rsidP="005A31C3">
            <w:pPr>
              <w:autoSpaceDE w:val="0"/>
              <w:autoSpaceDN w:val="0"/>
              <w:adjustRightInd w:val="0"/>
              <w:spacing w:after="0" w:line="240" w:lineRule="auto"/>
              <w:rPr>
                <w:color w:val="000000"/>
                <w:sz w:val="18"/>
                <w:lang w:val="da-DK"/>
              </w:rPr>
            </w:pPr>
            <w:r w:rsidRPr="005A31C3">
              <w:rPr>
                <w:color w:val="000000"/>
                <w:sz w:val="18"/>
                <w:lang w:val="da-DK"/>
              </w:rPr>
              <w:t>SS</w:t>
            </w:r>
          </w:p>
        </w:tc>
        <w:tc>
          <w:tcPr>
            <w:tcW w:w="254" w:type="pct"/>
          </w:tcPr>
          <w:p w14:paraId="14EA5B01" w14:textId="1EE4DCB8" w:rsidR="007D6972" w:rsidRPr="005A31C3" w:rsidRDefault="007D6972" w:rsidP="005A31C3">
            <w:pPr>
              <w:autoSpaceDE w:val="0"/>
              <w:autoSpaceDN w:val="0"/>
              <w:adjustRightInd w:val="0"/>
              <w:spacing w:after="0" w:line="240" w:lineRule="auto"/>
              <w:rPr>
                <w:color w:val="000000"/>
                <w:sz w:val="18"/>
                <w:lang w:val="da-DK"/>
              </w:rPr>
            </w:pPr>
            <w:r>
              <w:rPr>
                <w:color w:val="000000"/>
                <w:sz w:val="18"/>
                <w:lang w:val="da-DK"/>
              </w:rPr>
              <w:t>M</w:t>
            </w:r>
            <w:r w:rsidRPr="005A31C3">
              <w:rPr>
                <w:color w:val="000000"/>
                <w:sz w:val="18"/>
                <w:lang w:val="da-DK"/>
              </w:rPr>
              <w:t>ax</w:t>
            </w:r>
          </w:p>
        </w:tc>
        <w:tc>
          <w:tcPr>
            <w:tcW w:w="254" w:type="pct"/>
          </w:tcPr>
          <w:p w14:paraId="7DB1E9E2" w14:textId="4F5AE40A" w:rsidR="007D6972" w:rsidRPr="005A31C3" w:rsidRDefault="007D6972" w:rsidP="005A31C3">
            <w:pPr>
              <w:autoSpaceDE w:val="0"/>
              <w:autoSpaceDN w:val="0"/>
              <w:adjustRightInd w:val="0"/>
              <w:spacing w:after="0" w:line="240" w:lineRule="auto"/>
              <w:rPr>
                <w:color w:val="000000"/>
                <w:sz w:val="18"/>
                <w:lang w:val="da-DK"/>
              </w:rPr>
            </w:pPr>
            <w:r>
              <w:rPr>
                <w:color w:val="000000"/>
                <w:sz w:val="18"/>
                <w:lang w:val="da-DK"/>
              </w:rPr>
              <w:t>M</w:t>
            </w:r>
            <w:r w:rsidRPr="005A31C3">
              <w:rPr>
                <w:color w:val="000000"/>
                <w:sz w:val="18"/>
                <w:lang w:val="da-DK"/>
              </w:rPr>
              <w:t>in</w:t>
            </w:r>
          </w:p>
        </w:tc>
        <w:tc>
          <w:tcPr>
            <w:tcW w:w="255" w:type="pct"/>
          </w:tcPr>
          <w:p w14:paraId="2D668FF8" w14:textId="141FB96F" w:rsidR="007D6972" w:rsidRPr="005A31C3" w:rsidRDefault="007D6972" w:rsidP="005A31C3">
            <w:pPr>
              <w:autoSpaceDE w:val="0"/>
              <w:autoSpaceDN w:val="0"/>
              <w:adjustRightInd w:val="0"/>
              <w:spacing w:after="0" w:line="240" w:lineRule="auto"/>
              <w:rPr>
                <w:color w:val="000000"/>
                <w:sz w:val="18"/>
                <w:lang w:val="da-DK"/>
              </w:rPr>
            </w:pPr>
            <w:r>
              <w:rPr>
                <w:color w:val="000000"/>
                <w:sz w:val="18"/>
                <w:lang w:val="da-DK"/>
              </w:rPr>
              <w:t>V</w:t>
            </w:r>
            <w:r w:rsidRPr="005A31C3">
              <w:rPr>
                <w:color w:val="000000"/>
                <w:sz w:val="18"/>
                <w:lang w:val="da-DK"/>
              </w:rPr>
              <w:t>al</w:t>
            </w:r>
            <w:r>
              <w:rPr>
                <w:color w:val="000000"/>
                <w:sz w:val="18"/>
                <w:lang w:val="da-DK"/>
              </w:rPr>
              <w:t>ue</w:t>
            </w:r>
          </w:p>
        </w:tc>
        <w:tc>
          <w:tcPr>
            <w:tcW w:w="399" w:type="pct"/>
          </w:tcPr>
          <w:p w14:paraId="0A0927F3" w14:textId="38F1EDFE" w:rsidR="007D6972" w:rsidRDefault="007D6972" w:rsidP="005A31C3">
            <w:pPr>
              <w:autoSpaceDE w:val="0"/>
              <w:autoSpaceDN w:val="0"/>
              <w:adjustRightInd w:val="0"/>
              <w:spacing w:after="0" w:line="240" w:lineRule="auto"/>
              <w:rPr>
                <w:color w:val="000000"/>
                <w:sz w:val="18"/>
                <w:lang w:val="da-DK"/>
              </w:rPr>
            </w:pPr>
          </w:p>
        </w:tc>
      </w:tr>
      <w:tr w:rsidR="00F50C72" w:rsidRPr="005A31C3" w14:paraId="57F62D01" w14:textId="1C4E4529" w:rsidTr="007D6972">
        <w:trPr>
          <w:trHeight w:val="290"/>
        </w:trPr>
        <w:tc>
          <w:tcPr>
            <w:tcW w:w="274" w:type="pct"/>
          </w:tcPr>
          <w:p w14:paraId="73F022A3" w14:textId="77777777" w:rsidR="007D6972" w:rsidRPr="005A31C3" w:rsidRDefault="007D6972" w:rsidP="005A31C3">
            <w:pPr>
              <w:autoSpaceDE w:val="0"/>
              <w:autoSpaceDN w:val="0"/>
              <w:adjustRightInd w:val="0"/>
              <w:spacing w:after="0" w:line="240" w:lineRule="auto"/>
              <w:rPr>
                <w:color w:val="000000"/>
                <w:sz w:val="18"/>
                <w:lang w:val="da-DK"/>
              </w:rPr>
            </w:pPr>
            <w:r w:rsidRPr="005A31C3">
              <w:rPr>
                <w:color w:val="000000"/>
                <w:sz w:val="18"/>
                <w:lang w:val="da-DK"/>
              </w:rPr>
              <w:t>COD</w:t>
            </w:r>
          </w:p>
        </w:tc>
        <w:tc>
          <w:tcPr>
            <w:tcW w:w="255" w:type="pct"/>
          </w:tcPr>
          <w:p w14:paraId="5E6DAE64"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91005</w:t>
            </w:r>
          </w:p>
        </w:tc>
        <w:tc>
          <w:tcPr>
            <w:tcW w:w="254" w:type="pct"/>
          </w:tcPr>
          <w:p w14:paraId="30C810D0"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93804</w:t>
            </w:r>
          </w:p>
        </w:tc>
        <w:tc>
          <w:tcPr>
            <w:tcW w:w="254" w:type="pct"/>
          </w:tcPr>
          <w:p w14:paraId="0639D747"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87817</w:t>
            </w:r>
          </w:p>
        </w:tc>
        <w:tc>
          <w:tcPr>
            <w:tcW w:w="254" w:type="pct"/>
          </w:tcPr>
          <w:p w14:paraId="74047EDB"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38411</w:t>
            </w:r>
          </w:p>
        </w:tc>
        <w:tc>
          <w:tcPr>
            <w:tcW w:w="255" w:type="pct"/>
          </w:tcPr>
          <w:p w14:paraId="6B837D02"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87617</w:t>
            </w:r>
          </w:p>
        </w:tc>
        <w:tc>
          <w:tcPr>
            <w:tcW w:w="254" w:type="pct"/>
          </w:tcPr>
          <w:p w14:paraId="2E5FB3AF"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72754</w:t>
            </w:r>
          </w:p>
        </w:tc>
        <w:tc>
          <w:tcPr>
            <w:tcW w:w="254" w:type="pct"/>
          </w:tcPr>
          <w:p w14:paraId="287D0117"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87848</w:t>
            </w:r>
          </w:p>
        </w:tc>
        <w:tc>
          <w:tcPr>
            <w:tcW w:w="254" w:type="pct"/>
          </w:tcPr>
          <w:p w14:paraId="5E9F91E4"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59911</w:t>
            </w:r>
          </w:p>
        </w:tc>
        <w:tc>
          <w:tcPr>
            <w:tcW w:w="255" w:type="pct"/>
          </w:tcPr>
          <w:p w14:paraId="2AACBD0F"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77345</w:t>
            </w:r>
          </w:p>
        </w:tc>
        <w:tc>
          <w:tcPr>
            <w:tcW w:w="254" w:type="pct"/>
          </w:tcPr>
          <w:p w14:paraId="3FDDAB23"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86211</w:t>
            </w:r>
          </w:p>
        </w:tc>
        <w:tc>
          <w:tcPr>
            <w:tcW w:w="254" w:type="pct"/>
          </w:tcPr>
          <w:p w14:paraId="35FB2A84"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91249</w:t>
            </w:r>
          </w:p>
        </w:tc>
        <w:tc>
          <w:tcPr>
            <w:tcW w:w="254" w:type="pct"/>
          </w:tcPr>
          <w:p w14:paraId="7F9AEAC2"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76360</w:t>
            </w:r>
          </w:p>
        </w:tc>
        <w:tc>
          <w:tcPr>
            <w:tcW w:w="255" w:type="pct"/>
          </w:tcPr>
          <w:p w14:paraId="752D0863"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89058</w:t>
            </w:r>
          </w:p>
        </w:tc>
        <w:tc>
          <w:tcPr>
            <w:tcW w:w="254" w:type="pct"/>
            <w:vAlign w:val="bottom"/>
          </w:tcPr>
          <w:p w14:paraId="5BA7BE2A" w14:textId="745A7C91" w:rsidR="007D6972" w:rsidRPr="007D6972" w:rsidRDefault="007D6972" w:rsidP="005A31C3">
            <w:pPr>
              <w:autoSpaceDE w:val="0"/>
              <w:autoSpaceDN w:val="0"/>
              <w:adjustRightInd w:val="0"/>
              <w:spacing w:after="0" w:line="240" w:lineRule="auto"/>
              <w:jc w:val="right"/>
              <w:rPr>
                <w:color w:val="000000"/>
                <w:sz w:val="18"/>
                <w:szCs w:val="18"/>
                <w:lang w:val="da-DK"/>
              </w:rPr>
            </w:pPr>
            <w:r w:rsidRPr="00F50C72">
              <w:rPr>
                <w:color w:val="000000"/>
                <w:sz w:val="18"/>
              </w:rPr>
              <w:t>91872</w:t>
            </w:r>
          </w:p>
        </w:tc>
        <w:tc>
          <w:tcPr>
            <w:tcW w:w="254" w:type="pct"/>
            <w:vAlign w:val="bottom"/>
          </w:tcPr>
          <w:p w14:paraId="4D37495E" w14:textId="4771436F" w:rsidR="007D6972" w:rsidRPr="007D6972" w:rsidRDefault="007D6972" w:rsidP="005A31C3">
            <w:pPr>
              <w:autoSpaceDE w:val="0"/>
              <w:autoSpaceDN w:val="0"/>
              <w:adjustRightInd w:val="0"/>
              <w:spacing w:after="0" w:line="240" w:lineRule="auto"/>
              <w:jc w:val="right"/>
              <w:rPr>
                <w:color w:val="000000"/>
                <w:sz w:val="18"/>
                <w:szCs w:val="18"/>
                <w:lang w:val="da-DK"/>
              </w:rPr>
            </w:pPr>
            <w:r w:rsidRPr="007D6972">
              <w:rPr>
                <w:color w:val="000000"/>
                <w:sz w:val="18"/>
                <w:szCs w:val="18"/>
              </w:rPr>
              <w:t>83639</w:t>
            </w:r>
          </w:p>
        </w:tc>
        <w:tc>
          <w:tcPr>
            <w:tcW w:w="254" w:type="pct"/>
            <w:vAlign w:val="bottom"/>
          </w:tcPr>
          <w:p w14:paraId="5D067B81" w14:textId="70426E8E" w:rsidR="007D6972" w:rsidRPr="007D6972" w:rsidRDefault="007D6972" w:rsidP="005A31C3">
            <w:pPr>
              <w:autoSpaceDE w:val="0"/>
              <w:autoSpaceDN w:val="0"/>
              <w:adjustRightInd w:val="0"/>
              <w:spacing w:after="0" w:line="240" w:lineRule="auto"/>
              <w:jc w:val="right"/>
              <w:rPr>
                <w:color w:val="000000"/>
                <w:sz w:val="18"/>
                <w:szCs w:val="18"/>
                <w:lang w:val="da-DK"/>
              </w:rPr>
            </w:pPr>
            <w:r w:rsidRPr="007D6972">
              <w:rPr>
                <w:color w:val="000000"/>
                <w:sz w:val="18"/>
                <w:szCs w:val="18"/>
              </w:rPr>
              <w:t>81422</w:t>
            </w:r>
          </w:p>
        </w:tc>
        <w:tc>
          <w:tcPr>
            <w:tcW w:w="255" w:type="pct"/>
            <w:vAlign w:val="bottom"/>
          </w:tcPr>
          <w:p w14:paraId="5CBCF454" w14:textId="573BF9C2" w:rsidR="007D6972" w:rsidRPr="007D6972" w:rsidRDefault="007D6972" w:rsidP="005A31C3">
            <w:pPr>
              <w:autoSpaceDE w:val="0"/>
              <w:autoSpaceDN w:val="0"/>
              <w:adjustRightInd w:val="0"/>
              <w:spacing w:after="0" w:line="240" w:lineRule="auto"/>
              <w:jc w:val="right"/>
              <w:rPr>
                <w:color w:val="000000"/>
                <w:sz w:val="18"/>
                <w:szCs w:val="18"/>
                <w:lang w:val="da-DK"/>
              </w:rPr>
            </w:pPr>
            <w:r w:rsidRPr="007D6972">
              <w:rPr>
                <w:color w:val="000000"/>
                <w:sz w:val="18"/>
                <w:szCs w:val="18"/>
              </w:rPr>
              <w:t>93075</w:t>
            </w:r>
          </w:p>
        </w:tc>
        <w:tc>
          <w:tcPr>
            <w:tcW w:w="399" w:type="pct"/>
            <w:vAlign w:val="bottom"/>
          </w:tcPr>
          <w:p w14:paraId="01BFEBFF" w14:textId="52B69FF9" w:rsidR="007D6972" w:rsidRPr="007D6972" w:rsidRDefault="007D6972" w:rsidP="005A31C3">
            <w:pPr>
              <w:autoSpaceDE w:val="0"/>
              <w:autoSpaceDN w:val="0"/>
              <w:adjustRightInd w:val="0"/>
              <w:spacing w:after="0" w:line="240" w:lineRule="auto"/>
              <w:jc w:val="right"/>
              <w:rPr>
                <w:color w:val="000000"/>
                <w:sz w:val="18"/>
                <w:szCs w:val="18"/>
              </w:rPr>
            </w:pPr>
            <w:r w:rsidRPr="007D6972">
              <w:rPr>
                <w:color w:val="000000"/>
                <w:sz w:val="18"/>
                <w:szCs w:val="18"/>
              </w:rPr>
              <w:t>45266</w:t>
            </w:r>
          </w:p>
        </w:tc>
      </w:tr>
      <w:tr w:rsidR="00F50C72" w:rsidRPr="005A31C3" w14:paraId="70F29C58" w14:textId="3ACD4EA8" w:rsidTr="007D6972">
        <w:trPr>
          <w:trHeight w:val="290"/>
        </w:trPr>
        <w:tc>
          <w:tcPr>
            <w:tcW w:w="274" w:type="pct"/>
          </w:tcPr>
          <w:p w14:paraId="1A296E2F" w14:textId="77777777" w:rsidR="007D6972" w:rsidRPr="005A31C3" w:rsidRDefault="007D6972" w:rsidP="005A31C3">
            <w:pPr>
              <w:autoSpaceDE w:val="0"/>
              <w:autoSpaceDN w:val="0"/>
              <w:adjustRightInd w:val="0"/>
              <w:spacing w:after="0" w:line="240" w:lineRule="auto"/>
              <w:rPr>
                <w:color w:val="000000"/>
                <w:sz w:val="18"/>
                <w:lang w:val="da-DK"/>
              </w:rPr>
            </w:pPr>
            <w:r w:rsidRPr="005A31C3">
              <w:rPr>
                <w:color w:val="000000"/>
                <w:sz w:val="18"/>
                <w:lang w:val="da-DK"/>
              </w:rPr>
              <w:t>HAD</w:t>
            </w:r>
          </w:p>
        </w:tc>
        <w:tc>
          <w:tcPr>
            <w:tcW w:w="255" w:type="pct"/>
          </w:tcPr>
          <w:p w14:paraId="4274CD5A"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197482</w:t>
            </w:r>
          </w:p>
        </w:tc>
        <w:tc>
          <w:tcPr>
            <w:tcW w:w="254" w:type="pct"/>
          </w:tcPr>
          <w:p w14:paraId="15F6CC17"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107913</w:t>
            </w:r>
          </w:p>
        </w:tc>
        <w:tc>
          <w:tcPr>
            <w:tcW w:w="254" w:type="pct"/>
          </w:tcPr>
          <w:p w14:paraId="38005264"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252288</w:t>
            </w:r>
          </w:p>
        </w:tc>
        <w:tc>
          <w:tcPr>
            <w:tcW w:w="254" w:type="pct"/>
          </w:tcPr>
          <w:p w14:paraId="7F659D77"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66341</w:t>
            </w:r>
          </w:p>
        </w:tc>
        <w:tc>
          <w:tcPr>
            <w:tcW w:w="255" w:type="pct"/>
          </w:tcPr>
          <w:p w14:paraId="7856E7F2"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140445</w:t>
            </w:r>
          </w:p>
        </w:tc>
        <w:tc>
          <w:tcPr>
            <w:tcW w:w="254" w:type="pct"/>
          </w:tcPr>
          <w:p w14:paraId="390D2993"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187659</w:t>
            </w:r>
          </w:p>
        </w:tc>
        <w:tc>
          <w:tcPr>
            <w:tcW w:w="254" w:type="pct"/>
          </w:tcPr>
          <w:p w14:paraId="4900AD37"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181113</w:t>
            </w:r>
          </w:p>
        </w:tc>
        <w:tc>
          <w:tcPr>
            <w:tcW w:w="254" w:type="pct"/>
          </w:tcPr>
          <w:p w14:paraId="3A01F564"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93749</w:t>
            </w:r>
          </w:p>
        </w:tc>
        <w:tc>
          <w:tcPr>
            <w:tcW w:w="255" w:type="pct"/>
          </w:tcPr>
          <w:p w14:paraId="782FD212"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132500</w:t>
            </w:r>
          </w:p>
        </w:tc>
        <w:tc>
          <w:tcPr>
            <w:tcW w:w="254" w:type="pct"/>
          </w:tcPr>
          <w:p w14:paraId="5D9AE716"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230545</w:t>
            </w:r>
          </w:p>
        </w:tc>
        <w:tc>
          <w:tcPr>
            <w:tcW w:w="254" w:type="pct"/>
          </w:tcPr>
          <w:p w14:paraId="1AA01C13"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214066</w:t>
            </w:r>
          </w:p>
        </w:tc>
        <w:tc>
          <w:tcPr>
            <w:tcW w:w="254" w:type="pct"/>
          </w:tcPr>
          <w:p w14:paraId="0B61B9A8"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131553</w:t>
            </w:r>
          </w:p>
        </w:tc>
        <w:tc>
          <w:tcPr>
            <w:tcW w:w="255" w:type="pct"/>
          </w:tcPr>
          <w:p w14:paraId="3F1C10B6"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171737</w:t>
            </w:r>
          </w:p>
        </w:tc>
        <w:tc>
          <w:tcPr>
            <w:tcW w:w="254" w:type="pct"/>
            <w:vAlign w:val="bottom"/>
          </w:tcPr>
          <w:p w14:paraId="32B9F62D" w14:textId="4A014A26" w:rsidR="007D6972" w:rsidRPr="007D6972" w:rsidRDefault="007D6972" w:rsidP="005A31C3">
            <w:pPr>
              <w:autoSpaceDE w:val="0"/>
              <w:autoSpaceDN w:val="0"/>
              <w:adjustRightInd w:val="0"/>
              <w:spacing w:after="0" w:line="240" w:lineRule="auto"/>
              <w:jc w:val="right"/>
              <w:rPr>
                <w:color w:val="000000"/>
                <w:sz w:val="18"/>
                <w:szCs w:val="18"/>
                <w:lang w:val="da-DK"/>
              </w:rPr>
            </w:pPr>
            <w:r w:rsidRPr="007D6972">
              <w:rPr>
                <w:color w:val="000000"/>
                <w:sz w:val="18"/>
                <w:szCs w:val="18"/>
              </w:rPr>
              <w:t>261704</w:t>
            </w:r>
          </w:p>
        </w:tc>
        <w:tc>
          <w:tcPr>
            <w:tcW w:w="254" w:type="pct"/>
            <w:vAlign w:val="bottom"/>
          </w:tcPr>
          <w:p w14:paraId="2325F0F2" w14:textId="4EFC8DBA" w:rsidR="007D6972" w:rsidRPr="007D6972" w:rsidRDefault="007D6972" w:rsidP="005A31C3">
            <w:pPr>
              <w:autoSpaceDE w:val="0"/>
              <w:autoSpaceDN w:val="0"/>
              <w:adjustRightInd w:val="0"/>
              <w:spacing w:after="0" w:line="240" w:lineRule="auto"/>
              <w:jc w:val="right"/>
              <w:rPr>
                <w:color w:val="000000"/>
                <w:sz w:val="18"/>
                <w:szCs w:val="18"/>
                <w:lang w:val="da-DK"/>
              </w:rPr>
            </w:pPr>
            <w:r w:rsidRPr="007D6972">
              <w:rPr>
                <w:color w:val="000000"/>
                <w:sz w:val="18"/>
                <w:szCs w:val="18"/>
              </w:rPr>
              <w:t>244841</w:t>
            </w:r>
          </w:p>
        </w:tc>
        <w:tc>
          <w:tcPr>
            <w:tcW w:w="254" w:type="pct"/>
            <w:vAlign w:val="bottom"/>
          </w:tcPr>
          <w:p w14:paraId="01992A2B" w14:textId="77186F52" w:rsidR="007D6972" w:rsidRPr="007D6972" w:rsidRDefault="007D6972" w:rsidP="005A31C3">
            <w:pPr>
              <w:autoSpaceDE w:val="0"/>
              <w:autoSpaceDN w:val="0"/>
              <w:adjustRightInd w:val="0"/>
              <w:spacing w:after="0" w:line="240" w:lineRule="auto"/>
              <w:jc w:val="right"/>
              <w:rPr>
                <w:color w:val="000000"/>
                <w:sz w:val="18"/>
                <w:szCs w:val="18"/>
                <w:lang w:val="da-DK"/>
              </w:rPr>
            </w:pPr>
            <w:r w:rsidRPr="007D6972">
              <w:rPr>
                <w:color w:val="000000"/>
                <w:sz w:val="18"/>
                <w:szCs w:val="18"/>
              </w:rPr>
              <w:t>148286</w:t>
            </w:r>
          </w:p>
        </w:tc>
        <w:tc>
          <w:tcPr>
            <w:tcW w:w="255" w:type="pct"/>
            <w:vAlign w:val="bottom"/>
          </w:tcPr>
          <w:p w14:paraId="6BF35436" w14:textId="3A134565" w:rsidR="007D6972" w:rsidRPr="007D6972" w:rsidRDefault="007D6972" w:rsidP="005A31C3">
            <w:pPr>
              <w:autoSpaceDE w:val="0"/>
              <w:autoSpaceDN w:val="0"/>
              <w:adjustRightInd w:val="0"/>
              <w:spacing w:after="0" w:line="240" w:lineRule="auto"/>
              <w:jc w:val="right"/>
              <w:rPr>
                <w:color w:val="000000"/>
                <w:sz w:val="18"/>
                <w:szCs w:val="18"/>
                <w:lang w:val="da-DK"/>
              </w:rPr>
            </w:pPr>
            <w:r w:rsidRPr="007D6972">
              <w:rPr>
                <w:color w:val="000000"/>
                <w:sz w:val="18"/>
                <w:szCs w:val="18"/>
              </w:rPr>
              <w:t>205801</w:t>
            </w:r>
          </w:p>
        </w:tc>
        <w:tc>
          <w:tcPr>
            <w:tcW w:w="399" w:type="pct"/>
            <w:vAlign w:val="bottom"/>
          </w:tcPr>
          <w:p w14:paraId="714F65A3" w14:textId="43240725" w:rsidR="007D6972" w:rsidRPr="007D6972" w:rsidRDefault="007D6972" w:rsidP="005A31C3">
            <w:pPr>
              <w:autoSpaceDE w:val="0"/>
              <w:autoSpaceDN w:val="0"/>
              <w:adjustRightInd w:val="0"/>
              <w:spacing w:after="0" w:line="240" w:lineRule="auto"/>
              <w:jc w:val="right"/>
              <w:rPr>
                <w:color w:val="000000"/>
                <w:sz w:val="18"/>
                <w:szCs w:val="18"/>
              </w:rPr>
            </w:pPr>
            <w:r w:rsidRPr="007D6972">
              <w:rPr>
                <w:color w:val="000000"/>
                <w:sz w:val="18"/>
                <w:szCs w:val="18"/>
              </w:rPr>
              <w:t>46317</w:t>
            </w:r>
          </w:p>
        </w:tc>
      </w:tr>
      <w:tr w:rsidR="00F50C72" w:rsidRPr="005A31C3" w14:paraId="44377545" w14:textId="0DFB108F" w:rsidTr="007D6972">
        <w:trPr>
          <w:trHeight w:val="290"/>
        </w:trPr>
        <w:tc>
          <w:tcPr>
            <w:tcW w:w="274" w:type="pct"/>
          </w:tcPr>
          <w:p w14:paraId="2664C399" w14:textId="77777777" w:rsidR="007D6972" w:rsidRPr="005A31C3" w:rsidRDefault="007D6972" w:rsidP="005A31C3">
            <w:pPr>
              <w:autoSpaceDE w:val="0"/>
              <w:autoSpaceDN w:val="0"/>
              <w:adjustRightInd w:val="0"/>
              <w:spacing w:after="0" w:line="240" w:lineRule="auto"/>
              <w:rPr>
                <w:color w:val="000000"/>
                <w:sz w:val="18"/>
                <w:lang w:val="da-DK"/>
              </w:rPr>
            </w:pPr>
            <w:r w:rsidRPr="005A31C3">
              <w:rPr>
                <w:color w:val="000000"/>
                <w:sz w:val="18"/>
                <w:lang w:val="da-DK"/>
              </w:rPr>
              <w:t>PLE</w:t>
            </w:r>
          </w:p>
        </w:tc>
        <w:tc>
          <w:tcPr>
            <w:tcW w:w="255" w:type="pct"/>
          </w:tcPr>
          <w:p w14:paraId="02B08027"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145173</w:t>
            </w:r>
          </w:p>
        </w:tc>
        <w:tc>
          <w:tcPr>
            <w:tcW w:w="254" w:type="pct"/>
          </w:tcPr>
          <w:p w14:paraId="48311B27"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161334</w:t>
            </w:r>
          </w:p>
        </w:tc>
        <w:tc>
          <w:tcPr>
            <w:tcW w:w="254" w:type="pct"/>
          </w:tcPr>
          <w:p w14:paraId="1EEB8FD9"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161722</w:t>
            </w:r>
          </w:p>
        </w:tc>
        <w:tc>
          <w:tcPr>
            <w:tcW w:w="254" w:type="pct"/>
          </w:tcPr>
          <w:p w14:paraId="4DFA38CB"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45147</w:t>
            </w:r>
          </w:p>
        </w:tc>
        <w:tc>
          <w:tcPr>
            <w:tcW w:w="255" w:type="pct"/>
          </w:tcPr>
          <w:p w14:paraId="1361B018"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148340</w:t>
            </w:r>
          </w:p>
        </w:tc>
        <w:tc>
          <w:tcPr>
            <w:tcW w:w="254" w:type="pct"/>
          </w:tcPr>
          <w:p w14:paraId="25AD5539"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120118</w:t>
            </w:r>
          </w:p>
        </w:tc>
        <w:tc>
          <w:tcPr>
            <w:tcW w:w="254" w:type="pct"/>
          </w:tcPr>
          <w:p w14:paraId="05AB30A5"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127409</w:t>
            </w:r>
          </w:p>
        </w:tc>
        <w:tc>
          <w:tcPr>
            <w:tcW w:w="254" w:type="pct"/>
          </w:tcPr>
          <w:p w14:paraId="1375E19E"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64588</w:t>
            </w:r>
          </w:p>
        </w:tc>
        <w:tc>
          <w:tcPr>
            <w:tcW w:w="255" w:type="pct"/>
          </w:tcPr>
          <w:p w14:paraId="2C5D1C4D"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101612</w:t>
            </w:r>
          </w:p>
        </w:tc>
        <w:tc>
          <w:tcPr>
            <w:tcW w:w="254" w:type="pct"/>
          </w:tcPr>
          <w:p w14:paraId="0B138EC4"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146332</w:t>
            </w:r>
          </w:p>
        </w:tc>
        <w:tc>
          <w:tcPr>
            <w:tcW w:w="254" w:type="pct"/>
          </w:tcPr>
          <w:p w14:paraId="0858B20C"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153319</w:t>
            </w:r>
          </w:p>
        </w:tc>
        <w:tc>
          <w:tcPr>
            <w:tcW w:w="254" w:type="pct"/>
          </w:tcPr>
          <w:p w14:paraId="4DB33CB7"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80897</w:t>
            </w:r>
          </w:p>
        </w:tc>
        <w:tc>
          <w:tcPr>
            <w:tcW w:w="255" w:type="pct"/>
          </w:tcPr>
          <w:p w14:paraId="702D27D2"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133540</w:t>
            </w:r>
          </w:p>
        </w:tc>
        <w:tc>
          <w:tcPr>
            <w:tcW w:w="254" w:type="pct"/>
            <w:vAlign w:val="bottom"/>
          </w:tcPr>
          <w:p w14:paraId="0F5DA059" w14:textId="7EF00B04" w:rsidR="007D6972" w:rsidRPr="007D6972" w:rsidRDefault="007D6972" w:rsidP="005A31C3">
            <w:pPr>
              <w:autoSpaceDE w:val="0"/>
              <w:autoSpaceDN w:val="0"/>
              <w:adjustRightInd w:val="0"/>
              <w:spacing w:after="0" w:line="240" w:lineRule="auto"/>
              <w:jc w:val="right"/>
              <w:rPr>
                <w:color w:val="000000"/>
                <w:sz w:val="18"/>
                <w:szCs w:val="18"/>
                <w:lang w:val="da-DK"/>
              </w:rPr>
            </w:pPr>
            <w:r w:rsidRPr="00F50C72">
              <w:rPr>
                <w:color w:val="000000"/>
                <w:sz w:val="18"/>
              </w:rPr>
              <w:t>163515</w:t>
            </w:r>
          </w:p>
        </w:tc>
        <w:tc>
          <w:tcPr>
            <w:tcW w:w="254" w:type="pct"/>
            <w:vAlign w:val="bottom"/>
          </w:tcPr>
          <w:p w14:paraId="15DD2FF4" w14:textId="19D7F09F" w:rsidR="007D6972" w:rsidRPr="007D6972" w:rsidRDefault="007D6972" w:rsidP="005A31C3">
            <w:pPr>
              <w:autoSpaceDE w:val="0"/>
              <w:autoSpaceDN w:val="0"/>
              <w:adjustRightInd w:val="0"/>
              <w:spacing w:after="0" w:line="240" w:lineRule="auto"/>
              <w:jc w:val="right"/>
              <w:rPr>
                <w:color w:val="000000"/>
                <w:sz w:val="18"/>
                <w:szCs w:val="18"/>
                <w:lang w:val="da-DK"/>
              </w:rPr>
            </w:pPr>
            <w:r w:rsidRPr="007D6972">
              <w:rPr>
                <w:color w:val="000000"/>
                <w:sz w:val="18"/>
                <w:szCs w:val="18"/>
              </w:rPr>
              <w:t>157065</w:t>
            </w:r>
          </w:p>
        </w:tc>
        <w:tc>
          <w:tcPr>
            <w:tcW w:w="254" w:type="pct"/>
            <w:vAlign w:val="bottom"/>
          </w:tcPr>
          <w:p w14:paraId="61857144" w14:textId="4F5F45F4" w:rsidR="007D6972" w:rsidRPr="007D6972" w:rsidRDefault="007D6972" w:rsidP="005A31C3">
            <w:pPr>
              <w:autoSpaceDE w:val="0"/>
              <w:autoSpaceDN w:val="0"/>
              <w:adjustRightInd w:val="0"/>
              <w:spacing w:after="0" w:line="240" w:lineRule="auto"/>
              <w:jc w:val="right"/>
              <w:rPr>
                <w:color w:val="000000"/>
                <w:sz w:val="18"/>
                <w:szCs w:val="18"/>
                <w:lang w:val="da-DK"/>
              </w:rPr>
            </w:pPr>
            <w:r w:rsidRPr="007D6972">
              <w:rPr>
                <w:color w:val="000000"/>
                <w:sz w:val="18"/>
                <w:szCs w:val="18"/>
              </w:rPr>
              <w:t>86350</w:t>
            </w:r>
          </w:p>
        </w:tc>
        <w:tc>
          <w:tcPr>
            <w:tcW w:w="255" w:type="pct"/>
            <w:vAlign w:val="bottom"/>
          </w:tcPr>
          <w:p w14:paraId="57571E6F" w14:textId="5D28F6FC" w:rsidR="007D6972" w:rsidRPr="007D6972" w:rsidRDefault="007D6972" w:rsidP="005A31C3">
            <w:pPr>
              <w:autoSpaceDE w:val="0"/>
              <w:autoSpaceDN w:val="0"/>
              <w:adjustRightInd w:val="0"/>
              <w:spacing w:after="0" w:line="240" w:lineRule="auto"/>
              <w:jc w:val="right"/>
              <w:rPr>
                <w:color w:val="000000"/>
                <w:sz w:val="18"/>
                <w:szCs w:val="18"/>
                <w:lang w:val="da-DK"/>
              </w:rPr>
            </w:pPr>
            <w:r w:rsidRPr="007D6972">
              <w:rPr>
                <w:color w:val="000000"/>
                <w:sz w:val="18"/>
                <w:szCs w:val="18"/>
              </w:rPr>
              <w:t>156931</w:t>
            </w:r>
          </w:p>
        </w:tc>
        <w:tc>
          <w:tcPr>
            <w:tcW w:w="399" w:type="pct"/>
            <w:vAlign w:val="bottom"/>
          </w:tcPr>
          <w:p w14:paraId="73B6F877" w14:textId="583301AA" w:rsidR="007D6972" w:rsidRPr="007D6972" w:rsidRDefault="007D6972" w:rsidP="005A31C3">
            <w:pPr>
              <w:autoSpaceDE w:val="0"/>
              <w:autoSpaceDN w:val="0"/>
              <w:adjustRightInd w:val="0"/>
              <w:spacing w:after="0" w:line="240" w:lineRule="auto"/>
              <w:jc w:val="right"/>
              <w:rPr>
                <w:color w:val="000000"/>
                <w:sz w:val="18"/>
                <w:szCs w:val="18"/>
              </w:rPr>
            </w:pPr>
            <w:r w:rsidRPr="007D6972">
              <w:rPr>
                <w:color w:val="000000"/>
                <w:sz w:val="18"/>
                <w:szCs w:val="18"/>
              </w:rPr>
              <w:t>133623</w:t>
            </w:r>
          </w:p>
        </w:tc>
      </w:tr>
      <w:tr w:rsidR="00F50C72" w:rsidRPr="005A31C3" w14:paraId="6E3E7626" w14:textId="4D66E81D" w:rsidTr="007D6972">
        <w:trPr>
          <w:trHeight w:val="290"/>
        </w:trPr>
        <w:tc>
          <w:tcPr>
            <w:tcW w:w="274" w:type="pct"/>
          </w:tcPr>
          <w:p w14:paraId="1E9AB5F4" w14:textId="77777777" w:rsidR="007D6972" w:rsidRPr="005A31C3" w:rsidRDefault="007D6972" w:rsidP="005A31C3">
            <w:pPr>
              <w:autoSpaceDE w:val="0"/>
              <w:autoSpaceDN w:val="0"/>
              <w:adjustRightInd w:val="0"/>
              <w:spacing w:after="0" w:line="240" w:lineRule="auto"/>
              <w:rPr>
                <w:color w:val="000000"/>
                <w:sz w:val="18"/>
                <w:lang w:val="da-DK"/>
              </w:rPr>
            </w:pPr>
            <w:r w:rsidRPr="005A31C3">
              <w:rPr>
                <w:color w:val="000000"/>
                <w:sz w:val="18"/>
                <w:lang w:val="da-DK"/>
              </w:rPr>
              <w:t>POK</w:t>
            </w:r>
          </w:p>
        </w:tc>
        <w:tc>
          <w:tcPr>
            <w:tcW w:w="255" w:type="pct"/>
          </w:tcPr>
          <w:p w14:paraId="30431BF9"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130459</w:t>
            </w:r>
          </w:p>
        </w:tc>
        <w:tc>
          <w:tcPr>
            <w:tcW w:w="254" w:type="pct"/>
          </w:tcPr>
          <w:p w14:paraId="1994DA21"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112750</w:t>
            </w:r>
          </w:p>
        </w:tc>
        <w:tc>
          <w:tcPr>
            <w:tcW w:w="254" w:type="pct"/>
          </w:tcPr>
          <w:p w14:paraId="7E80E014"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132538</w:t>
            </w:r>
          </w:p>
        </w:tc>
        <w:tc>
          <w:tcPr>
            <w:tcW w:w="254" w:type="pct"/>
          </w:tcPr>
          <w:p w14:paraId="31215308"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57867</w:t>
            </w:r>
          </w:p>
        </w:tc>
        <w:tc>
          <w:tcPr>
            <w:tcW w:w="255" w:type="pct"/>
          </w:tcPr>
          <w:p w14:paraId="667B25CE"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121766</w:t>
            </w:r>
          </w:p>
        </w:tc>
        <w:tc>
          <w:tcPr>
            <w:tcW w:w="254" w:type="pct"/>
          </w:tcPr>
          <w:p w14:paraId="1D66501E"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108755</w:t>
            </w:r>
          </w:p>
        </w:tc>
        <w:tc>
          <w:tcPr>
            <w:tcW w:w="254" w:type="pct"/>
          </w:tcPr>
          <w:p w14:paraId="791C412C"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131481</w:t>
            </w:r>
          </w:p>
        </w:tc>
        <w:tc>
          <w:tcPr>
            <w:tcW w:w="254" w:type="pct"/>
          </w:tcPr>
          <w:p w14:paraId="4BFD309E"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96085</w:t>
            </w:r>
          </w:p>
        </w:tc>
        <w:tc>
          <w:tcPr>
            <w:tcW w:w="255" w:type="pct"/>
          </w:tcPr>
          <w:p w14:paraId="4B3EEBFF"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109030</w:t>
            </w:r>
          </w:p>
        </w:tc>
        <w:tc>
          <w:tcPr>
            <w:tcW w:w="254" w:type="pct"/>
          </w:tcPr>
          <w:p w14:paraId="47F0843B"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134381</w:t>
            </w:r>
          </w:p>
        </w:tc>
        <w:tc>
          <w:tcPr>
            <w:tcW w:w="254" w:type="pct"/>
          </w:tcPr>
          <w:p w14:paraId="710DA92B"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139456</w:t>
            </w:r>
          </w:p>
        </w:tc>
        <w:tc>
          <w:tcPr>
            <w:tcW w:w="254" w:type="pct"/>
          </w:tcPr>
          <w:p w14:paraId="341FB961"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111186</w:t>
            </w:r>
          </w:p>
        </w:tc>
        <w:tc>
          <w:tcPr>
            <w:tcW w:w="255" w:type="pct"/>
          </w:tcPr>
          <w:p w14:paraId="40178126"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129980</w:t>
            </w:r>
          </w:p>
        </w:tc>
        <w:tc>
          <w:tcPr>
            <w:tcW w:w="254" w:type="pct"/>
            <w:vAlign w:val="bottom"/>
          </w:tcPr>
          <w:p w14:paraId="60C27082" w14:textId="52E08384" w:rsidR="007D6972" w:rsidRPr="007D6972" w:rsidRDefault="007D6972" w:rsidP="005A31C3">
            <w:pPr>
              <w:autoSpaceDE w:val="0"/>
              <w:autoSpaceDN w:val="0"/>
              <w:adjustRightInd w:val="0"/>
              <w:spacing w:after="0" w:line="240" w:lineRule="auto"/>
              <w:jc w:val="right"/>
              <w:rPr>
                <w:color w:val="000000"/>
                <w:sz w:val="18"/>
                <w:szCs w:val="18"/>
                <w:lang w:val="da-DK"/>
              </w:rPr>
            </w:pPr>
            <w:r w:rsidRPr="007D6972">
              <w:rPr>
                <w:color w:val="000000"/>
                <w:sz w:val="18"/>
                <w:szCs w:val="18"/>
              </w:rPr>
              <w:t>138472</w:t>
            </w:r>
          </w:p>
        </w:tc>
        <w:tc>
          <w:tcPr>
            <w:tcW w:w="254" w:type="pct"/>
            <w:vAlign w:val="bottom"/>
          </w:tcPr>
          <w:p w14:paraId="1E632609" w14:textId="4B255EF4" w:rsidR="007D6972" w:rsidRPr="007D6972" w:rsidRDefault="007D6972" w:rsidP="005A31C3">
            <w:pPr>
              <w:autoSpaceDE w:val="0"/>
              <w:autoSpaceDN w:val="0"/>
              <w:adjustRightInd w:val="0"/>
              <w:spacing w:after="0" w:line="240" w:lineRule="auto"/>
              <w:jc w:val="right"/>
              <w:rPr>
                <w:color w:val="000000"/>
                <w:sz w:val="18"/>
                <w:szCs w:val="18"/>
                <w:lang w:val="da-DK"/>
              </w:rPr>
            </w:pPr>
            <w:r w:rsidRPr="007D6972">
              <w:rPr>
                <w:color w:val="000000"/>
                <w:sz w:val="18"/>
                <w:szCs w:val="18"/>
              </w:rPr>
              <w:t>129230</w:t>
            </w:r>
          </w:p>
        </w:tc>
        <w:tc>
          <w:tcPr>
            <w:tcW w:w="254" w:type="pct"/>
            <w:vAlign w:val="bottom"/>
          </w:tcPr>
          <w:p w14:paraId="5CB6F5F1" w14:textId="76A11A7F" w:rsidR="007D6972" w:rsidRPr="007D6972" w:rsidRDefault="007D6972" w:rsidP="005A31C3">
            <w:pPr>
              <w:autoSpaceDE w:val="0"/>
              <w:autoSpaceDN w:val="0"/>
              <w:adjustRightInd w:val="0"/>
              <w:spacing w:after="0" w:line="240" w:lineRule="auto"/>
              <w:jc w:val="right"/>
              <w:rPr>
                <w:color w:val="000000"/>
                <w:sz w:val="18"/>
                <w:szCs w:val="18"/>
                <w:lang w:val="da-DK"/>
              </w:rPr>
            </w:pPr>
            <w:r w:rsidRPr="007D6972">
              <w:rPr>
                <w:color w:val="000000"/>
                <w:sz w:val="18"/>
                <w:szCs w:val="18"/>
              </w:rPr>
              <w:t>114488</w:t>
            </w:r>
          </w:p>
        </w:tc>
        <w:tc>
          <w:tcPr>
            <w:tcW w:w="255" w:type="pct"/>
            <w:vAlign w:val="bottom"/>
          </w:tcPr>
          <w:p w14:paraId="7206141C" w14:textId="6ECA1F3A" w:rsidR="007D6972" w:rsidRPr="007D6972" w:rsidRDefault="007D6972" w:rsidP="005A31C3">
            <w:pPr>
              <w:autoSpaceDE w:val="0"/>
              <w:autoSpaceDN w:val="0"/>
              <w:adjustRightInd w:val="0"/>
              <w:spacing w:after="0" w:line="240" w:lineRule="auto"/>
              <w:jc w:val="right"/>
              <w:rPr>
                <w:color w:val="000000"/>
                <w:sz w:val="18"/>
                <w:szCs w:val="18"/>
                <w:lang w:val="da-DK"/>
              </w:rPr>
            </w:pPr>
            <w:r w:rsidRPr="007D6972">
              <w:rPr>
                <w:color w:val="000000"/>
                <w:sz w:val="18"/>
                <w:szCs w:val="18"/>
              </w:rPr>
              <w:t>136344</w:t>
            </w:r>
          </w:p>
        </w:tc>
        <w:tc>
          <w:tcPr>
            <w:tcW w:w="399" w:type="pct"/>
            <w:vAlign w:val="bottom"/>
          </w:tcPr>
          <w:p w14:paraId="7FE3762D" w14:textId="37D3ADD3" w:rsidR="007D6972" w:rsidRPr="007D6972" w:rsidRDefault="007D6972" w:rsidP="005A31C3">
            <w:pPr>
              <w:autoSpaceDE w:val="0"/>
              <w:autoSpaceDN w:val="0"/>
              <w:adjustRightInd w:val="0"/>
              <w:spacing w:after="0" w:line="240" w:lineRule="auto"/>
              <w:jc w:val="right"/>
              <w:rPr>
                <w:color w:val="000000"/>
                <w:sz w:val="18"/>
                <w:szCs w:val="18"/>
              </w:rPr>
            </w:pPr>
            <w:r w:rsidRPr="007D6972">
              <w:rPr>
                <w:color w:val="000000"/>
                <w:sz w:val="18"/>
                <w:szCs w:val="18"/>
              </w:rPr>
              <w:t>75176</w:t>
            </w:r>
          </w:p>
        </w:tc>
      </w:tr>
      <w:tr w:rsidR="00F50C72" w:rsidRPr="005A31C3" w14:paraId="3124FAB5" w14:textId="54398DCA" w:rsidTr="007D6972">
        <w:trPr>
          <w:trHeight w:val="290"/>
        </w:trPr>
        <w:tc>
          <w:tcPr>
            <w:tcW w:w="274" w:type="pct"/>
          </w:tcPr>
          <w:p w14:paraId="6D4772EF" w14:textId="77777777" w:rsidR="007D6972" w:rsidRPr="005A31C3" w:rsidRDefault="007D6972" w:rsidP="005A31C3">
            <w:pPr>
              <w:autoSpaceDE w:val="0"/>
              <w:autoSpaceDN w:val="0"/>
              <w:adjustRightInd w:val="0"/>
              <w:spacing w:after="0" w:line="240" w:lineRule="auto"/>
              <w:rPr>
                <w:color w:val="000000"/>
                <w:sz w:val="18"/>
                <w:lang w:val="da-DK"/>
              </w:rPr>
            </w:pPr>
            <w:r w:rsidRPr="005A31C3">
              <w:rPr>
                <w:color w:val="000000"/>
                <w:sz w:val="18"/>
                <w:lang w:val="da-DK"/>
              </w:rPr>
              <w:t>SOL</w:t>
            </w:r>
          </w:p>
        </w:tc>
        <w:tc>
          <w:tcPr>
            <w:tcW w:w="255" w:type="pct"/>
          </w:tcPr>
          <w:p w14:paraId="691120A6"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18496</w:t>
            </w:r>
          </w:p>
        </w:tc>
        <w:tc>
          <w:tcPr>
            <w:tcW w:w="254" w:type="pct"/>
          </w:tcPr>
          <w:p w14:paraId="511E7AD0"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16734</w:t>
            </w:r>
          </w:p>
        </w:tc>
        <w:tc>
          <w:tcPr>
            <w:tcW w:w="254" w:type="pct"/>
          </w:tcPr>
          <w:p w14:paraId="195A56BB"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18241</w:t>
            </w:r>
          </w:p>
        </w:tc>
        <w:tc>
          <w:tcPr>
            <w:tcW w:w="254" w:type="pct"/>
          </w:tcPr>
          <w:p w14:paraId="39BDFD41"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7103</w:t>
            </w:r>
          </w:p>
        </w:tc>
        <w:tc>
          <w:tcPr>
            <w:tcW w:w="255" w:type="pct"/>
          </w:tcPr>
          <w:p w14:paraId="48A97EBB"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18329</w:t>
            </w:r>
          </w:p>
        </w:tc>
        <w:tc>
          <w:tcPr>
            <w:tcW w:w="254" w:type="pct"/>
          </w:tcPr>
          <w:p w14:paraId="296F96CA"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12957</w:t>
            </w:r>
          </w:p>
        </w:tc>
        <w:tc>
          <w:tcPr>
            <w:tcW w:w="254" w:type="pct"/>
          </w:tcPr>
          <w:p w14:paraId="38F88878"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17127</w:t>
            </w:r>
          </w:p>
        </w:tc>
        <w:tc>
          <w:tcPr>
            <w:tcW w:w="254" w:type="pct"/>
          </w:tcPr>
          <w:p w14:paraId="31982934"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8576</w:t>
            </w:r>
          </w:p>
        </w:tc>
        <w:tc>
          <w:tcPr>
            <w:tcW w:w="255" w:type="pct"/>
          </w:tcPr>
          <w:p w14:paraId="35717FEA"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14367</w:t>
            </w:r>
          </w:p>
        </w:tc>
        <w:tc>
          <w:tcPr>
            <w:tcW w:w="254" w:type="pct"/>
          </w:tcPr>
          <w:p w14:paraId="5E450D8C"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17040</w:t>
            </w:r>
          </w:p>
        </w:tc>
        <w:tc>
          <w:tcPr>
            <w:tcW w:w="254" w:type="pct"/>
          </w:tcPr>
          <w:p w14:paraId="1A259006"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18555</w:t>
            </w:r>
          </w:p>
        </w:tc>
        <w:tc>
          <w:tcPr>
            <w:tcW w:w="254" w:type="pct"/>
          </w:tcPr>
          <w:p w14:paraId="2E12F9B1"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9364</w:t>
            </w:r>
          </w:p>
        </w:tc>
        <w:tc>
          <w:tcPr>
            <w:tcW w:w="255" w:type="pct"/>
          </w:tcPr>
          <w:p w14:paraId="2901C807"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17596</w:t>
            </w:r>
          </w:p>
        </w:tc>
        <w:tc>
          <w:tcPr>
            <w:tcW w:w="254" w:type="pct"/>
            <w:vAlign w:val="bottom"/>
          </w:tcPr>
          <w:p w14:paraId="44638E62" w14:textId="3C284D3C" w:rsidR="007D6972" w:rsidRPr="007D6972" w:rsidRDefault="007D6972" w:rsidP="005A31C3">
            <w:pPr>
              <w:autoSpaceDE w:val="0"/>
              <w:autoSpaceDN w:val="0"/>
              <w:adjustRightInd w:val="0"/>
              <w:spacing w:after="0" w:line="240" w:lineRule="auto"/>
              <w:jc w:val="right"/>
              <w:rPr>
                <w:color w:val="000000"/>
                <w:sz w:val="18"/>
                <w:szCs w:val="18"/>
                <w:lang w:val="da-DK"/>
              </w:rPr>
            </w:pPr>
            <w:r w:rsidRPr="00F50C72">
              <w:rPr>
                <w:color w:val="000000"/>
                <w:sz w:val="18"/>
              </w:rPr>
              <w:t>19033</w:t>
            </w:r>
          </w:p>
        </w:tc>
        <w:tc>
          <w:tcPr>
            <w:tcW w:w="254" w:type="pct"/>
            <w:vAlign w:val="bottom"/>
          </w:tcPr>
          <w:p w14:paraId="3A5A1746" w14:textId="7FD66158" w:rsidR="007D6972" w:rsidRPr="007D6972" w:rsidRDefault="007D6972" w:rsidP="005A31C3">
            <w:pPr>
              <w:autoSpaceDE w:val="0"/>
              <w:autoSpaceDN w:val="0"/>
              <w:adjustRightInd w:val="0"/>
              <w:spacing w:after="0" w:line="240" w:lineRule="auto"/>
              <w:jc w:val="right"/>
              <w:rPr>
                <w:color w:val="000000"/>
                <w:sz w:val="18"/>
                <w:szCs w:val="18"/>
                <w:lang w:val="da-DK"/>
              </w:rPr>
            </w:pPr>
            <w:r w:rsidRPr="007D6972">
              <w:rPr>
                <w:color w:val="000000"/>
                <w:sz w:val="18"/>
                <w:szCs w:val="18"/>
              </w:rPr>
              <w:t>17778</w:t>
            </w:r>
          </w:p>
        </w:tc>
        <w:tc>
          <w:tcPr>
            <w:tcW w:w="254" w:type="pct"/>
            <w:vAlign w:val="bottom"/>
          </w:tcPr>
          <w:p w14:paraId="2D3BB1D2" w14:textId="5DBF2F55" w:rsidR="007D6972" w:rsidRPr="007D6972" w:rsidRDefault="007D6972" w:rsidP="005A31C3">
            <w:pPr>
              <w:autoSpaceDE w:val="0"/>
              <w:autoSpaceDN w:val="0"/>
              <w:adjustRightInd w:val="0"/>
              <w:spacing w:after="0" w:line="240" w:lineRule="auto"/>
              <w:jc w:val="right"/>
              <w:rPr>
                <w:color w:val="000000"/>
                <w:sz w:val="18"/>
                <w:szCs w:val="18"/>
                <w:lang w:val="da-DK"/>
              </w:rPr>
            </w:pPr>
            <w:r w:rsidRPr="007D6972">
              <w:rPr>
                <w:color w:val="000000"/>
                <w:sz w:val="18"/>
                <w:szCs w:val="18"/>
              </w:rPr>
              <w:t>9598</w:t>
            </w:r>
          </w:p>
        </w:tc>
        <w:tc>
          <w:tcPr>
            <w:tcW w:w="255" w:type="pct"/>
            <w:vAlign w:val="bottom"/>
          </w:tcPr>
          <w:p w14:paraId="66219383" w14:textId="4B173BAF" w:rsidR="007D6972" w:rsidRPr="007D6972" w:rsidRDefault="007D6972" w:rsidP="005A31C3">
            <w:pPr>
              <w:autoSpaceDE w:val="0"/>
              <w:autoSpaceDN w:val="0"/>
              <w:adjustRightInd w:val="0"/>
              <w:spacing w:after="0" w:line="240" w:lineRule="auto"/>
              <w:jc w:val="right"/>
              <w:rPr>
                <w:color w:val="000000"/>
                <w:sz w:val="18"/>
                <w:szCs w:val="18"/>
                <w:lang w:val="da-DK"/>
              </w:rPr>
            </w:pPr>
            <w:r w:rsidRPr="007D6972">
              <w:rPr>
                <w:color w:val="000000"/>
                <w:sz w:val="18"/>
                <w:szCs w:val="18"/>
              </w:rPr>
              <w:t>18692</w:t>
            </w:r>
          </w:p>
        </w:tc>
        <w:tc>
          <w:tcPr>
            <w:tcW w:w="399" w:type="pct"/>
            <w:vAlign w:val="bottom"/>
          </w:tcPr>
          <w:p w14:paraId="3F01585F" w14:textId="4EC0540A" w:rsidR="007D6972" w:rsidRPr="007D6972" w:rsidRDefault="007D6972" w:rsidP="005A31C3">
            <w:pPr>
              <w:autoSpaceDE w:val="0"/>
              <w:autoSpaceDN w:val="0"/>
              <w:adjustRightInd w:val="0"/>
              <w:spacing w:after="0" w:line="240" w:lineRule="auto"/>
              <w:jc w:val="right"/>
              <w:rPr>
                <w:color w:val="000000"/>
                <w:sz w:val="18"/>
                <w:szCs w:val="18"/>
              </w:rPr>
            </w:pPr>
            <w:r w:rsidRPr="007D6972">
              <w:rPr>
                <w:color w:val="000000"/>
                <w:sz w:val="18"/>
                <w:szCs w:val="18"/>
              </w:rPr>
              <w:t>12758</w:t>
            </w:r>
          </w:p>
        </w:tc>
      </w:tr>
      <w:tr w:rsidR="00F50C72" w:rsidRPr="005A31C3" w14:paraId="1D5EBED7" w14:textId="31A8141F" w:rsidTr="007D6972">
        <w:trPr>
          <w:trHeight w:val="290"/>
        </w:trPr>
        <w:tc>
          <w:tcPr>
            <w:tcW w:w="274" w:type="pct"/>
          </w:tcPr>
          <w:p w14:paraId="72B2BDBA" w14:textId="77777777" w:rsidR="007D6972" w:rsidRPr="005A31C3" w:rsidRDefault="007D6972" w:rsidP="005A31C3">
            <w:pPr>
              <w:autoSpaceDE w:val="0"/>
              <w:autoSpaceDN w:val="0"/>
              <w:adjustRightInd w:val="0"/>
              <w:spacing w:after="0" w:line="240" w:lineRule="auto"/>
              <w:rPr>
                <w:color w:val="000000"/>
                <w:sz w:val="18"/>
                <w:lang w:val="da-DK"/>
              </w:rPr>
            </w:pPr>
            <w:r w:rsidRPr="005A31C3">
              <w:rPr>
                <w:color w:val="000000"/>
                <w:sz w:val="18"/>
                <w:lang w:val="da-DK"/>
              </w:rPr>
              <w:t>Total</w:t>
            </w:r>
          </w:p>
        </w:tc>
        <w:tc>
          <w:tcPr>
            <w:tcW w:w="255" w:type="pct"/>
          </w:tcPr>
          <w:p w14:paraId="4E258FD1"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582615</w:t>
            </w:r>
          </w:p>
        </w:tc>
        <w:tc>
          <w:tcPr>
            <w:tcW w:w="254" w:type="pct"/>
          </w:tcPr>
          <w:p w14:paraId="120B1986"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492535</w:t>
            </w:r>
          </w:p>
        </w:tc>
        <w:tc>
          <w:tcPr>
            <w:tcW w:w="254" w:type="pct"/>
          </w:tcPr>
          <w:p w14:paraId="4EDEDFED"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652606</w:t>
            </w:r>
          </w:p>
        </w:tc>
        <w:tc>
          <w:tcPr>
            <w:tcW w:w="254" w:type="pct"/>
          </w:tcPr>
          <w:p w14:paraId="5741746B"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214869</w:t>
            </w:r>
          </w:p>
        </w:tc>
        <w:tc>
          <w:tcPr>
            <w:tcW w:w="255" w:type="pct"/>
          </w:tcPr>
          <w:p w14:paraId="051C073D"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516497</w:t>
            </w:r>
          </w:p>
        </w:tc>
        <w:tc>
          <w:tcPr>
            <w:tcW w:w="254" w:type="pct"/>
          </w:tcPr>
          <w:p w14:paraId="1F4E64E3"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502243</w:t>
            </w:r>
          </w:p>
        </w:tc>
        <w:tc>
          <w:tcPr>
            <w:tcW w:w="254" w:type="pct"/>
          </w:tcPr>
          <w:p w14:paraId="1D811502"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544978</w:t>
            </w:r>
          </w:p>
        </w:tc>
        <w:tc>
          <w:tcPr>
            <w:tcW w:w="254" w:type="pct"/>
          </w:tcPr>
          <w:p w14:paraId="7C0FBE92"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322909</w:t>
            </w:r>
          </w:p>
        </w:tc>
        <w:tc>
          <w:tcPr>
            <w:tcW w:w="255" w:type="pct"/>
          </w:tcPr>
          <w:p w14:paraId="030EE6DF"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434854</w:t>
            </w:r>
          </w:p>
        </w:tc>
        <w:tc>
          <w:tcPr>
            <w:tcW w:w="254" w:type="pct"/>
          </w:tcPr>
          <w:p w14:paraId="6DBBA7D7"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614509</w:t>
            </w:r>
          </w:p>
        </w:tc>
        <w:tc>
          <w:tcPr>
            <w:tcW w:w="254" w:type="pct"/>
          </w:tcPr>
          <w:p w14:paraId="5322D11A"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616645</w:t>
            </w:r>
          </w:p>
        </w:tc>
        <w:tc>
          <w:tcPr>
            <w:tcW w:w="254" w:type="pct"/>
          </w:tcPr>
          <w:p w14:paraId="79BCB5B9"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409360</w:t>
            </w:r>
          </w:p>
        </w:tc>
        <w:tc>
          <w:tcPr>
            <w:tcW w:w="255" w:type="pct"/>
          </w:tcPr>
          <w:p w14:paraId="57946DE5" w14:textId="77777777" w:rsidR="007D6972" w:rsidRPr="005A31C3" w:rsidRDefault="007D6972" w:rsidP="005A31C3">
            <w:pPr>
              <w:autoSpaceDE w:val="0"/>
              <w:autoSpaceDN w:val="0"/>
              <w:adjustRightInd w:val="0"/>
              <w:spacing w:after="0" w:line="240" w:lineRule="auto"/>
              <w:jc w:val="right"/>
              <w:rPr>
                <w:color w:val="000000"/>
                <w:sz w:val="18"/>
                <w:lang w:val="da-DK"/>
              </w:rPr>
            </w:pPr>
            <w:r w:rsidRPr="005A31C3">
              <w:rPr>
                <w:color w:val="000000"/>
                <w:sz w:val="18"/>
                <w:lang w:val="da-DK"/>
              </w:rPr>
              <w:t>541911</w:t>
            </w:r>
          </w:p>
        </w:tc>
        <w:tc>
          <w:tcPr>
            <w:tcW w:w="254" w:type="pct"/>
            <w:vAlign w:val="bottom"/>
          </w:tcPr>
          <w:p w14:paraId="7448D569" w14:textId="6F2F126B" w:rsidR="007D6972" w:rsidRPr="007D6972" w:rsidRDefault="007D6972" w:rsidP="005A31C3">
            <w:pPr>
              <w:autoSpaceDE w:val="0"/>
              <w:autoSpaceDN w:val="0"/>
              <w:adjustRightInd w:val="0"/>
              <w:spacing w:after="0" w:line="240" w:lineRule="auto"/>
              <w:jc w:val="right"/>
              <w:rPr>
                <w:color w:val="000000"/>
                <w:sz w:val="18"/>
                <w:szCs w:val="18"/>
                <w:lang w:val="da-DK"/>
              </w:rPr>
            </w:pPr>
            <w:r w:rsidRPr="007D6972">
              <w:rPr>
                <w:color w:val="000000"/>
                <w:sz w:val="18"/>
                <w:szCs w:val="18"/>
              </w:rPr>
              <w:t>674596</w:t>
            </w:r>
          </w:p>
        </w:tc>
        <w:tc>
          <w:tcPr>
            <w:tcW w:w="254" w:type="pct"/>
            <w:vAlign w:val="bottom"/>
          </w:tcPr>
          <w:p w14:paraId="29301A94" w14:textId="62E5D599" w:rsidR="007D6972" w:rsidRPr="007D6972" w:rsidRDefault="007D6972" w:rsidP="005A31C3">
            <w:pPr>
              <w:autoSpaceDE w:val="0"/>
              <w:autoSpaceDN w:val="0"/>
              <w:adjustRightInd w:val="0"/>
              <w:spacing w:after="0" w:line="240" w:lineRule="auto"/>
              <w:jc w:val="right"/>
              <w:rPr>
                <w:color w:val="000000"/>
                <w:sz w:val="18"/>
                <w:szCs w:val="18"/>
                <w:lang w:val="da-DK"/>
              </w:rPr>
            </w:pPr>
            <w:r w:rsidRPr="007D6972">
              <w:rPr>
                <w:color w:val="000000"/>
                <w:sz w:val="18"/>
                <w:szCs w:val="18"/>
              </w:rPr>
              <w:t>632553</w:t>
            </w:r>
          </w:p>
        </w:tc>
        <w:tc>
          <w:tcPr>
            <w:tcW w:w="254" w:type="pct"/>
            <w:vAlign w:val="bottom"/>
          </w:tcPr>
          <w:p w14:paraId="357855CA" w14:textId="4B5913AF" w:rsidR="007D6972" w:rsidRPr="007D6972" w:rsidRDefault="007D6972" w:rsidP="005A31C3">
            <w:pPr>
              <w:autoSpaceDE w:val="0"/>
              <w:autoSpaceDN w:val="0"/>
              <w:adjustRightInd w:val="0"/>
              <w:spacing w:after="0" w:line="240" w:lineRule="auto"/>
              <w:jc w:val="right"/>
              <w:rPr>
                <w:color w:val="000000"/>
                <w:sz w:val="18"/>
                <w:szCs w:val="18"/>
                <w:lang w:val="da-DK"/>
              </w:rPr>
            </w:pPr>
            <w:r w:rsidRPr="007D6972">
              <w:rPr>
                <w:color w:val="000000"/>
                <w:sz w:val="18"/>
                <w:szCs w:val="18"/>
              </w:rPr>
              <w:t>440144</w:t>
            </w:r>
          </w:p>
        </w:tc>
        <w:tc>
          <w:tcPr>
            <w:tcW w:w="255" w:type="pct"/>
            <w:vAlign w:val="bottom"/>
          </w:tcPr>
          <w:p w14:paraId="647FFECC" w14:textId="6B62ED5D" w:rsidR="007D6972" w:rsidRPr="007D6972" w:rsidRDefault="007D6972" w:rsidP="005A31C3">
            <w:pPr>
              <w:autoSpaceDE w:val="0"/>
              <w:autoSpaceDN w:val="0"/>
              <w:adjustRightInd w:val="0"/>
              <w:spacing w:after="0" w:line="240" w:lineRule="auto"/>
              <w:jc w:val="right"/>
              <w:rPr>
                <w:color w:val="000000"/>
                <w:sz w:val="18"/>
                <w:szCs w:val="18"/>
                <w:lang w:val="da-DK"/>
              </w:rPr>
            </w:pPr>
            <w:r w:rsidRPr="007D6972">
              <w:rPr>
                <w:color w:val="000000"/>
                <w:sz w:val="18"/>
                <w:szCs w:val="18"/>
              </w:rPr>
              <w:t>610843</w:t>
            </w:r>
          </w:p>
        </w:tc>
        <w:tc>
          <w:tcPr>
            <w:tcW w:w="399" w:type="pct"/>
            <w:vAlign w:val="bottom"/>
          </w:tcPr>
          <w:p w14:paraId="1818BA69" w14:textId="4364DC0C" w:rsidR="007D6972" w:rsidRPr="007D6972" w:rsidRDefault="007D6972" w:rsidP="005A31C3">
            <w:pPr>
              <w:autoSpaceDE w:val="0"/>
              <w:autoSpaceDN w:val="0"/>
              <w:adjustRightInd w:val="0"/>
              <w:spacing w:after="0" w:line="240" w:lineRule="auto"/>
              <w:jc w:val="right"/>
              <w:rPr>
                <w:color w:val="000000"/>
                <w:sz w:val="18"/>
                <w:szCs w:val="18"/>
              </w:rPr>
            </w:pPr>
            <w:r w:rsidRPr="007D6972">
              <w:rPr>
                <w:color w:val="000000"/>
                <w:sz w:val="18"/>
                <w:szCs w:val="18"/>
              </w:rPr>
              <w:t>313140</w:t>
            </w:r>
          </w:p>
        </w:tc>
      </w:tr>
      <w:tr w:rsidR="00F50C72" w:rsidRPr="005A31C3" w14:paraId="72C0115C" w14:textId="07B41D1F" w:rsidTr="007D6972">
        <w:trPr>
          <w:trHeight w:val="290"/>
        </w:trPr>
        <w:tc>
          <w:tcPr>
            <w:tcW w:w="274" w:type="pct"/>
          </w:tcPr>
          <w:p w14:paraId="63C3D34E" w14:textId="3C1F9AC0" w:rsidR="007D6972" w:rsidRPr="00E412DF" w:rsidRDefault="007D6972" w:rsidP="005A31C3">
            <w:pPr>
              <w:autoSpaceDE w:val="0"/>
              <w:autoSpaceDN w:val="0"/>
              <w:adjustRightInd w:val="0"/>
              <w:spacing w:after="0" w:line="240" w:lineRule="auto"/>
              <w:rPr>
                <w:color w:val="000000"/>
                <w:sz w:val="18"/>
                <w:lang w:val="da-DK"/>
              </w:rPr>
            </w:pPr>
            <w:r w:rsidRPr="00E412DF">
              <w:rPr>
                <w:sz w:val="18"/>
              </w:rPr>
              <w:t>ratio to baseline</w:t>
            </w:r>
          </w:p>
        </w:tc>
        <w:tc>
          <w:tcPr>
            <w:tcW w:w="255" w:type="pct"/>
          </w:tcPr>
          <w:p w14:paraId="6A8E53B7" w14:textId="238093D7" w:rsidR="007D6972" w:rsidRPr="00E412DF" w:rsidRDefault="007D6972" w:rsidP="005A31C3">
            <w:pPr>
              <w:autoSpaceDE w:val="0"/>
              <w:autoSpaceDN w:val="0"/>
              <w:adjustRightInd w:val="0"/>
              <w:spacing w:after="0" w:line="240" w:lineRule="auto"/>
              <w:jc w:val="right"/>
              <w:rPr>
                <w:color w:val="000000"/>
                <w:sz w:val="18"/>
                <w:lang w:val="da-DK"/>
              </w:rPr>
            </w:pPr>
            <w:r w:rsidRPr="00E412DF">
              <w:rPr>
                <w:sz w:val="18"/>
              </w:rPr>
              <w:t>0.95</w:t>
            </w:r>
          </w:p>
        </w:tc>
        <w:tc>
          <w:tcPr>
            <w:tcW w:w="254" w:type="pct"/>
          </w:tcPr>
          <w:p w14:paraId="712E8166" w14:textId="16B45BA6" w:rsidR="007D6972" w:rsidRPr="00E412DF" w:rsidRDefault="007D6972" w:rsidP="005A31C3">
            <w:pPr>
              <w:autoSpaceDE w:val="0"/>
              <w:autoSpaceDN w:val="0"/>
              <w:adjustRightInd w:val="0"/>
              <w:spacing w:after="0" w:line="240" w:lineRule="auto"/>
              <w:jc w:val="right"/>
              <w:rPr>
                <w:color w:val="000000"/>
                <w:sz w:val="18"/>
                <w:lang w:val="da-DK"/>
              </w:rPr>
            </w:pPr>
            <w:r w:rsidRPr="00E412DF">
              <w:rPr>
                <w:sz w:val="18"/>
              </w:rPr>
              <w:t>0.80</w:t>
            </w:r>
          </w:p>
        </w:tc>
        <w:tc>
          <w:tcPr>
            <w:tcW w:w="254" w:type="pct"/>
          </w:tcPr>
          <w:p w14:paraId="202711CE" w14:textId="202CC028" w:rsidR="007D6972" w:rsidRPr="00E412DF" w:rsidRDefault="007D6972" w:rsidP="005A31C3">
            <w:pPr>
              <w:autoSpaceDE w:val="0"/>
              <w:autoSpaceDN w:val="0"/>
              <w:adjustRightInd w:val="0"/>
              <w:spacing w:after="0" w:line="240" w:lineRule="auto"/>
              <w:jc w:val="right"/>
              <w:rPr>
                <w:color w:val="000000"/>
                <w:sz w:val="18"/>
                <w:lang w:val="da-DK"/>
              </w:rPr>
            </w:pPr>
            <w:r w:rsidRPr="00E412DF">
              <w:rPr>
                <w:sz w:val="18"/>
              </w:rPr>
              <w:t>1.06</w:t>
            </w:r>
          </w:p>
        </w:tc>
        <w:tc>
          <w:tcPr>
            <w:tcW w:w="254" w:type="pct"/>
          </w:tcPr>
          <w:p w14:paraId="15E2C6F5" w14:textId="6FD471A1" w:rsidR="007D6972" w:rsidRPr="00E412DF" w:rsidRDefault="007D6972" w:rsidP="005A31C3">
            <w:pPr>
              <w:autoSpaceDE w:val="0"/>
              <w:autoSpaceDN w:val="0"/>
              <w:adjustRightInd w:val="0"/>
              <w:spacing w:after="0" w:line="240" w:lineRule="auto"/>
              <w:jc w:val="right"/>
              <w:rPr>
                <w:color w:val="000000"/>
                <w:sz w:val="18"/>
                <w:lang w:val="da-DK"/>
              </w:rPr>
            </w:pPr>
            <w:r w:rsidRPr="00E412DF">
              <w:rPr>
                <w:sz w:val="18"/>
              </w:rPr>
              <w:t>0.35</w:t>
            </w:r>
          </w:p>
        </w:tc>
        <w:tc>
          <w:tcPr>
            <w:tcW w:w="255" w:type="pct"/>
          </w:tcPr>
          <w:p w14:paraId="37F7648B" w14:textId="4418290C" w:rsidR="007D6972" w:rsidRPr="00E412DF" w:rsidRDefault="007D6972" w:rsidP="005A31C3">
            <w:pPr>
              <w:autoSpaceDE w:val="0"/>
              <w:autoSpaceDN w:val="0"/>
              <w:adjustRightInd w:val="0"/>
              <w:spacing w:after="0" w:line="240" w:lineRule="auto"/>
              <w:jc w:val="right"/>
              <w:rPr>
                <w:color w:val="000000"/>
                <w:sz w:val="18"/>
                <w:lang w:val="da-DK"/>
              </w:rPr>
            </w:pPr>
            <w:r w:rsidRPr="00E412DF">
              <w:rPr>
                <w:sz w:val="18"/>
              </w:rPr>
              <w:t>0.84</w:t>
            </w:r>
          </w:p>
        </w:tc>
        <w:tc>
          <w:tcPr>
            <w:tcW w:w="254" w:type="pct"/>
          </w:tcPr>
          <w:p w14:paraId="28D90389" w14:textId="6DEB7910" w:rsidR="007D6972" w:rsidRPr="00E412DF" w:rsidRDefault="007D6972" w:rsidP="005A31C3">
            <w:pPr>
              <w:autoSpaceDE w:val="0"/>
              <w:autoSpaceDN w:val="0"/>
              <w:adjustRightInd w:val="0"/>
              <w:spacing w:after="0" w:line="240" w:lineRule="auto"/>
              <w:jc w:val="right"/>
              <w:rPr>
                <w:color w:val="000000"/>
                <w:sz w:val="18"/>
                <w:lang w:val="da-DK"/>
              </w:rPr>
            </w:pPr>
            <w:r w:rsidRPr="00E412DF">
              <w:rPr>
                <w:sz w:val="18"/>
              </w:rPr>
              <w:t>0.82</w:t>
            </w:r>
          </w:p>
        </w:tc>
        <w:tc>
          <w:tcPr>
            <w:tcW w:w="254" w:type="pct"/>
          </w:tcPr>
          <w:p w14:paraId="28696CD9" w14:textId="7D90547E" w:rsidR="007D6972" w:rsidRPr="00E412DF" w:rsidRDefault="007D6972" w:rsidP="005A31C3">
            <w:pPr>
              <w:autoSpaceDE w:val="0"/>
              <w:autoSpaceDN w:val="0"/>
              <w:adjustRightInd w:val="0"/>
              <w:spacing w:after="0" w:line="240" w:lineRule="auto"/>
              <w:jc w:val="right"/>
              <w:rPr>
                <w:color w:val="000000"/>
                <w:sz w:val="18"/>
                <w:lang w:val="da-DK"/>
              </w:rPr>
            </w:pPr>
            <w:r w:rsidRPr="00E412DF">
              <w:rPr>
                <w:sz w:val="18"/>
              </w:rPr>
              <w:t>0.89</w:t>
            </w:r>
          </w:p>
        </w:tc>
        <w:tc>
          <w:tcPr>
            <w:tcW w:w="254" w:type="pct"/>
          </w:tcPr>
          <w:p w14:paraId="6F817EA5" w14:textId="25066561" w:rsidR="007D6972" w:rsidRPr="00E412DF" w:rsidRDefault="007D6972" w:rsidP="005A31C3">
            <w:pPr>
              <w:autoSpaceDE w:val="0"/>
              <w:autoSpaceDN w:val="0"/>
              <w:adjustRightInd w:val="0"/>
              <w:spacing w:after="0" w:line="240" w:lineRule="auto"/>
              <w:jc w:val="right"/>
              <w:rPr>
                <w:color w:val="000000"/>
                <w:sz w:val="18"/>
                <w:lang w:val="da-DK"/>
              </w:rPr>
            </w:pPr>
            <w:r w:rsidRPr="00E412DF">
              <w:rPr>
                <w:sz w:val="18"/>
              </w:rPr>
              <w:t>0.53</w:t>
            </w:r>
          </w:p>
        </w:tc>
        <w:tc>
          <w:tcPr>
            <w:tcW w:w="255" w:type="pct"/>
          </w:tcPr>
          <w:p w14:paraId="55E47A86" w14:textId="016BFA9B" w:rsidR="007D6972" w:rsidRPr="00E412DF" w:rsidRDefault="007D6972" w:rsidP="005A31C3">
            <w:pPr>
              <w:autoSpaceDE w:val="0"/>
              <w:autoSpaceDN w:val="0"/>
              <w:adjustRightInd w:val="0"/>
              <w:spacing w:after="0" w:line="240" w:lineRule="auto"/>
              <w:jc w:val="right"/>
              <w:rPr>
                <w:color w:val="000000"/>
                <w:sz w:val="18"/>
                <w:lang w:val="da-DK"/>
              </w:rPr>
            </w:pPr>
            <w:r w:rsidRPr="00E412DF">
              <w:rPr>
                <w:sz w:val="18"/>
              </w:rPr>
              <w:t>0.71</w:t>
            </w:r>
          </w:p>
        </w:tc>
        <w:tc>
          <w:tcPr>
            <w:tcW w:w="254" w:type="pct"/>
          </w:tcPr>
          <w:p w14:paraId="393D46D0" w14:textId="2679C0E9" w:rsidR="007D6972" w:rsidRPr="00E412DF" w:rsidRDefault="007D6972" w:rsidP="005A31C3">
            <w:pPr>
              <w:autoSpaceDE w:val="0"/>
              <w:autoSpaceDN w:val="0"/>
              <w:adjustRightInd w:val="0"/>
              <w:spacing w:after="0" w:line="240" w:lineRule="auto"/>
              <w:jc w:val="right"/>
              <w:rPr>
                <w:color w:val="000000"/>
                <w:sz w:val="18"/>
                <w:lang w:val="da-DK"/>
              </w:rPr>
            </w:pPr>
            <w:r w:rsidRPr="00E412DF">
              <w:rPr>
                <w:sz w:val="18"/>
              </w:rPr>
              <w:t>1.00</w:t>
            </w:r>
          </w:p>
        </w:tc>
        <w:tc>
          <w:tcPr>
            <w:tcW w:w="254" w:type="pct"/>
          </w:tcPr>
          <w:p w14:paraId="7ED2751F" w14:textId="27EA71C1" w:rsidR="007D6972" w:rsidRPr="00E412DF" w:rsidRDefault="007D6972" w:rsidP="005A31C3">
            <w:pPr>
              <w:autoSpaceDE w:val="0"/>
              <w:autoSpaceDN w:val="0"/>
              <w:adjustRightInd w:val="0"/>
              <w:spacing w:after="0" w:line="240" w:lineRule="auto"/>
              <w:jc w:val="right"/>
              <w:rPr>
                <w:color w:val="000000"/>
                <w:sz w:val="18"/>
                <w:lang w:val="da-DK"/>
              </w:rPr>
            </w:pPr>
            <w:r w:rsidRPr="00E412DF">
              <w:rPr>
                <w:sz w:val="18"/>
              </w:rPr>
              <w:t>1.00</w:t>
            </w:r>
          </w:p>
        </w:tc>
        <w:tc>
          <w:tcPr>
            <w:tcW w:w="254" w:type="pct"/>
          </w:tcPr>
          <w:p w14:paraId="6AE4251D" w14:textId="681AC68D" w:rsidR="007D6972" w:rsidRPr="00E412DF" w:rsidRDefault="007D6972" w:rsidP="005A31C3">
            <w:pPr>
              <w:autoSpaceDE w:val="0"/>
              <w:autoSpaceDN w:val="0"/>
              <w:adjustRightInd w:val="0"/>
              <w:spacing w:after="0" w:line="240" w:lineRule="auto"/>
              <w:jc w:val="right"/>
              <w:rPr>
                <w:color w:val="000000"/>
                <w:sz w:val="18"/>
                <w:lang w:val="da-DK"/>
              </w:rPr>
            </w:pPr>
            <w:r w:rsidRPr="00E412DF">
              <w:rPr>
                <w:sz w:val="18"/>
              </w:rPr>
              <w:t>0.67</w:t>
            </w:r>
          </w:p>
        </w:tc>
        <w:tc>
          <w:tcPr>
            <w:tcW w:w="255" w:type="pct"/>
          </w:tcPr>
          <w:p w14:paraId="4D70B74E" w14:textId="663FF1B7" w:rsidR="007D6972" w:rsidRPr="00E412DF" w:rsidRDefault="007D6972" w:rsidP="005A31C3">
            <w:pPr>
              <w:autoSpaceDE w:val="0"/>
              <w:autoSpaceDN w:val="0"/>
              <w:adjustRightInd w:val="0"/>
              <w:spacing w:after="0" w:line="240" w:lineRule="auto"/>
              <w:jc w:val="right"/>
              <w:rPr>
                <w:color w:val="000000"/>
                <w:sz w:val="18"/>
                <w:lang w:val="da-DK"/>
              </w:rPr>
            </w:pPr>
            <w:r w:rsidRPr="00E412DF">
              <w:rPr>
                <w:sz w:val="18"/>
              </w:rPr>
              <w:t>0.88</w:t>
            </w:r>
          </w:p>
        </w:tc>
        <w:tc>
          <w:tcPr>
            <w:tcW w:w="254" w:type="pct"/>
            <w:vAlign w:val="bottom"/>
          </w:tcPr>
          <w:p w14:paraId="78350938" w14:textId="5108242E" w:rsidR="007D6972" w:rsidRPr="007D6972" w:rsidRDefault="007D6972" w:rsidP="005A31C3">
            <w:pPr>
              <w:autoSpaceDE w:val="0"/>
              <w:autoSpaceDN w:val="0"/>
              <w:adjustRightInd w:val="0"/>
              <w:spacing w:after="0" w:line="240" w:lineRule="auto"/>
              <w:jc w:val="right"/>
              <w:rPr>
                <w:color w:val="000000"/>
                <w:sz w:val="18"/>
                <w:szCs w:val="18"/>
                <w:lang w:val="da-DK"/>
              </w:rPr>
            </w:pPr>
            <w:r w:rsidRPr="00F50C72">
              <w:rPr>
                <w:color w:val="000000"/>
                <w:sz w:val="18"/>
              </w:rPr>
              <w:t>1.</w:t>
            </w:r>
            <w:r w:rsidRPr="007D6972">
              <w:rPr>
                <w:color w:val="000000"/>
                <w:sz w:val="18"/>
                <w:szCs w:val="18"/>
              </w:rPr>
              <w:t>10</w:t>
            </w:r>
          </w:p>
        </w:tc>
        <w:tc>
          <w:tcPr>
            <w:tcW w:w="254" w:type="pct"/>
            <w:vAlign w:val="bottom"/>
          </w:tcPr>
          <w:p w14:paraId="25AF9A0A" w14:textId="650E111F" w:rsidR="007D6972" w:rsidRPr="007D6972" w:rsidRDefault="007D6972" w:rsidP="005A31C3">
            <w:pPr>
              <w:autoSpaceDE w:val="0"/>
              <w:autoSpaceDN w:val="0"/>
              <w:adjustRightInd w:val="0"/>
              <w:spacing w:after="0" w:line="240" w:lineRule="auto"/>
              <w:jc w:val="right"/>
              <w:rPr>
                <w:color w:val="000000"/>
                <w:sz w:val="18"/>
                <w:szCs w:val="18"/>
                <w:lang w:val="da-DK"/>
              </w:rPr>
            </w:pPr>
            <w:r w:rsidRPr="00F50C72">
              <w:rPr>
                <w:color w:val="000000"/>
                <w:sz w:val="18"/>
              </w:rPr>
              <w:t>1.</w:t>
            </w:r>
            <w:r w:rsidRPr="007D6972">
              <w:rPr>
                <w:color w:val="000000"/>
                <w:sz w:val="18"/>
                <w:szCs w:val="18"/>
              </w:rPr>
              <w:t>03</w:t>
            </w:r>
          </w:p>
        </w:tc>
        <w:tc>
          <w:tcPr>
            <w:tcW w:w="254" w:type="pct"/>
            <w:vAlign w:val="bottom"/>
          </w:tcPr>
          <w:p w14:paraId="5CB52C4D" w14:textId="7047240F" w:rsidR="007D6972" w:rsidRPr="007D6972" w:rsidRDefault="007D6972" w:rsidP="005A31C3">
            <w:pPr>
              <w:autoSpaceDE w:val="0"/>
              <w:autoSpaceDN w:val="0"/>
              <w:adjustRightInd w:val="0"/>
              <w:spacing w:after="0" w:line="240" w:lineRule="auto"/>
              <w:jc w:val="right"/>
              <w:rPr>
                <w:color w:val="000000"/>
                <w:sz w:val="18"/>
                <w:szCs w:val="18"/>
                <w:lang w:val="da-DK"/>
              </w:rPr>
            </w:pPr>
            <w:r w:rsidRPr="00F50C72">
              <w:rPr>
                <w:color w:val="000000"/>
                <w:sz w:val="18"/>
              </w:rPr>
              <w:t>0.</w:t>
            </w:r>
            <w:r w:rsidRPr="007D6972">
              <w:rPr>
                <w:color w:val="000000"/>
                <w:sz w:val="18"/>
                <w:szCs w:val="18"/>
              </w:rPr>
              <w:t>72</w:t>
            </w:r>
          </w:p>
        </w:tc>
        <w:tc>
          <w:tcPr>
            <w:tcW w:w="255" w:type="pct"/>
            <w:vAlign w:val="bottom"/>
          </w:tcPr>
          <w:p w14:paraId="2D71686E" w14:textId="212DD8F3" w:rsidR="007D6972" w:rsidRPr="007D6972" w:rsidRDefault="007D6972" w:rsidP="005A31C3">
            <w:pPr>
              <w:autoSpaceDE w:val="0"/>
              <w:autoSpaceDN w:val="0"/>
              <w:adjustRightInd w:val="0"/>
              <w:spacing w:after="0" w:line="240" w:lineRule="auto"/>
              <w:jc w:val="right"/>
              <w:rPr>
                <w:color w:val="000000"/>
                <w:sz w:val="18"/>
                <w:szCs w:val="18"/>
                <w:lang w:val="da-DK"/>
              </w:rPr>
            </w:pPr>
            <w:r w:rsidRPr="00F50C72">
              <w:rPr>
                <w:color w:val="000000"/>
                <w:sz w:val="18"/>
              </w:rPr>
              <w:t>0.99</w:t>
            </w:r>
          </w:p>
        </w:tc>
        <w:tc>
          <w:tcPr>
            <w:tcW w:w="399" w:type="pct"/>
            <w:vAlign w:val="bottom"/>
          </w:tcPr>
          <w:p w14:paraId="23CDF2F9" w14:textId="0F5A9F17" w:rsidR="007D6972" w:rsidRPr="007D6972" w:rsidRDefault="007D6972" w:rsidP="005A31C3">
            <w:pPr>
              <w:autoSpaceDE w:val="0"/>
              <w:autoSpaceDN w:val="0"/>
              <w:adjustRightInd w:val="0"/>
              <w:spacing w:after="0" w:line="240" w:lineRule="auto"/>
              <w:jc w:val="right"/>
              <w:rPr>
                <w:color w:val="000000"/>
                <w:sz w:val="18"/>
                <w:szCs w:val="18"/>
              </w:rPr>
            </w:pPr>
            <w:r w:rsidRPr="007D6972">
              <w:rPr>
                <w:color w:val="000000"/>
                <w:sz w:val="18"/>
                <w:szCs w:val="18"/>
              </w:rPr>
              <w:t>0.51</w:t>
            </w:r>
          </w:p>
        </w:tc>
      </w:tr>
    </w:tbl>
    <w:p w14:paraId="0C9C720E" w14:textId="77777777" w:rsidR="00E50175" w:rsidRDefault="00E50175" w:rsidP="00DF5AFC"/>
    <w:p w14:paraId="06A33FD8" w14:textId="5298CFDD" w:rsidR="005A31C3" w:rsidRDefault="005A31C3" w:rsidP="00DF5AFC">
      <w:r>
        <w:t xml:space="preserve">Table </w:t>
      </w:r>
      <w:r w:rsidR="00900606">
        <w:t>3</w:t>
      </w:r>
      <w:r w:rsidR="007D6972">
        <w:t xml:space="preserve"> – Median catch</w:t>
      </w:r>
      <w:r>
        <w:t xml:space="preserve"> 2020 by stock for different target F, with or without </w:t>
      </w:r>
      <w:r w:rsidR="00765D06">
        <w:t xml:space="preserve">FCube </w:t>
      </w:r>
      <w:r>
        <w:t>technical interactions included.</w:t>
      </w:r>
      <w:r w:rsidR="00765D06">
        <w:t xml:space="preserve"> Sq-E : scenario of constant fishing effort at 2014 level. SS : single-stock projection without technical interactions. Max, </w:t>
      </w:r>
      <w:r w:rsidR="00900606">
        <w:t>Min, V</w:t>
      </w:r>
      <w:r w:rsidR="00765D06">
        <w:t>al</w:t>
      </w:r>
      <w:r w:rsidR="00900606">
        <w:t>ue</w:t>
      </w:r>
      <w:r w:rsidR="00765D06">
        <w:t xml:space="preserve"> : FCube options. </w:t>
      </w:r>
      <w:r w:rsidR="007D6972">
        <w:t xml:space="preserve">Catch in 2014 are also displayed. </w:t>
      </w:r>
      <w:r w:rsidR="00E412DF">
        <w:t xml:space="preserve">The last </w:t>
      </w:r>
      <w:r w:rsidR="00900606">
        <w:t xml:space="preserve">line </w:t>
      </w:r>
      <w:r w:rsidR="00E412DF">
        <w:t>is the ratio between total landings by column and the total landings for the single-stock F</w:t>
      </w:r>
      <w:r w:rsidR="00521B61" w:rsidRPr="00521B61">
        <w:rPr>
          <w:vertAlign w:val="subscript"/>
        </w:rPr>
        <w:t>MSY</w:t>
      </w:r>
      <w:r w:rsidR="00E412DF">
        <w:t xml:space="preserve"> scenario.</w:t>
      </w:r>
    </w:p>
    <w:p w14:paraId="0D61E21A" w14:textId="77777777" w:rsidR="005A31C3" w:rsidRDefault="005A31C3" w:rsidP="00DF5AFC"/>
    <w:p w14:paraId="218BAE1D" w14:textId="77777777" w:rsidR="005A31C3" w:rsidRDefault="005A31C3" w:rsidP="00DF5AFC">
      <w:pPr>
        <w:sectPr w:rsidR="005A31C3" w:rsidSect="005A31C3">
          <w:pgSz w:w="16838" w:h="11906" w:orient="landscape"/>
          <w:pgMar w:top="1134" w:right="1701" w:bottom="1134" w:left="1701" w:header="708" w:footer="708" w:gutter="0"/>
          <w:cols w:space="708"/>
          <w:docGrid w:linePitch="360"/>
        </w:sectPr>
      </w:pPr>
    </w:p>
    <w:p w14:paraId="56CBF2B4" w14:textId="75A31B79" w:rsidR="005A31C3" w:rsidRDefault="005A31C3" w:rsidP="00DF5AFC"/>
    <w:p w14:paraId="29850939" w14:textId="216101B8" w:rsidR="00E50175" w:rsidRDefault="00E50175">
      <w:pPr>
        <w:spacing w:line="276" w:lineRule="auto"/>
      </w:pPr>
    </w:p>
    <w:tbl>
      <w:tblPr>
        <w:tblW w:w="0" w:type="auto"/>
        <w:tblInd w:w="40" w:type="dxa"/>
        <w:tblCellMar>
          <w:left w:w="70" w:type="dxa"/>
          <w:right w:w="70" w:type="dxa"/>
        </w:tblCellMar>
        <w:tblLook w:val="0000" w:firstRow="0" w:lastRow="0" w:firstColumn="0" w:lastColumn="0" w:noHBand="0" w:noVBand="0"/>
      </w:tblPr>
      <w:tblGrid>
        <w:gridCol w:w="642"/>
        <w:gridCol w:w="1283"/>
        <w:gridCol w:w="910"/>
        <w:gridCol w:w="800"/>
        <w:gridCol w:w="910"/>
        <w:gridCol w:w="800"/>
        <w:gridCol w:w="910"/>
      </w:tblGrid>
      <w:tr w:rsidR="002A6AA1" w:rsidRPr="002A6AA1" w14:paraId="4C62F008" w14:textId="77777777" w:rsidTr="002A6AA1">
        <w:trPr>
          <w:trHeight w:val="290"/>
        </w:trPr>
        <w:tc>
          <w:tcPr>
            <w:tcW w:w="0" w:type="auto"/>
            <w:tcBorders>
              <w:top w:val="nil"/>
              <w:left w:val="nil"/>
              <w:bottom w:val="nil"/>
              <w:right w:val="nil"/>
            </w:tcBorders>
          </w:tcPr>
          <w:p w14:paraId="6FBF8A39" w14:textId="1ABADECD" w:rsidR="002A6AA1" w:rsidRPr="003B704F" w:rsidRDefault="00AE120C">
            <w:pPr>
              <w:autoSpaceDE w:val="0"/>
              <w:autoSpaceDN w:val="0"/>
              <w:adjustRightInd w:val="0"/>
              <w:spacing w:after="0" w:line="240" w:lineRule="auto"/>
              <w:jc w:val="right"/>
              <w:rPr>
                <w:color w:val="000000"/>
                <w:lang w:val="en-US"/>
              </w:rPr>
            </w:pPr>
            <w:r>
              <w:rPr>
                <w:color w:val="000000"/>
                <w:lang w:val="en-US"/>
              </w:rPr>
              <w:t>Stock</w:t>
            </w:r>
          </w:p>
        </w:tc>
        <w:tc>
          <w:tcPr>
            <w:tcW w:w="0" w:type="auto"/>
            <w:tcBorders>
              <w:top w:val="nil"/>
              <w:left w:val="nil"/>
              <w:bottom w:val="nil"/>
              <w:right w:val="nil"/>
            </w:tcBorders>
          </w:tcPr>
          <w:p w14:paraId="2226A797" w14:textId="0E021AB8" w:rsidR="002A6AA1" w:rsidRPr="003B704F" w:rsidRDefault="00AE120C">
            <w:pPr>
              <w:autoSpaceDE w:val="0"/>
              <w:autoSpaceDN w:val="0"/>
              <w:adjustRightInd w:val="0"/>
              <w:spacing w:after="0" w:line="240" w:lineRule="auto"/>
              <w:jc w:val="right"/>
              <w:rPr>
                <w:color w:val="000000"/>
                <w:lang w:val="en-US"/>
              </w:rPr>
            </w:pPr>
            <w:r>
              <w:rPr>
                <w:color w:val="000000"/>
                <w:lang w:val="en-US"/>
              </w:rPr>
              <w:t>Value</w:t>
            </w:r>
          </w:p>
        </w:tc>
        <w:tc>
          <w:tcPr>
            <w:tcW w:w="0" w:type="auto"/>
            <w:tcBorders>
              <w:top w:val="nil"/>
              <w:left w:val="nil"/>
              <w:bottom w:val="nil"/>
              <w:right w:val="nil"/>
            </w:tcBorders>
          </w:tcPr>
          <w:p w14:paraId="3FF82180" w14:textId="6C16FD20" w:rsidR="002A6AA1" w:rsidRPr="00765D06" w:rsidRDefault="002A6AA1">
            <w:pPr>
              <w:autoSpaceDE w:val="0"/>
              <w:autoSpaceDN w:val="0"/>
              <w:adjustRightInd w:val="0"/>
              <w:spacing w:after="0" w:line="240" w:lineRule="auto"/>
              <w:rPr>
                <w:color w:val="000000"/>
                <w:lang w:val="en-US"/>
              </w:rPr>
            </w:pPr>
            <w:r w:rsidRPr="00765D06">
              <w:rPr>
                <w:color w:val="000000"/>
                <w:lang w:val="en-US"/>
              </w:rPr>
              <w:t>F</w:t>
            </w:r>
            <w:r w:rsidR="00521B61" w:rsidRPr="00521B61">
              <w:rPr>
                <w:color w:val="000000"/>
                <w:vertAlign w:val="subscript"/>
                <w:lang w:val="en-US"/>
              </w:rPr>
              <w:t>MSY</w:t>
            </w:r>
          </w:p>
        </w:tc>
        <w:tc>
          <w:tcPr>
            <w:tcW w:w="0" w:type="auto"/>
            <w:tcBorders>
              <w:top w:val="nil"/>
              <w:left w:val="nil"/>
              <w:bottom w:val="nil"/>
              <w:right w:val="nil"/>
            </w:tcBorders>
          </w:tcPr>
          <w:p w14:paraId="2D29F694" w14:textId="5B414252" w:rsidR="002A6AA1" w:rsidRPr="00765D06" w:rsidRDefault="002A6AA1" w:rsidP="002A6AA1">
            <w:pPr>
              <w:autoSpaceDE w:val="0"/>
              <w:autoSpaceDN w:val="0"/>
              <w:adjustRightInd w:val="0"/>
              <w:spacing w:after="0" w:line="240" w:lineRule="auto"/>
              <w:rPr>
                <w:color w:val="000000"/>
                <w:lang w:val="en-US"/>
              </w:rPr>
            </w:pPr>
            <w:r w:rsidRPr="00765D06">
              <w:rPr>
                <w:color w:val="000000"/>
                <w:lang w:val="en-US"/>
              </w:rPr>
              <w:t>F</w:t>
            </w:r>
            <w:r w:rsidR="00521B61" w:rsidRPr="00521B61">
              <w:rPr>
                <w:color w:val="000000"/>
                <w:vertAlign w:val="subscript"/>
                <w:lang w:val="en-US"/>
              </w:rPr>
              <w:t>upper</w:t>
            </w:r>
          </w:p>
        </w:tc>
        <w:tc>
          <w:tcPr>
            <w:tcW w:w="0" w:type="auto"/>
            <w:tcBorders>
              <w:top w:val="nil"/>
              <w:left w:val="nil"/>
              <w:bottom w:val="nil"/>
              <w:right w:val="nil"/>
            </w:tcBorders>
          </w:tcPr>
          <w:p w14:paraId="3DE565C1" w14:textId="7DE8B1EA" w:rsidR="002A6AA1" w:rsidRPr="00765D06" w:rsidRDefault="002A6AA1" w:rsidP="002A6AA1">
            <w:pPr>
              <w:autoSpaceDE w:val="0"/>
              <w:autoSpaceDN w:val="0"/>
              <w:adjustRightInd w:val="0"/>
              <w:spacing w:after="0" w:line="240" w:lineRule="auto"/>
              <w:rPr>
                <w:color w:val="000000"/>
                <w:lang w:val="en-US"/>
              </w:rPr>
            </w:pPr>
            <w:r w:rsidRPr="00765D06">
              <w:rPr>
                <w:color w:val="000000"/>
                <w:lang w:val="en-US"/>
              </w:rPr>
              <w:t>F</w:t>
            </w:r>
            <w:r w:rsidR="00521B61" w:rsidRPr="00521B61">
              <w:rPr>
                <w:color w:val="000000"/>
                <w:vertAlign w:val="subscript"/>
                <w:lang w:val="en-US"/>
              </w:rPr>
              <w:t>lower</w:t>
            </w:r>
          </w:p>
        </w:tc>
        <w:tc>
          <w:tcPr>
            <w:tcW w:w="0" w:type="auto"/>
            <w:tcBorders>
              <w:top w:val="nil"/>
              <w:left w:val="nil"/>
              <w:bottom w:val="nil"/>
              <w:right w:val="nil"/>
            </w:tcBorders>
          </w:tcPr>
          <w:p w14:paraId="247D7CB9" w14:textId="0FB62A9F" w:rsidR="002A6AA1" w:rsidRPr="00765D06" w:rsidRDefault="00623425">
            <w:pPr>
              <w:autoSpaceDE w:val="0"/>
              <w:autoSpaceDN w:val="0"/>
              <w:adjustRightInd w:val="0"/>
              <w:spacing w:after="0" w:line="240" w:lineRule="auto"/>
              <w:rPr>
                <w:color w:val="000000"/>
                <w:lang w:val="en-US"/>
              </w:rPr>
            </w:pPr>
            <w:r>
              <w:rPr>
                <w:color w:val="000000"/>
                <w:lang w:val="en-US"/>
              </w:rPr>
              <w:t>LT</w:t>
            </w:r>
            <w:r w:rsidR="002A6AA1" w:rsidRPr="00765D06">
              <w:rPr>
                <w:color w:val="000000"/>
                <w:lang w:val="en-US"/>
              </w:rPr>
              <w:t>MP</w:t>
            </w:r>
          </w:p>
        </w:tc>
        <w:tc>
          <w:tcPr>
            <w:tcW w:w="0" w:type="auto"/>
            <w:tcBorders>
              <w:top w:val="nil"/>
              <w:left w:val="nil"/>
              <w:bottom w:val="nil"/>
              <w:right w:val="nil"/>
            </w:tcBorders>
          </w:tcPr>
          <w:p w14:paraId="7D26965A" w14:textId="30B2C20F" w:rsidR="002A6AA1" w:rsidRPr="00765D06" w:rsidRDefault="00182EE6">
            <w:pPr>
              <w:autoSpaceDE w:val="0"/>
              <w:autoSpaceDN w:val="0"/>
              <w:adjustRightInd w:val="0"/>
              <w:spacing w:after="0" w:line="240" w:lineRule="auto"/>
              <w:rPr>
                <w:color w:val="000000"/>
                <w:lang w:val="en-US"/>
              </w:rPr>
            </w:pPr>
            <w:r w:rsidRPr="00F50C72">
              <w:rPr>
                <w:color w:val="000000"/>
                <w:lang w:val="en-US"/>
              </w:rPr>
              <w:t>Foptim</w:t>
            </w:r>
          </w:p>
        </w:tc>
      </w:tr>
      <w:tr w:rsidR="00182EE6" w:rsidRPr="002A6AA1" w14:paraId="47BA3A20" w14:textId="77777777" w:rsidTr="00F50C72">
        <w:trPr>
          <w:trHeight w:val="290"/>
        </w:trPr>
        <w:tc>
          <w:tcPr>
            <w:tcW w:w="0" w:type="auto"/>
            <w:tcBorders>
              <w:top w:val="nil"/>
              <w:left w:val="nil"/>
              <w:bottom w:val="nil"/>
              <w:right w:val="nil"/>
            </w:tcBorders>
          </w:tcPr>
          <w:p w14:paraId="0A9F4E22" w14:textId="7F075103" w:rsidR="00182EE6" w:rsidRPr="00765D06" w:rsidRDefault="00182EE6">
            <w:pPr>
              <w:autoSpaceDE w:val="0"/>
              <w:autoSpaceDN w:val="0"/>
              <w:adjustRightInd w:val="0"/>
              <w:spacing w:after="0" w:line="240" w:lineRule="auto"/>
              <w:rPr>
                <w:color w:val="000000"/>
                <w:lang w:val="en-US"/>
              </w:rPr>
            </w:pPr>
            <w:r w:rsidRPr="00765D06">
              <w:rPr>
                <w:color w:val="000000"/>
                <w:lang w:val="en-US"/>
              </w:rPr>
              <w:t>COD</w:t>
            </w:r>
          </w:p>
        </w:tc>
        <w:tc>
          <w:tcPr>
            <w:tcW w:w="0" w:type="auto"/>
            <w:tcBorders>
              <w:top w:val="nil"/>
              <w:left w:val="nil"/>
              <w:bottom w:val="nil"/>
              <w:right w:val="nil"/>
            </w:tcBorders>
          </w:tcPr>
          <w:p w14:paraId="1C851F0F" w14:textId="77777777" w:rsidR="00182EE6" w:rsidRPr="00765D06" w:rsidRDefault="00182EE6">
            <w:pPr>
              <w:autoSpaceDE w:val="0"/>
              <w:autoSpaceDN w:val="0"/>
              <w:adjustRightInd w:val="0"/>
              <w:spacing w:after="0" w:line="240" w:lineRule="auto"/>
              <w:rPr>
                <w:color w:val="000000"/>
                <w:lang w:val="en-US"/>
              </w:rPr>
            </w:pPr>
            <w:r w:rsidRPr="00765D06">
              <w:rPr>
                <w:color w:val="000000"/>
                <w:lang w:val="en-US"/>
              </w:rPr>
              <w:t>F 2016</w:t>
            </w:r>
          </w:p>
        </w:tc>
        <w:tc>
          <w:tcPr>
            <w:tcW w:w="0" w:type="auto"/>
            <w:tcBorders>
              <w:top w:val="nil"/>
              <w:left w:val="nil"/>
              <w:bottom w:val="nil"/>
              <w:right w:val="nil"/>
            </w:tcBorders>
          </w:tcPr>
          <w:p w14:paraId="3A053879" w14:textId="77777777" w:rsidR="00182EE6" w:rsidRPr="00765D06" w:rsidRDefault="00182EE6">
            <w:pPr>
              <w:autoSpaceDE w:val="0"/>
              <w:autoSpaceDN w:val="0"/>
              <w:adjustRightInd w:val="0"/>
              <w:spacing w:after="0" w:line="240" w:lineRule="auto"/>
              <w:jc w:val="right"/>
              <w:rPr>
                <w:color w:val="000000"/>
                <w:lang w:val="en-US"/>
              </w:rPr>
            </w:pPr>
            <w:r w:rsidRPr="00765D06">
              <w:rPr>
                <w:color w:val="000000"/>
                <w:lang w:val="en-US"/>
              </w:rPr>
              <w:t>0.327</w:t>
            </w:r>
          </w:p>
        </w:tc>
        <w:tc>
          <w:tcPr>
            <w:tcW w:w="0" w:type="auto"/>
            <w:tcBorders>
              <w:top w:val="nil"/>
              <w:left w:val="nil"/>
              <w:bottom w:val="nil"/>
              <w:right w:val="nil"/>
            </w:tcBorders>
            <w:vAlign w:val="bottom"/>
          </w:tcPr>
          <w:p w14:paraId="7554525F" w14:textId="0474E17A" w:rsidR="00182EE6" w:rsidRPr="00182EE6" w:rsidRDefault="00182EE6">
            <w:pPr>
              <w:autoSpaceDE w:val="0"/>
              <w:autoSpaceDN w:val="0"/>
              <w:adjustRightInd w:val="0"/>
              <w:spacing w:after="0" w:line="240" w:lineRule="auto"/>
              <w:jc w:val="right"/>
              <w:rPr>
                <w:color w:val="000000"/>
                <w:lang w:val="en-US"/>
              </w:rPr>
            </w:pPr>
            <w:r w:rsidRPr="00F50C72">
              <w:rPr>
                <w:color w:val="000000"/>
              </w:rPr>
              <w:t>0.486</w:t>
            </w:r>
          </w:p>
        </w:tc>
        <w:tc>
          <w:tcPr>
            <w:tcW w:w="0" w:type="auto"/>
            <w:tcBorders>
              <w:top w:val="nil"/>
              <w:left w:val="nil"/>
              <w:bottom w:val="nil"/>
              <w:right w:val="nil"/>
            </w:tcBorders>
          </w:tcPr>
          <w:p w14:paraId="3EE8ED3D" w14:textId="77777777" w:rsidR="00182EE6" w:rsidRPr="00765D06" w:rsidRDefault="00182EE6">
            <w:pPr>
              <w:autoSpaceDE w:val="0"/>
              <w:autoSpaceDN w:val="0"/>
              <w:adjustRightInd w:val="0"/>
              <w:spacing w:after="0" w:line="240" w:lineRule="auto"/>
              <w:jc w:val="right"/>
              <w:rPr>
                <w:color w:val="000000"/>
                <w:lang w:val="en-US"/>
              </w:rPr>
            </w:pPr>
            <w:r w:rsidRPr="00765D06">
              <w:rPr>
                <w:color w:val="000000"/>
                <w:lang w:val="en-US"/>
              </w:rPr>
              <w:t>0.218</w:t>
            </w:r>
          </w:p>
        </w:tc>
        <w:tc>
          <w:tcPr>
            <w:tcW w:w="0" w:type="auto"/>
            <w:tcBorders>
              <w:top w:val="nil"/>
              <w:left w:val="nil"/>
              <w:bottom w:val="nil"/>
              <w:right w:val="nil"/>
            </w:tcBorders>
          </w:tcPr>
          <w:p w14:paraId="08E21834" w14:textId="77777777" w:rsidR="00182EE6" w:rsidRPr="00765D06" w:rsidRDefault="00182EE6">
            <w:pPr>
              <w:autoSpaceDE w:val="0"/>
              <w:autoSpaceDN w:val="0"/>
              <w:adjustRightInd w:val="0"/>
              <w:spacing w:after="0" w:line="240" w:lineRule="auto"/>
              <w:jc w:val="right"/>
              <w:rPr>
                <w:color w:val="000000"/>
                <w:lang w:val="en-US"/>
              </w:rPr>
            </w:pPr>
            <w:r w:rsidRPr="00765D06">
              <w:rPr>
                <w:color w:val="000000"/>
                <w:lang w:val="en-US"/>
              </w:rPr>
              <w:t>0.33</w:t>
            </w:r>
          </w:p>
        </w:tc>
        <w:tc>
          <w:tcPr>
            <w:tcW w:w="0" w:type="auto"/>
            <w:tcBorders>
              <w:top w:val="nil"/>
              <w:left w:val="nil"/>
              <w:bottom w:val="nil"/>
              <w:right w:val="nil"/>
            </w:tcBorders>
          </w:tcPr>
          <w:p w14:paraId="64C72A9A" w14:textId="77777777" w:rsidR="00182EE6" w:rsidRPr="00765D06" w:rsidRDefault="00182EE6">
            <w:pPr>
              <w:autoSpaceDE w:val="0"/>
              <w:autoSpaceDN w:val="0"/>
              <w:adjustRightInd w:val="0"/>
              <w:spacing w:after="0" w:line="240" w:lineRule="auto"/>
              <w:jc w:val="right"/>
              <w:rPr>
                <w:color w:val="000000"/>
                <w:lang w:val="en-US"/>
              </w:rPr>
            </w:pPr>
            <w:r w:rsidRPr="00765D06">
              <w:rPr>
                <w:color w:val="000000"/>
                <w:lang w:val="en-US"/>
              </w:rPr>
              <w:t>0.407</w:t>
            </w:r>
          </w:p>
        </w:tc>
      </w:tr>
      <w:tr w:rsidR="00182EE6" w:rsidRPr="002A6AA1" w14:paraId="386949F0" w14:textId="77777777" w:rsidTr="00F50C72">
        <w:trPr>
          <w:trHeight w:val="290"/>
        </w:trPr>
        <w:tc>
          <w:tcPr>
            <w:tcW w:w="0" w:type="auto"/>
            <w:tcBorders>
              <w:top w:val="nil"/>
              <w:left w:val="nil"/>
              <w:bottom w:val="nil"/>
              <w:right w:val="nil"/>
            </w:tcBorders>
          </w:tcPr>
          <w:p w14:paraId="4E54B1D8" w14:textId="1891AF2A" w:rsidR="00182EE6" w:rsidRPr="00765D06" w:rsidRDefault="00182EE6">
            <w:pPr>
              <w:autoSpaceDE w:val="0"/>
              <w:autoSpaceDN w:val="0"/>
              <w:adjustRightInd w:val="0"/>
              <w:spacing w:after="0" w:line="240" w:lineRule="auto"/>
              <w:rPr>
                <w:color w:val="000000"/>
                <w:lang w:val="en-US"/>
              </w:rPr>
            </w:pPr>
            <w:r w:rsidRPr="00765D06">
              <w:rPr>
                <w:color w:val="000000"/>
                <w:lang w:val="en-US"/>
              </w:rPr>
              <w:t>COD</w:t>
            </w:r>
          </w:p>
        </w:tc>
        <w:tc>
          <w:tcPr>
            <w:tcW w:w="0" w:type="auto"/>
            <w:tcBorders>
              <w:top w:val="nil"/>
              <w:left w:val="nil"/>
              <w:bottom w:val="nil"/>
              <w:right w:val="nil"/>
            </w:tcBorders>
          </w:tcPr>
          <w:p w14:paraId="22378B9B" w14:textId="77777777" w:rsidR="00182EE6" w:rsidRPr="00765D06" w:rsidRDefault="00182EE6">
            <w:pPr>
              <w:autoSpaceDE w:val="0"/>
              <w:autoSpaceDN w:val="0"/>
              <w:adjustRightInd w:val="0"/>
              <w:spacing w:after="0" w:line="240" w:lineRule="auto"/>
              <w:rPr>
                <w:color w:val="000000"/>
                <w:lang w:val="en-US"/>
              </w:rPr>
            </w:pPr>
            <w:r w:rsidRPr="00765D06">
              <w:rPr>
                <w:color w:val="000000"/>
                <w:lang w:val="en-US"/>
              </w:rPr>
              <w:t>catches 2016</w:t>
            </w:r>
          </w:p>
        </w:tc>
        <w:tc>
          <w:tcPr>
            <w:tcW w:w="0" w:type="auto"/>
            <w:tcBorders>
              <w:top w:val="nil"/>
              <w:left w:val="nil"/>
              <w:bottom w:val="nil"/>
              <w:right w:val="nil"/>
            </w:tcBorders>
          </w:tcPr>
          <w:p w14:paraId="47F36E82" w14:textId="77777777" w:rsidR="00182EE6" w:rsidRPr="00765D06" w:rsidRDefault="00182EE6">
            <w:pPr>
              <w:autoSpaceDE w:val="0"/>
              <w:autoSpaceDN w:val="0"/>
              <w:adjustRightInd w:val="0"/>
              <w:spacing w:after="0" w:line="240" w:lineRule="auto"/>
              <w:jc w:val="right"/>
              <w:rPr>
                <w:color w:val="000000"/>
                <w:lang w:val="en-US"/>
              </w:rPr>
            </w:pPr>
            <w:r w:rsidRPr="00765D06">
              <w:rPr>
                <w:color w:val="000000"/>
                <w:lang w:val="en-US"/>
              </w:rPr>
              <w:t>47907</w:t>
            </w:r>
          </w:p>
        </w:tc>
        <w:tc>
          <w:tcPr>
            <w:tcW w:w="0" w:type="auto"/>
            <w:tcBorders>
              <w:top w:val="nil"/>
              <w:left w:val="nil"/>
              <w:bottom w:val="nil"/>
              <w:right w:val="nil"/>
            </w:tcBorders>
            <w:vAlign w:val="bottom"/>
          </w:tcPr>
          <w:p w14:paraId="60E349B7" w14:textId="12FAB042" w:rsidR="00182EE6" w:rsidRPr="00182EE6" w:rsidRDefault="00182EE6">
            <w:pPr>
              <w:autoSpaceDE w:val="0"/>
              <w:autoSpaceDN w:val="0"/>
              <w:adjustRightInd w:val="0"/>
              <w:spacing w:after="0" w:line="240" w:lineRule="auto"/>
              <w:jc w:val="right"/>
              <w:rPr>
                <w:color w:val="000000"/>
                <w:lang w:val="da-DK"/>
              </w:rPr>
            </w:pPr>
            <w:r w:rsidRPr="00F50C72">
              <w:rPr>
                <w:color w:val="000000"/>
              </w:rPr>
              <w:t>66761</w:t>
            </w:r>
          </w:p>
        </w:tc>
        <w:tc>
          <w:tcPr>
            <w:tcW w:w="0" w:type="auto"/>
            <w:tcBorders>
              <w:top w:val="nil"/>
              <w:left w:val="nil"/>
              <w:bottom w:val="nil"/>
              <w:right w:val="nil"/>
            </w:tcBorders>
          </w:tcPr>
          <w:p w14:paraId="0A8FDF2E"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33406</w:t>
            </w:r>
          </w:p>
        </w:tc>
        <w:tc>
          <w:tcPr>
            <w:tcW w:w="0" w:type="auto"/>
            <w:tcBorders>
              <w:top w:val="nil"/>
              <w:left w:val="nil"/>
              <w:bottom w:val="nil"/>
              <w:right w:val="nil"/>
            </w:tcBorders>
          </w:tcPr>
          <w:p w14:paraId="4C719830"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48270</w:t>
            </w:r>
          </w:p>
        </w:tc>
        <w:tc>
          <w:tcPr>
            <w:tcW w:w="0" w:type="auto"/>
            <w:tcBorders>
              <w:top w:val="nil"/>
              <w:left w:val="nil"/>
              <w:bottom w:val="nil"/>
              <w:right w:val="nil"/>
            </w:tcBorders>
          </w:tcPr>
          <w:p w14:paraId="3CE85748"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57705</w:t>
            </w:r>
          </w:p>
        </w:tc>
      </w:tr>
      <w:tr w:rsidR="00182EE6" w:rsidRPr="002A6AA1" w14:paraId="6550E97B" w14:textId="77777777" w:rsidTr="00F50C72">
        <w:trPr>
          <w:trHeight w:val="290"/>
        </w:trPr>
        <w:tc>
          <w:tcPr>
            <w:tcW w:w="0" w:type="auto"/>
            <w:tcBorders>
              <w:top w:val="nil"/>
              <w:left w:val="nil"/>
              <w:bottom w:val="nil"/>
              <w:right w:val="nil"/>
            </w:tcBorders>
          </w:tcPr>
          <w:p w14:paraId="3A463B6D" w14:textId="1402A370" w:rsidR="00182EE6" w:rsidRPr="002A6AA1" w:rsidRDefault="00182EE6">
            <w:pPr>
              <w:autoSpaceDE w:val="0"/>
              <w:autoSpaceDN w:val="0"/>
              <w:adjustRightInd w:val="0"/>
              <w:spacing w:after="0" w:line="240" w:lineRule="auto"/>
              <w:rPr>
                <w:color w:val="000000"/>
                <w:lang w:val="da-DK"/>
              </w:rPr>
            </w:pPr>
            <w:r>
              <w:rPr>
                <w:color w:val="000000"/>
                <w:lang w:val="da-DK"/>
              </w:rPr>
              <w:t>COD</w:t>
            </w:r>
          </w:p>
        </w:tc>
        <w:tc>
          <w:tcPr>
            <w:tcW w:w="0" w:type="auto"/>
            <w:tcBorders>
              <w:top w:val="nil"/>
              <w:left w:val="nil"/>
              <w:bottom w:val="nil"/>
              <w:right w:val="nil"/>
            </w:tcBorders>
          </w:tcPr>
          <w:p w14:paraId="3362AA20" w14:textId="77777777" w:rsidR="00182EE6" w:rsidRPr="002A6AA1" w:rsidRDefault="00182EE6">
            <w:pPr>
              <w:autoSpaceDE w:val="0"/>
              <w:autoSpaceDN w:val="0"/>
              <w:adjustRightInd w:val="0"/>
              <w:spacing w:after="0" w:line="240" w:lineRule="auto"/>
              <w:rPr>
                <w:color w:val="000000"/>
                <w:lang w:val="da-DK"/>
              </w:rPr>
            </w:pPr>
            <w:r w:rsidRPr="002A6AA1">
              <w:rPr>
                <w:color w:val="000000"/>
                <w:lang w:val="da-DK"/>
              </w:rPr>
              <w:t>SSB 2017</w:t>
            </w:r>
          </w:p>
        </w:tc>
        <w:tc>
          <w:tcPr>
            <w:tcW w:w="0" w:type="auto"/>
            <w:tcBorders>
              <w:top w:val="nil"/>
              <w:left w:val="nil"/>
              <w:bottom w:val="nil"/>
              <w:right w:val="nil"/>
            </w:tcBorders>
          </w:tcPr>
          <w:p w14:paraId="6B256C2F"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176835</w:t>
            </w:r>
          </w:p>
        </w:tc>
        <w:tc>
          <w:tcPr>
            <w:tcW w:w="0" w:type="auto"/>
            <w:tcBorders>
              <w:top w:val="nil"/>
              <w:left w:val="nil"/>
              <w:bottom w:val="nil"/>
              <w:right w:val="nil"/>
            </w:tcBorders>
            <w:vAlign w:val="bottom"/>
          </w:tcPr>
          <w:p w14:paraId="15B429C2" w14:textId="36488A86" w:rsidR="00182EE6" w:rsidRPr="00182EE6" w:rsidRDefault="00182EE6">
            <w:pPr>
              <w:autoSpaceDE w:val="0"/>
              <w:autoSpaceDN w:val="0"/>
              <w:adjustRightInd w:val="0"/>
              <w:spacing w:after="0" w:line="240" w:lineRule="auto"/>
              <w:jc w:val="right"/>
              <w:rPr>
                <w:color w:val="000000"/>
                <w:lang w:val="da-DK"/>
              </w:rPr>
            </w:pPr>
            <w:r w:rsidRPr="00F50C72">
              <w:rPr>
                <w:color w:val="000000"/>
              </w:rPr>
              <w:t>155878</w:t>
            </w:r>
          </w:p>
        </w:tc>
        <w:tc>
          <w:tcPr>
            <w:tcW w:w="0" w:type="auto"/>
            <w:tcBorders>
              <w:top w:val="nil"/>
              <w:left w:val="nil"/>
              <w:bottom w:val="nil"/>
              <w:right w:val="nil"/>
            </w:tcBorders>
          </w:tcPr>
          <w:p w14:paraId="3BB2B37F"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193217</w:t>
            </w:r>
          </w:p>
        </w:tc>
        <w:tc>
          <w:tcPr>
            <w:tcW w:w="0" w:type="auto"/>
            <w:tcBorders>
              <w:top w:val="nil"/>
              <w:left w:val="nil"/>
              <w:bottom w:val="nil"/>
              <w:right w:val="nil"/>
            </w:tcBorders>
          </w:tcPr>
          <w:p w14:paraId="519CD592"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176427</w:t>
            </w:r>
          </w:p>
        </w:tc>
        <w:tc>
          <w:tcPr>
            <w:tcW w:w="0" w:type="auto"/>
            <w:tcBorders>
              <w:top w:val="nil"/>
              <w:left w:val="nil"/>
              <w:bottom w:val="nil"/>
              <w:right w:val="nil"/>
            </w:tcBorders>
          </w:tcPr>
          <w:p w14:paraId="08BA11FE"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165892</w:t>
            </w:r>
          </w:p>
        </w:tc>
      </w:tr>
      <w:tr w:rsidR="00182EE6" w:rsidRPr="002A6AA1" w14:paraId="28A11AC9" w14:textId="77777777" w:rsidTr="00F50C72">
        <w:trPr>
          <w:trHeight w:val="290"/>
        </w:trPr>
        <w:tc>
          <w:tcPr>
            <w:tcW w:w="0" w:type="auto"/>
            <w:tcBorders>
              <w:top w:val="nil"/>
              <w:left w:val="nil"/>
              <w:bottom w:val="nil"/>
              <w:right w:val="nil"/>
            </w:tcBorders>
          </w:tcPr>
          <w:p w14:paraId="6C19F3F7" w14:textId="77777777" w:rsidR="00182EE6" w:rsidRPr="002A6AA1" w:rsidRDefault="00182EE6">
            <w:pPr>
              <w:autoSpaceDE w:val="0"/>
              <w:autoSpaceDN w:val="0"/>
              <w:adjustRightInd w:val="0"/>
              <w:spacing w:after="0" w:line="240" w:lineRule="auto"/>
              <w:rPr>
                <w:color w:val="000000"/>
                <w:lang w:val="da-DK"/>
              </w:rPr>
            </w:pPr>
            <w:r w:rsidRPr="002A6AA1">
              <w:rPr>
                <w:color w:val="000000"/>
                <w:lang w:val="da-DK"/>
              </w:rPr>
              <w:t>HAD</w:t>
            </w:r>
          </w:p>
        </w:tc>
        <w:tc>
          <w:tcPr>
            <w:tcW w:w="0" w:type="auto"/>
            <w:tcBorders>
              <w:top w:val="nil"/>
              <w:left w:val="nil"/>
              <w:bottom w:val="nil"/>
              <w:right w:val="nil"/>
            </w:tcBorders>
          </w:tcPr>
          <w:p w14:paraId="3AB1343B" w14:textId="77777777" w:rsidR="00182EE6" w:rsidRPr="002A6AA1" w:rsidRDefault="00182EE6">
            <w:pPr>
              <w:autoSpaceDE w:val="0"/>
              <w:autoSpaceDN w:val="0"/>
              <w:adjustRightInd w:val="0"/>
              <w:spacing w:after="0" w:line="240" w:lineRule="auto"/>
              <w:rPr>
                <w:color w:val="000000"/>
                <w:lang w:val="da-DK"/>
              </w:rPr>
            </w:pPr>
            <w:r w:rsidRPr="002A6AA1">
              <w:rPr>
                <w:color w:val="000000"/>
                <w:lang w:val="da-DK"/>
              </w:rPr>
              <w:t>F 2016</w:t>
            </w:r>
          </w:p>
        </w:tc>
        <w:tc>
          <w:tcPr>
            <w:tcW w:w="0" w:type="auto"/>
            <w:tcBorders>
              <w:top w:val="nil"/>
              <w:left w:val="nil"/>
              <w:bottom w:val="nil"/>
              <w:right w:val="nil"/>
            </w:tcBorders>
          </w:tcPr>
          <w:p w14:paraId="3B2D8BAF"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0.37</w:t>
            </w:r>
          </w:p>
        </w:tc>
        <w:tc>
          <w:tcPr>
            <w:tcW w:w="0" w:type="auto"/>
            <w:tcBorders>
              <w:top w:val="nil"/>
              <w:left w:val="nil"/>
              <w:bottom w:val="nil"/>
              <w:right w:val="nil"/>
            </w:tcBorders>
            <w:vAlign w:val="bottom"/>
          </w:tcPr>
          <w:p w14:paraId="5D5480A7" w14:textId="54CB8713" w:rsidR="00182EE6" w:rsidRPr="00182EE6" w:rsidRDefault="00182EE6">
            <w:pPr>
              <w:autoSpaceDE w:val="0"/>
              <w:autoSpaceDN w:val="0"/>
              <w:adjustRightInd w:val="0"/>
              <w:spacing w:after="0" w:line="240" w:lineRule="auto"/>
              <w:jc w:val="right"/>
              <w:rPr>
                <w:color w:val="000000"/>
                <w:lang w:val="da-DK"/>
              </w:rPr>
            </w:pPr>
            <w:r w:rsidRPr="00F50C72">
              <w:rPr>
                <w:color w:val="000000"/>
              </w:rPr>
              <w:t>0.</w:t>
            </w:r>
            <w:r w:rsidRPr="00182EE6">
              <w:rPr>
                <w:color w:val="000000"/>
              </w:rPr>
              <w:t>52</w:t>
            </w:r>
          </w:p>
        </w:tc>
        <w:tc>
          <w:tcPr>
            <w:tcW w:w="0" w:type="auto"/>
            <w:tcBorders>
              <w:top w:val="nil"/>
              <w:left w:val="nil"/>
              <w:bottom w:val="nil"/>
              <w:right w:val="nil"/>
            </w:tcBorders>
          </w:tcPr>
          <w:p w14:paraId="0DD87CD5"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0.25</w:t>
            </w:r>
          </w:p>
        </w:tc>
        <w:tc>
          <w:tcPr>
            <w:tcW w:w="0" w:type="auto"/>
            <w:tcBorders>
              <w:top w:val="nil"/>
              <w:left w:val="nil"/>
              <w:bottom w:val="nil"/>
              <w:right w:val="nil"/>
            </w:tcBorders>
          </w:tcPr>
          <w:p w14:paraId="4539BC03"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0.37</w:t>
            </w:r>
          </w:p>
        </w:tc>
        <w:tc>
          <w:tcPr>
            <w:tcW w:w="0" w:type="auto"/>
            <w:tcBorders>
              <w:top w:val="nil"/>
              <w:left w:val="nil"/>
              <w:bottom w:val="nil"/>
              <w:right w:val="nil"/>
            </w:tcBorders>
          </w:tcPr>
          <w:p w14:paraId="52EEA79D"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0.27</w:t>
            </w:r>
          </w:p>
        </w:tc>
      </w:tr>
      <w:tr w:rsidR="00182EE6" w:rsidRPr="002A6AA1" w14:paraId="0E6EDE12" w14:textId="77777777" w:rsidTr="00F50C72">
        <w:trPr>
          <w:trHeight w:val="290"/>
        </w:trPr>
        <w:tc>
          <w:tcPr>
            <w:tcW w:w="0" w:type="auto"/>
            <w:tcBorders>
              <w:top w:val="nil"/>
              <w:left w:val="nil"/>
              <w:bottom w:val="nil"/>
              <w:right w:val="nil"/>
            </w:tcBorders>
          </w:tcPr>
          <w:p w14:paraId="478D6850" w14:textId="77777777" w:rsidR="00182EE6" w:rsidRPr="002A6AA1" w:rsidRDefault="00182EE6">
            <w:pPr>
              <w:autoSpaceDE w:val="0"/>
              <w:autoSpaceDN w:val="0"/>
              <w:adjustRightInd w:val="0"/>
              <w:spacing w:after="0" w:line="240" w:lineRule="auto"/>
              <w:rPr>
                <w:color w:val="000000"/>
                <w:lang w:val="da-DK"/>
              </w:rPr>
            </w:pPr>
            <w:r w:rsidRPr="002A6AA1">
              <w:rPr>
                <w:color w:val="000000"/>
                <w:lang w:val="da-DK"/>
              </w:rPr>
              <w:t>HAD</w:t>
            </w:r>
          </w:p>
        </w:tc>
        <w:tc>
          <w:tcPr>
            <w:tcW w:w="0" w:type="auto"/>
            <w:tcBorders>
              <w:top w:val="nil"/>
              <w:left w:val="nil"/>
              <w:bottom w:val="nil"/>
              <w:right w:val="nil"/>
            </w:tcBorders>
          </w:tcPr>
          <w:p w14:paraId="16E78FFE" w14:textId="77777777" w:rsidR="00182EE6" w:rsidRPr="002A6AA1" w:rsidRDefault="00182EE6">
            <w:pPr>
              <w:autoSpaceDE w:val="0"/>
              <w:autoSpaceDN w:val="0"/>
              <w:adjustRightInd w:val="0"/>
              <w:spacing w:after="0" w:line="240" w:lineRule="auto"/>
              <w:rPr>
                <w:color w:val="000000"/>
                <w:lang w:val="da-DK"/>
              </w:rPr>
            </w:pPr>
            <w:r w:rsidRPr="002A6AA1">
              <w:rPr>
                <w:color w:val="000000"/>
                <w:lang w:val="da-DK"/>
              </w:rPr>
              <w:t>catches 2016</w:t>
            </w:r>
          </w:p>
        </w:tc>
        <w:tc>
          <w:tcPr>
            <w:tcW w:w="0" w:type="auto"/>
            <w:tcBorders>
              <w:top w:val="nil"/>
              <w:left w:val="nil"/>
              <w:bottom w:val="nil"/>
              <w:right w:val="nil"/>
            </w:tcBorders>
          </w:tcPr>
          <w:p w14:paraId="4C8BCF53"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75273</w:t>
            </w:r>
          </w:p>
        </w:tc>
        <w:tc>
          <w:tcPr>
            <w:tcW w:w="0" w:type="auto"/>
            <w:tcBorders>
              <w:top w:val="nil"/>
              <w:left w:val="nil"/>
              <w:bottom w:val="nil"/>
              <w:right w:val="nil"/>
            </w:tcBorders>
            <w:vAlign w:val="bottom"/>
          </w:tcPr>
          <w:p w14:paraId="2A9D8B01" w14:textId="1F09C4A3" w:rsidR="00182EE6" w:rsidRPr="00182EE6" w:rsidRDefault="00182EE6">
            <w:pPr>
              <w:autoSpaceDE w:val="0"/>
              <w:autoSpaceDN w:val="0"/>
              <w:adjustRightInd w:val="0"/>
              <w:spacing w:after="0" w:line="240" w:lineRule="auto"/>
              <w:jc w:val="right"/>
              <w:rPr>
                <w:color w:val="000000"/>
                <w:lang w:val="da-DK"/>
              </w:rPr>
            </w:pPr>
            <w:r w:rsidRPr="00182EE6">
              <w:rPr>
                <w:color w:val="000000"/>
              </w:rPr>
              <w:t>99814</w:t>
            </w:r>
          </w:p>
        </w:tc>
        <w:tc>
          <w:tcPr>
            <w:tcW w:w="0" w:type="auto"/>
            <w:tcBorders>
              <w:top w:val="nil"/>
              <w:left w:val="nil"/>
              <w:bottom w:val="nil"/>
              <w:right w:val="nil"/>
            </w:tcBorders>
          </w:tcPr>
          <w:p w14:paraId="78EA75C2"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53361</w:t>
            </w:r>
          </w:p>
        </w:tc>
        <w:tc>
          <w:tcPr>
            <w:tcW w:w="0" w:type="auto"/>
            <w:tcBorders>
              <w:top w:val="nil"/>
              <w:left w:val="nil"/>
              <w:bottom w:val="nil"/>
              <w:right w:val="nil"/>
            </w:tcBorders>
          </w:tcPr>
          <w:p w14:paraId="55B48FDB"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75683</w:t>
            </w:r>
          </w:p>
        </w:tc>
        <w:tc>
          <w:tcPr>
            <w:tcW w:w="0" w:type="auto"/>
            <w:tcBorders>
              <w:top w:val="nil"/>
              <w:left w:val="nil"/>
              <w:bottom w:val="nil"/>
              <w:right w:val="nil"/>
            </w:tcBorders>
          </w:tcPr>
          <w:p w14:paraId="0AFFB27B"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57248</w:t>
            </w:r>
          </w:p>
        </w:tc>
      </w:tr>
      <w:tr w:rsidR="00182EE6" w:rsidRPr="002A6AA1" w14:paraId="348FEC4C" w14:textId="77777777" w:rsidTr="00F50C72">
        <w:trPr>
          <w:trHeight w:val="290"/>
        </w:trPr>
        <w:tc>
          <w:tcPr>
            <w:tcW w:w="0" w:type="auto"/>
            <w:tcBorders>
              <w:top w:val="nil"/>
              <w:left w:val="nil"/>
              <w:bottom w:val="nil"/>
              <w:right w:val="nil"/>
            </w:tcBorders>
          </w:tcPr>
          <w:p w14:paraId="4E4A13A8" w14:textId="77777777" w:rsidR="00182EE6" w:rsidRPr="002A6AA1" w:rsidRDefault="00182EE6">
            <w:pPr>
              <w:autoSpaceDE w:val="0"/>
              <w:autoSpaceDN w:val="0"/>
              <w:adjustRightInd w:val="0"/>
              <w:spacing w:after="0" w:line="240" w:lineRule="auto"/>
              <w:rPr>
                <w:color w:val="000000"/>
                <w:lang w:val="da-DK"/>
              </w:rPr>
            </w:pPr>
            <w:r w:rsidRPr="002A6AA1">
              <w:rPr>
                <w:color w:val="000000"/>
                <w:lang w:val="da-DK"/>
              </w:rPr>
              <w:t>HAD</w:t>
            </w:r>
          </w:p>
        </w:tc>
        <w:tc>
          <w:tcPr>
            <w:tcW w:w="0" w:type="auto"/>
            <w:tcBorders>
              <w:top w:val="nil"/>
              <w:left w:val="nil"/>
              <w:bottom w:val="nil"/>
              <w:right w:val="nil"/>
            </w:tcBorders>
          </w:tcPr>
          <w:p w14:paraId="0AE0F9F0" w14:textId="77777777" w:rsidR="00182EE6" w:rsidRPr="002A6AA1" w:rsidRDefault="00182EE6">
            <w:pPr>
              <w:autoSpaceDE w:val="0"/>
              <w:autoSpaceDN w:val="0"/>
              <w:adjustRightInd w:val="0"/>
              <w:spacing w:after="0" w:line="240" w:lineRule="auto"/>
              <w:rPr>
                <w:color w:val="000000"/>
                <w:lang w:val="da-DK"/>
              </w:rPr>
            </w:pPr>
            <w:r w:rsidRPr="002A6AA1">
              <w:rPr>
                <w:color w:val="000000"/>
                <w:lang w:val="da-DK"/>
              </w:rPr>
              <w:t>SSB 2017</w:t>
            </w:r>
          </w:p>
        </w:tc>
        <w:tc>
          <w:tcPr>
            <w:tcW w:w="0" w:type="auto"/>
            <w:tcBorders>
              <w:top w:val="nil"/>
              <w:left w:val="nil"/>
              <w:bottom w:val="nil"/>
              <w:right w:val="nil"/>
            </w:tcBorders>
          </w:tcPr>
          <w:p w14:paraId="73E120DC"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194152</w:t>
            </w:r>
          </w:p>
        </w:tc>
        <w:tc>
          <w:tcPr>
            <w:tcW w:w="0" w:type="auto"/>
            <w:tcBorders>
              <w:top w:val="nil"/>
              <w:left w:val="nil"/>
              <w:bottom w:val="nil"/>
              <w:right w:val="nil"/>
            </w:tcBorders>
            <w:vAlign w:val="bottom"/>
          </w:tcPr>
          <w:p w14:paraId="1EB68C5D" w14:textId="54C967CC" w:rsidR="00182EE6" w:rsidRPr="00182EE6" w:rsidRDefault="00182EE6">
            <w:pPr>
              <w:autoSpaceDE w:val="0"/>
              <w:autoSpaceDN w:val="0"/>
              <w:adjustRightInd w:val="0"/>
              <w:spacing w:after="0" w:line="240" w:lineRule="auto"/>
              <w:jc w:val="right"/>
              <w:rPr>
                <w:color w:val="000000"/>
                <w:lang w:val="da-DK"/>
              </w:rPr>
            </w:pPr>
            <w:r w:rsidRPr="00182EE6">
              <w:rPr>
                <w:color w:val="000000"/>
              </w:rPr>
              <w:t>170175</w:t>
            </w:r>
          </w:p>
        </w:tc>
        <w:tc>
          <w:tcPr>
            <w:tcW w:w="0" w:type="auto"/>
            <w:tcBorders>
              <w:top w:val="nil"/>
              <w:left w:val="nil"/>
              <w:bottom w:val="nil"/>
              <w:right w:val="nil"/>
            </w:tcBorders>
          </w:tcPr>
          <w:p w14:paraId="5C3389C0"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215992</w:t>
            </w:r>
          </w:p>
        </w:tc>
        <w:tc>
          <w:tcPr>
            <w:tcW w:w="0" w:type="auto"/>
            <w:tcBorders>
              <w:top w:val="nil"/>
              <w:left w:val="nil"/>
              <w:bottom w:val="nil"/>
              <w:right w:val="nil"/>
            </w:tcBorders>
          </w:tcPr>
          <w:p w14:paraId="40386CE8"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195109</w:t>
            </w:r>
          </w:p>
        </w:tc>
        <w:tc>
          <w:tcPr>
            <w:tcW w:w="0" w:type="auto"/>
            <w:tcBorders>
              <w:top w:val="nil"/>
              <w:left w:val="nil"/>
              <w:bottom w:val="nil"/>
              <w:right w:val="nil"/>
            </w:tcBorders>
          </w:tcPr>
          <w:p w14:paraId="4FB6D82C"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212090</w:t>
            </w:r>
          </w:p>
        </w:tc>
      </w:tr>
      <w:tr w:rsidR="00182EE6" w:rsidRPr="002A6AA1" w14:paraId="652B7973" w14:textId="77777777" w:rsidTr="00F50C72">
        <w:trPr>
          <w:trHeight w:val="290"/>
        </w:trPr>
        <w:tc>
          <w:tcPr>
            <w:tcW w:w="0" w:type="auto"/>
            <w:tcBorders>
              <w:top w:val="nil"/>
              <w:left w:val="nil"/>
              <w:bottom w:val="nil"/>
              <w:right w:val="nil"/>
            </w:tcBorders>
          </w:tcPr>
          <w:p w14:paraId="1068F10F" w14:textId="28361EEA" w:rsidR="00182EE6" w:rsidRPr="002A6AA1" w:rsidRDefault="00182EE6">
            <w:pPr>
              <w:autoSpaceDE w:val="0"/>
              <w:autoSpaceDN w:val="0"/>
              <w:adjustRightInd w:val="0"/>
              <w:spacing w:after="0" w:line="240" w:lineRule="auto"/>
              <w:rPr>
                <w:color w:val="000000"/>
                <w:lang w:val="da-DK"/>
              </w:rPr>
            </w:pPr>
            <w:r>
              <w:rPr>
                <w:color w:val="000000"/>
                <w:lang w:val="da-DK"/>
              </w:rPr>
              <w:t>PLE</w:t>
            </w:r>
          </w:p>
        </w:tc>
        <w:tc>
          <w:tcPr>
            <w:tcW w:w="0" w:type="auto"/>
            <w:tcBorders>
              <w:top w:val="nil"/>
              <w:left w:val="nil"/>
              <w:bottom w:val="nil"/>
              <w:right w:val="nil"/>
            </w:tcBorders>
          </w:tcPr>
          <w:p w14:paraId="24F490F0" w14:textId="77777777" w:rsidR="00182EE6" w:rsidRPr="002A6AA1" w:rsidRDefault="00182EE6">
            <w:pPr>
              <w:autoSpaceDE w:val="0"/>
              <w:autoSpaceDN w:val="0"/>
              <w:adjustRightInd w:val="0"/>
              <w:spacing w:after="0" w:line="240" w:lineRule="auto"/>
              <w:rPr>
                <w:color w:val="000000"/>
                <w:lang w:val="da-DK"/>
              </w:rPr>
            </w:pPr>
            <w:r w:rsidRPr="002A6AA1">
              <w:rPr>
                <w:color w:val="000000"/>
                <w:lang w:val="da-DK"/>
              </w:rPr>
              <w:t>F 2016</w:t>
            </w:r>
          </w:p>
        </w:tc>
        <w:tc>
          <w:tcPr>
            <w:tcW w:w="0" w:type="auto"/>
            <w:tcBorders>
              <w:top w:val="nil"/>
              <w:left w:val="nil"/>
              <w:bottom w:val="nil"/>
              <w:right w:val="nil"/>
            </w:tcBorders>
          </w:tcPr>
          <w:p w14:paraId="5568FB69"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0.19</w:t>
            </w:r>
          </w:p>
        </w:tc>
        <w:tc>
          <w:tcPr>
            <w:tcW w:w="0" w:type="auto"/>
            <w:tcBorders>
              <w:top w:val="nil"/>
              <w:left w:val="nil"/>
              <w:bottom w:val="nil"/>
              <w:right w:val="nil"/>
            </w:tcBorders>
            <w:vAlign w:val="bottom"/>
          </w:tcPr>
          <w:p w14:paraId="3781DC23" w14:textId="384D0E9B" w:rsidR="00182EE6" w:rsidRPr="00182EE6" w:rsidRDefault="00182EE6">
            <w:pPr>
              <w:autoSpaceDE w:val="0"/>
              <w:autoSpaceDN w:val="0"/>
              <w:adjustRightInd w:val="0"/>
              <w:spacing w:after="0" w:line="240" w:lineRule="auto"/>
              <w:jc w:val="right"/>
              <w:rPr>
                <w:color w:val="000000"/>
                <w:lang w:val="da-DK"/>
              </w:rPr>
            </w:pPr>
            <w:r w:rsidRPr="00F50C72">
              <w:rPr>
                <w:color w:val="000000"/>
              </w:rPr>
              <w:t>0.27</w:t>
            </w:r>
          </w:p>
        </w:tc>
        <w:tc>
          <w:tcPr>
            <w:tcW w:w="0" w:type="auto"/>
            <w:tcBorders>
              <w:top w:val="nil"/>
              <w:left w:val="nil"/>
              <w:bottom w:val="nil"/>
              <w:right w:val="nil"/>
            </w:tcBorders>
          </w:tcPr>
          <w:p w14:paraId="0BE70143"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0.13</w:t>
            </w:r>
          </w:p>
        </w:tc>
        <w:tc>
          <w:tcPr>
            <w:tcW w:w="0" w:type="auto"/>
            <w:tcBorders>
              <w:top w:val="nil"/>
              <w:left w:val="nil"/>
              <w:bottom w:val="nil"/>
              <w:right w:val="nil"/>
            </w:tcBorders>
          </w:tcPr>
          <w:p w14:paraId="382812F3"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0.293</w:t>
            </w:r>
          </w:p>
        </w:tc>
        <w:tc>
          <w:tcPr>
            <w:tcW w:w="0" w:type="auto"/>
            <w:tcBorders>
              <w:top w:val="nil"/>
              <w:left w:val="nil"/>
              <w:bottom w:val="nil"/>
              <w:right w:val="nil"/>
            </w:tcBorders>
          </w:tcPr>
          <w:p w14:paraId="746BC32D"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0.149</w:t>
            </w:r>
          </w:p>
        </w:tc>
      </w:tr>
      <w:tr w:rsidR="00182EE6" w:rsidRPr="002A6AA1" w14:paraId="3598EBA8" w14:textId="77777777" w:rsidTr="00F50C72">
        <w:trPr>
          <w:trHeight w:val="290"/>
        </w:trPr>
        <w:tc>
          <w:tcPr>
            <w:tcW w:w="0" w:type="auto"/>
            <w:tcBorders>
              <w:top w:val="nil"/>
              <w:left w:val="nil"/>
              <w:bottom w:val="nil"/>
              <w:right w:val="nil"/>
            </w:tcBorders>
          </w:tcPr>
          <w:p w14:paraId="4FDF2464" w14:textId="57C548EC" w:rsidR="00182EE6" w:rsidRPr="002A6AA1" w:rsidRDefault="00182EE6">
            <w:pPr>
              <w:autoSpaceDE w:val="0"/>
              <w:autoSpaceDN w:val="0"/>
              <w:adjustRightInd w:val="0"/>
              <w:spacing w:after="0" w:line="240" w:lineRule="auto"/>
              <w:rPr>
                <w:color w:val="000000"/>
                <w:lang w:val="da-DK"/>
              </w:rPr>
            </w:pPr>
            <w:r>
              <w:rPr>
                <w:color w:val="000000"/>
                <w:lang w:val="da-DK"/>
              </w:rPr>
              <w:t>PLE</w:t>
            </w:r>
          </w:p>
        </w:tc>
        <w:tc>
          <w:tcPr>
            <w:tcW w:w="0" w:type="auto"/>
            <w:tcBorders>
              <w:top w:val="nil"/>
              <w:left w:val="nil"/>
              <w:bottom w:val="nil"/>
              <w:right w:val="nil"/>
            </w:tcBorders>
          </w:tcPr>
          <w:p w14:paraId="3E83F495" w14:textId="77777777" w:rsidR="00182EE6" w:rsidRPr="002A6AA1" w:rsidRDefault="00182EE6">
            <w:pPr>
              <w:autoSpaceDE w:val="0"/>
              <w:autoSpaceDN w:val="0"/>
              <w:adjustRightInd w:val="0"/>
              <w:spacing w:after="0" w:line="240" w:lineRule="auto"/>
              <w:rPr>
                <w:color w:val="000000"/>
                <w:lang w:val="da-DK"/>
              </w:rPr>
            </w:pPr>
            <w:r w:rsidRPr="002A6AA1">
              <w:rPr>
                <w:color w:val="000000"/>
                <w:lang w:val="da-DK"/>
              </w:rPr>
              <w:t>catches 2016</w:t>
            </w:r>
          </w:p>
        </w:tc>
        <w:tc>
          <w:tcPr>
            <w:tcW w:w="0" w:type="auto"/>
            <w:tcBorders>
              <w:top w:val="nil"/>
              <w:left w:val="nil"/>
              <w:bottom w:val="nil"/>
              <w:right w:val="nil"/>
            </w:tcBorders>
          </w:tcPr>
          <w:p w14:paraId="674AD351"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148906</w:t>
            </w:r>
          </w:p>
        </w:tc>
        <w:tc>
          <w:tcPr>
            <w:tcW w:w="0" w:type="auto"/>
            <w:tcBorders>
              <w:top w:val="nil"/>
              <w:left w:val="nil"/>
              <w:bottom w:val="nil"/>
              <w:right w:val="nil"/>
            </w:tcBorders>
            <w:vAlign w:val="bottom"/>
          </w:tcPr>
          <w:p w14:paraId="3C99A670" w14:textId="7F36226D" w:rsidR="00182EE6" w:rsidRPr="00182EE6" w:rsidRDefault="00182EE6">
            <w:pPr>
              <w:autoSpaceDE w:val="0"/>
              <w:autoSpaceDN w:val="0"/>
              <w:adjustRightInd w:val="0"/>
              <w:spacing w:after="0" w:line="240" w:lineRule="auto"/>
              <w:jc w:val="right"/>
              <w:rPr>
                <w:color w:val="000000"/>
                <w:lang w:val="da-DK"/>
              </w:rPr>
            </w:pPr>
            <w:r w:rsidRPr="00F50C72">
              <w:rPr>
                <w:color w:val="000000"/>
              </w:rPr>
              <w:t>204667</w:t>
            </w:r>
          </w:p>
        </w:tc>
        <w:tc>
          <w:tcPr>
            <w:tcW w:w="0" w:type="auto"/>
            <w:tcBorders>
              <w:top w:val="nil"/>
              <w:left w:val="nil"/>
              <w:bottom w:val="nil"/>
              <w:right w:val="nil"/>
            </w:tcBorders>
          </w:tcPr>
          <w:p w14:paraId="6D92F29F"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104502</w:t>
            </w:r>
          </w:p>
        </w:tc>
        <w:tc>
          <w:tcPr>
            <w:tcW w:w="0" w:type="auto"/>
            <w:tcBorders>
              <w:top w:val="nil"/>
              <w:left w:val="nil"/>
              <w:bottom w:val="nil"/>
              <w:right w:val="nil"/>
            </w:tcBorders>
          </w:tcPr>
          <w:p w14:paraId="3972B918"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220074</w:t>
            </w:r>
          </w:p>
        </w:tc>
        <w:tc>
          <w:tcPr>
            <w:tcW w:w="0" w:type="auto"/>
            <w:tcBorders>
              <w:top w:val="nil"/>
              <w:left w:val="nil"/>
              <w:bottom w:val="nil"/>
              <w:right w:val="nil"/>
            </w:tcBorders>
          </w:tcPr>
          <w:p w14:paraId="0133A6F6"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118565</w:t>
            </w:r>
          </w:p>
        </w:tc>
      </w:tr>
      <w:tr w:rsidR="00182EE6" w:rsidRPr="002A6AA1" w14:paraId="15C18155" w14:textId="77777777" w:rsidTr="00F50C72">
        <w:trPr>
          <w:trHeight w:val="290"/>
        </w:trPr>
        <w:tc>
          <w:tcPr>
            <w:tcW w:w="0" w:type="auto"/>
            <w:tcBorders>
              <w:top w:val="nil"/>
              <w:left w:val="nil"/>
              <w:bottom w:val="nil"/>
              <w:right w:val="nil"/>
            </w:tcBorders>
          </w:tcPr>
          <w:p w14:paraId="46956007" w14:textId="1E47D582" w:rsidR="00182EE6" w:rsidRPr="002A6AA1" w:rsidRDefault="00182EE6">
            <w:pPr>
              <w:autoSpaceDE w:val="0"/>
              <w:autoSpaceDN w:val="0"/>
              <w:adjustRightInd w:val="0"/>
              <w:spacing w:after="0" w:line="240" w:lineRule="auto"/>
              <w:rPr>
                <w:color w:val="000000"/>
                <w:lang w:val="da-DK"/>
              </w:rPr>
            </w:pPr>
            <w:r>
              <w:rPr>
                <w:color w:val="000000"/>
                <w:lang w:val="da-DK"/>
              </w:rPr>
              <w:t>PLE</w:t>
            </w:r>
          </w:p>
        </w:tc>
        <w:tc>
          <w:tcPr>
            <w:tcW w:w="0" w:type="auto"/>
            <w:tcBorders>
              <w:top w:val="nil"/>
              <w:left w:val="nil"/>
              <w:bottom w:val="nil"/>
              <w:right w:val="nil"/>
            </w:tcBorders>
          </w:tcPr>
          <w:p w14:paraId="6B91C33C" w14:textId="77777777" w:rsidR="00182EE6" w:rsidRPr="002A6AA1" w:rsidRDefault="00182EE6">
            <w:pPr>
              <w:autoSpaceDE w:val="0"/>
              <w:autoSpaceDN w:val="0"/>
              <w:adjustRightInd w:val="0"/>
              <w:spacing w:after="0" w:line="240" w:lineRule="auto"/>
              <w:rPr>
                <w:color w:val="000000"/>
                <w:lang w:val="da-DK"/>
              </w:rPr>
            </w:pPr>
            <w:r w:rsidRPr="002A6AA1">
              <w:rPr>
                <w:color w:val="000000"/>
                <w:lang w:val="da-DK"/>
              </w:rPr>
              <w:t>SSB 2017</w:t>
            </w:r>
          </w:p>
        </w:tc>
        <w:tc>
          <w:tcPr>
            <w:tcW w:w="0" w:type="auto"/>
            <w:tcBorders>
              <w:top w:val="nil"/>
              <w:left w:val="nil"/>
              <w:bottom w:val="nil"/>
              <w:right w:val="nil"/>
            </w:tcBorders>
          </w:tcPr>
          <w:p w14:paraId="51FBB4B4"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1026413</w:t>
            </w:r>
          </w:p>
        </w:tc>
        <w:tc>
          <w:tcPr>
            <w:tcW w:w="0" w:type="auto"/>
            <w:tcBorders>
              <w:top w:val="nil"/>
              <w:left w:val="nil"/>
              <w:bottom w:val="nil"/>
              <w:right w:val="nil"/>
            </w:tcBorders>
            <w:vAlign w:val="bottom"/>
          </w:tcPr>
          <w:p w14:paraId="40504A69" w14:textId="5AD3B2CC" w:rsidR="00182EE6" w:rsidRPr="00182EE6" w:rsidRDefault="00182EE6">
            <w:pPr>
              <w:autoSpaceDE w:val="0"/>
              <w:autoSpaceDN w:val="0"/>
              <w:adjustRightInd w:val="0"/>
              <w:spacing w:after="0" w:line="240" w:lineRule="auto"/>
              <w:jc w:val="right"/>
              <w:rPr>
                <w:color w:val="000000"/>
                <w:lang w:val="da-DK"/>
              </w:rPr>
            </w:pPr>
            <w:r w:rsidRPr="00F50C72">
              <w:rPr>
                <w:color w:val="000000"/>
              </w:rPr>
              <w:t>970244</w:t>
            </w:r>
          </w:p>
        </w:tc>
        <w:tc>
          <w:tcPr>
            <w:tcW w:w="0" w:type="auto"/>
            <w:tcBorders>
              <w:top w:val="nil"/>
              <w:left w:val="nil"/>
              <w:bottom w:val="nil"/>
              <w:right w:val="nil"/>
            </w:tcBorders>
          </w:tcPr>
          <w:p w14:paraId="634382FF"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1071238</w:t>
            </w:r>
          </w:p>
        </w:tc>
        <w:tc>
          <w:tcPr>
            <w:tcW w:w="0" w:type="auto"/>
            <w:tcBorders>
              <w:top w:val="nil"/>
              <w:left w:val="nil"/>
              <w:bottom w:val="nil"/>
              <w:right w:val="nil"/>
            </w:tcBorders>
          </w:tcPr>
          <w:p w14:paraId="30055D36"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954750</w:t>
            </w:r>
          </w:p>
        </w:tc>
        <w:tc>
          <w:tcPr>
            <w:tcW w:w="0" w:type="auto"/>
            <w:tcBorders>
              <w:top w:val="nil"/>
              <w:left w:val="nil"/>
              <w:bottom w:val="nil"/>
              <w:right w:val="nil"/>
            </w:tcBorders>
          </w:tcPr>
          <w:p w14:paraId="58D59BA9"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1057032</w:t>
            </w:r>
          </w:p>
        </w:tc>
      </w:tr>
      <w:tr w:rsidR="00182EE6" w:rsidRPr="002A6AA1" w14:paraId="0986985A" w14:textId="77777777" w:rsidTr="00F50C72">
        <w:trPr>
          <w:trHeight w:val="290"/>
        </w:trPr>
        <w:tc>
          <w:tcPr>
            <w:tcW w:w="0" w:type="auto"/>
            <w:tcBorders>
              <w:top w:val="nil"/>
              <w:left w:val="nil"/>
              <w:bottom w:val="nil"/>
              <w:right w:val="nil"/>
            </w:tcBorders>
          </w:tcPr>
          <w:p w14:paraId="3B8B52AD" w14:textId="77777777" w:rsidR="00182EE6" w:rsidRPr="002A6AA1" w:rsidRDefault="00182EE6">
            <w:pPr>
              <w:autoSpaceDE w:val="0"/>
              <w:autoSpaceDN w:val="0"/>
              <w:adjustRightInd w:val="0"/>
              <w:spacing w:after="0" w:line="240" w:lineRule="auto"/>
              <w:rPr>
                <w:color w:val="000000"/>
                <w:lang w:val="da-DK"/>
              </w:rPr>
            </w:pPr>
            <w:r w:rsidRPr="002A6AA1">
              <w:rPr>
                <w:color w:val="000000"/>
                <w:lang w:val="da-DK"/>
              </w:rPr>
              <w:t>POK</w:t>
            </w:r>
          </w:p>
        </w:tc>
        <w:tc>
          <w:tcPr>
            <w:tcW w:w="0" w:type="auto"/>
            <w:tcBorders>
              <w:top w:val="nil"/>
              <w:left w:val="nil"/>
              <w:bottom w:val="nil"/>
              <w:right w:val="nil"/>
            </w:tcBorders>
          </w:tcPr>
          <w:p w14:paraId="6AEF848C" w14:textId="77777777" w:rsidR="00182EE6" w:rsidRPr="002A6AA1" w:rsidRDefault="00182EE6">
            <w:pPr>
              <w:autoSpaceDE w:val="0"/>
              <w:autoSpaceDN w:val="0"/>
              <w:adjustRightInd w:val="0"/>
              <w:spacing w:after="0" w:line="240" w:lineRule="auto"/>
              <w:rPr>
                <w:color w:val="000000"/>
                <w:lang w:val="da-DK"/>
              </w:rPr>
            </w:pPr>
            <w:r w:rsidRPr="002A6AA1">
              <w:rPr>
                <w:color w:val="000000"/>
                <w:lang w:val="da-DK"/>
              </w:rPr>
              <w:t>F 2016</w:t>
            </w:r>
          </w:p>
        </w:tc>
        <w:tc>
          <w:tcPr>
            <w:tcW w:w="0" w:type="auto"/>
            <w:tcBorders>
              <w:top w:val="nil"/>
              <w:left w:val="nil"/>
              <w:bottom w:val="nil"/>
              <w:right w:val="nil"/>
            </w:tcBorders>
          </w:tcPr>
          <w:p w14:paraId="01BCD690"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0.278</w:t>
            </w:r>
          </w:p>
        </w:tc>
        <w:tc>
          <w:tcPr>
            <w:tcW w:w="0" w:type="auto"/>
            <w:tcBorders>
              <w:top w:val="nil"/>
              <w:left w:val="nil"/>
              <w:bottom w:val="nil"/>
              <w:right w:val="nil"/>
            </w:tcBorders>
            <w:vAlign w:val="bottom"/>
          </w:tcPr>
          <w:p w14:paraId="448014C6" w14:textId="4D9FDAFE" w:rsidR="00182EE6" w:rsidRPr="00182EE6" w:rsidRDefault="00182EE6">
            <w:pPr>
              <w:autoSpaceDE w:val="0"/>
              <w:autoSpaceDN w:val="0"/>
              <w:adjustRightInd w:val="0"/>
              <w:spacing w:after="0" w:line="240" w:lineRule="auto"/>
              <w:jc w:val="right"/>
              <w:rPr>
                <w:color w:val="000000"/>
                <w:lang w:val="da-DK"/>
              </w:rPr>
            </w:pPr>
            <w:r w:rsidRPr="00F50C72">
              <w:rPr>
                <w:color w:val="000000"/>
              </w:rPr>
              <w:t>0.</w:t>
            </w:r>
            <w:r w:rsidRPr="00182EE6">
              <w:rPr>
                <w:color w:val="000000"/>
              </w:rPr>
              <w:t>373</w:t>
            </w:r>
          </w:p>
        </w:tc>
        <w:tc>
          <w:tcPr>
            <w:tcW w:w="0" w:type="auto"/>
            <w:tcBorders>
              <w:top w:val="nil"/>
              <w:left w:val="nil"/>
              <w:bottom w:val="nil"/>
              <w:right w:val="nil"/>
            </w:tcBorders>
          </w:tcPr>
          <w:p w14:paraId="00A9CE32"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0.173</w:t>
            </w:r>
          </w:p>
        </w:tc>
        <w:tc>
          <w:tcPr>
            <w:tcW w:w="0" w:type="auto"/>
            <w:tcBorders>
              <w:top w:val="nil"/>
              <w:left w:val="nil"/>
              <w:bottom w:val="nil"/>
              <w:right w:val="nil"/>
            </w:tcBorders>
          </w:tcPr>
          <w:p w14:paraId="0D580B9D"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0.298</w:t>
            </w:r>
          </w:p>
        </w:tc>
        <w:tc>
          <w:tcPr>
            <w:tcW w:w="0" w:type="auto"/>
            <w:tcBorders>
              <w:top w:val="nil"/>
              <w:left w:val="nil"/>
              <w:bottom w:val="nil"/>
              <w:right w:val="nil"/>
            </w:tcBorders>
          </w:tcPr>
          <w:p w14:paraId="05C24967"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0.312</w:t>
            </w:r>
          </w:p>
        </w:tc>
      </w:tr>
      <w:tr w:rsidR="00182EE6" w:rsidRPr="002A6AA1" w14:paraId="220E2872" w14:textId="77777777" w:rsidTr="00F50C72">
        <w:trPr>
          <w:trHeight w:val="290"/>
        </w:trPr>
        <w:tc>
          <w:tcPr>
            <w:tcW w:w="0" w:type="auto"/>
            <w:tcBorders>
              <w:top w:val="nil"/>
              <w:left w:val="nil"/>
              <w:bottom w:val="nil"/>
              <w:right w:val="nil"/>
            </w:tcBorders>
          </w:tcPr>
          <w:p w14:paraId="0B8F58B4" w14:textId="77777777" w:rsidR="00182EE6" w:rsidRPr="002A6AA1" w:rsidRDefault="00182EE6">
            <w:pPr>
              <w:autoSpaceDE w:val="0"/>
              <w:autoSpaceDN w:val="0"/>
              <w:adjustRightInd w:val="0"/>
              <w:spacing w:after="0" w:line="240" w:lineRule="auto"/>
              <w:rPr>
                <w:color w:val="000000"/>
                <w:lang w:val="da-DK"/>
              </w:rPr>
            </w:pPr>
            <w:r w:rsidRPr="002A6AA1">
              <w:rPr>
                <w:color w:val="000000"/>
                <w:lang w:val="da-DK"/>
              </w:rPr>
              <w:t>POK</w:t>
            </w:r>
          </w:p>
        </w:tc>
        <w:tc>
          <w:tcPr>
            <w:tcW w:w="0" w:type="auto"/>
            <w:tcBorders>
              <w:top w:val="nil"/>
              <w:left w:val="nil"/>
              <w:bottom w:val="nil"/>
              <w:right w:val="nil"/>
            </w:tcBorders>
          </w:tcPr>
          <w:p w14:paraId="154A9C5D" w14:textId="77777777" w:rsidR="00182EE6" w:rsidRPr="002A6AA1" w:rsidRDefault="00182EE6">
            <w:pPr>
              <w:autoSpaceDE w:val="0"/>
              <w:autoSpaceDN w:val="0"/>
              <w:adjustRightInd w:val="0"/>
              <w:spacing w:after="0" w:line="240" w:lineRule="auto"/>
              <w:rPr>
                <w:color w:val="000000"/>
                <w:lang w:val="da-DK"/>
              </w:rPr>
            </w:pPr>
            <w:r w:rsidRPr="002A6AA1">
              <w:rPr>
                <w:color w:val="000000"/>
                <w:lang w:val="da-DK"/>
              </w:rPr>
              <w:t>catches 2016</w:t>
            </w:r>
          </w:p>
        </w:tc>
        <w:tc>
          <w:tcPr>
            <w:tcW w:w="0" w:type="auto"/>
            <w:tcBorders>
              <w:top w:val="nil"/>
              <w:left w:val="nil"/>
              <w:bottom w:val="nil"/>
              <w:right w:val="nil"/>
            </w:tcBorders>
          </w:tcPr>
          <w:p w14:paraId="6A5D68FF"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65285</w:t>
            </w:r>
          </w:p>
        </w:tc>
        <w:tc>
          <w:tcPr>
            <w:tcW w:w="0" w:type="auto"/>
            <w:tcBorders>
              <w:top w:val="nil"/>
              <w:left w:val="nil"/>
              <w:bottom w:val="nil"/>
              <w:right w:val="nil"/>
            </w:tcBorders>
            <w:vAlign w:val="bottom"/>
          </w:tcPr>
          <w:p w14:paraId="1C91F297" w14:textId="08A132F8" w:rsidR="00182EE6" w:rsidRPr="00182EE6" w:rsidRDefault="00182EE6">
            <w:pPr>
              <w:autoSpaceDE w:val="0"/>
              <w:autoSpaceDN w:val="0"/>
              <w:adjustRightInd w:val="0"/>
              <w:spacing w:after="0" w:line="240" w:lineRule="auto"/>
              <w:jc w:val="right"/>
              <w:rPr>
                <w:color w:val="000000"/>
                <w:lang w:val="da-DK"/>
              </w:rPr>
            </w:pPr>
            <w:r w:rsidRPr="00182EE6">
              <w:rPr>
                <w:color w:val="000000"/>
              </w:rPr>
              <w:t>83782</w:t>
            </w:r>
          </w:p>
        </w:tc>
        <w:tc>
          <w:tcPr>
            <w:tcW w:w="0" w:type="auto"/>
            <w:tcBorders>
              <w:top w:val="nil"/>
              <w:left w:val="nil"/>
              <w:bottom w:val="nil"/>
              <w:right w:val="nil"/>
            </w:tcBorders>
          </w:tcPr>
          <w:p w14:paraId="261454E3"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42953</w:t>
            </w:r>
          </w:p>
        </w:tc>
        <w:tc>
          <w:tcPr>
            <w:tcW w:w="0" w:type="auto"/>
            <w:tcBorders>
              <w:top w:val="nil"/>
              <w:left w:val="nil"/>
              <w:bottom w:val="nil"/>
              <w:right w:val="nil"/>
            </w:tcBorders>
          </w:tcPr>
          <w:p w14:paraId="75094D9F"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68600</w:t>
            </w:r>
          </w:p>
        </w:tc>
        <w:tc>
          <w:tcPr>
            <w:tcW w:w="0" w:type="auto"/>
            <w:tcBorders>
              <w:top w:val="nil"/>
              <w:left w:val="nil"/>
              <w:bottom w:val="nil"/>
              <w:right w:val="nil"/>
            </w:tcBorders>
          </w:tcPr>
          <w:p w14:paraId="00F3BFB5"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72208</w:t>
            </w:r>
          </w:p>
        </w:tc>
      </w:tr>
      <w:tr w:rsidR="00182EE6" w:rsidRPr="002A6AA1" w14:paraId="23BC2046" w14:textId="77777777" w:rsidTr="00F50C72">
        <w:trPr>
          <w:trHeight w:val="290"/>
        </w:trPr>
        <w:tc>
          <w:tcPr>
            <w:tcW w:w="0" w:type="auto"/>
            <w:tcBorders>
              <w:top w:val="nil"/>
              <w:left w:val="nil"/>
              <w:bottom w:val="nil"/>
              <w:right w:val="nil"/>
            </w:tcBorders>
          </w:tcPr>
          <w:p w14:paraId="14325EE8" w14:textId="77777777" w:rsidR="00182EE6" w:rsidRPr="002A6AA1" w:rsidRDefault="00182EE6">
            <w:pPr>
              <w:autoSpaceDE w:val="0"/>
              <w:autoSpaceDN w:val="0"/>
              <w:adjustRightInd w:val="0"/>
              <w:spacing w:after="0" w:line="240" w:lineRule="auto"/>
              <w:rPr>
                <w:color w:val="000000"/>
                <w:lang w:val="da-DK"/>
              </w:rPr>
            </w:pPr>
            <w:r w:rsidRPr="002A6AA1">
              <w:rPr>
                <w:color w:val="000000"/>
                <w:lang w:val="da-DK"/>
              </w:rPr>
              <w:t>POK</w:t>
            </w:r>
          </w:p>
        </w:tc>
        <w:tc>
          <w:tcPr>
            <w:tcW w:w="0" w:type="auto"/>
            <w:tcBorders>
              <w:top w:val="nil"/>
              <w:left w:val="nil"/>
              <w:bottom w:val="nil"/>
              <w:right w:val="nil"/>
            </w:tcBorders>
          </w:tcPr>
          <w:p w14:paraId="6B6F9FD1" w14:textId="77777777" w:rsidR="00182EE6" w:rsidRPr="002A6AA1" w:rsidRDefault="00182EE6">
            <w:pPr>
              <w:autoSpaceDE w:val="0"/>
              <w:autoSpaceDN w:val="0"/>
              <w:adjustRightInd w:val="0"/>
              <w:spacing w:after="0" w:line="240" w:lineRule="auto"/>
              <w:rPr>
                <w:color w:val="000000"/>
                <w:lang w:val="da-DK"/>
              </w:rPr>
            </w:pPr>
            <w:r w:rsidRPr="002A6AA1">
              <w:rPr>
                <w:color w:val="000000"/>
                <w:lang w:val="da-DK"/>
              </w:rPr>
              <w:t>SSB 2017</w:t>
            </w:r>
          </w:p>
        </w:tc>
        <w:tc>
          <w:tcPr>
            <w:tcW w:w="0" w:type="auto"/>
            <w:tcBorders>
              <w:top w:val="nil"/>
              <w:left w:val="nil"/>
              <w:bottom w:val="nil"/>
              <w:right w:val="nil"/>
            </w:tcBorders>
          </w:tcPr>
          <w:p w14:paraId="3452F998"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174417</w:t>
            </w:r>
          </w:p>
        </w:tc>
        <w:tc>
          <w:tcPr>
            <w:tcW w:w="0" w:type="auto"/>
            <w:tcBorders>
              <w:top w:val="nil"/>
              <w:left w:val="nil"/>
              <w:bottom w:val="nil"/>
              <w:right w:val="nil"/>
            </w:tcBorders>
            <w:vAlign w:val="bottom"/>
          </w:tcPr>
          <w:p w14:paraId="6E3E0439" w14:textId="2B2D0EC4" w:rsidR="00182EE6" w:rsidRPr="00182EE6" w:rsidRDefault="00182EE6">
            <w:pPr>
              <w:autoSpaceDE w:val="0"/>
              <w:autoSpaceDN w:val="0"/>
              <w:adjustRightInd w:val="0"/>
              <w:spacing w:after="0" w:line="240" w:lineRule="auto"/>
              <w:jc w:val="right"/>
              <w:rPr>
                <w:color w:val="000000"/>
                <w:lang w:val="da-DK"/>
              </w:rPr>
            </w:pPr>
            <w:r w:rsidRPr="00182EE6">
              <w:rPr>
                <w:color w:val="000000"/>
              </w:rPr>
              <w:t>157669</w:t>
            </w:r>
          </w:p>
        </w:tc>
        <w:tc>
          <w:tcPr>
            <w:tcW w:w="0" w:type="auto"/>
            <w:tcBorders>
              <w:top w:val="nil"/>
              <w:left w:val="nil"/>
              <w:bottom w:val="nil"/>
              <w:right w:val="nil"/>
            </w:tcBorders>
          </w:tcPr>
          <w:p w14:paraId="5C34EDE6"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194832</w:t>
            </w:r>
          </w:p>
        </w:tc>
        <w:tc>
          <w:tcPr>
            <w:tcW w:w="0" w:type="auto"/>
            <w:tcBorders>
              <w:top w:val="nil"/>
              <w:left w:val="nil"/>
              <w:bottom w:val="nil"/>
              <w:right w:val="nil"/>
            </w:tcBorders>
          </w:tcPr>
          <w:p w14:paraId="75977FAC"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168129</w:t>
            </w:r>
          </w:p>
        </w:tc>
        <w:tc>
          <w:tcPr>
            <w:tcW w:w="0" w:type="auto"/>
            <w:tcBorders>
              <w:top w:val="nil"/>
              <w:left w:val="nil"/>
              <w:bottom w:val="nil"/>
              <w:right w:val="nil"/>
            </w:tcBorders>
          </w:tcPr>
          <w:p w14:paraId="5009D1A2"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168130</w:t>
            </w:r>
          </w:p>
        </w:tc>
      </w:tr>
      <w:tr w:rsidR="00182EE6" w:rsidRPr="002A6AA1" w14:paraId="51469CE2" w14:textId="77777777" w:rsidTr="00F50C72">
        <w:trPr>
          <w:trHeight w:val="290"/>
        </w:trPr>
        <w:tc>
          <w:tcPr>
            <w:tcW w:w="0" w:type="auto"/>
            <w:tcBorders>
              <w:top w:val="nil"/>
              <w:left w:val="nil"/>
              <w:bottom w:val="nil"/>
              <w:right w:val="nil"/>
            </w:tcBorders>
          </w:tcPr>
          <w:p w14:paraId="032EF0E7" w14:textId="04AB02FF" w:rsidR="00182EE6" w:rsidRPr="002A6AA1" w:rsidRDefault="00182EE6">
            <w:pPr>
              <w:autoSpaceDE w:val="0"/>
              <w:autoSpaceDN w:val="0"/>
              <w:adjustRightInd w:val="0"/>
              <w:spacing w:after="0" w:line="240" w:lineRule="auto"/>
              <w:rPr>
                <w:color w:val="000000"/>
                <w:lang w:val="da-DK"/>
              </w:rPr>
            </w:pPr>
            <w:r>
              <w:rPr>
                <w:color w:val="000000"/>
                <w:lang w:val="da-DK"/>
              </w:rPr>
              <w:t>SOL</w:t>
            </w:r>
          </w:p>
        </w:tc>
        <w:tc>
          <w:tcPr>
            <w:tcW w:w="0" w:type="auto"/>
            <w:tcBorders>
              <w:top w:val="nil"/>
              <w:left w:val="nil"/>
              <w:bottom w:val="nil"/>
              <w:right w:val="nil"/>
            </w:tcBorders>
          </w:tcPr>
          <w:p w14:paraId="3ADC8EBB" w14:textId="77777777" w:rsidR="00182EE6" w:rsidRPr="002A6AA1" w:rsidRDefault="00182EE6">
            <w:pPr>
              <w:autoSpaceDE w:val="0"/>
              <w:autoSpaceDN w:val="0"/>
              <w:adjustRightInd w:val="0"/>
              <w:spacing w:after="0" w:line="240" w:lineRule="auto"/>
              <w:rPr>
                <w:color w:val="000000"/>
                <w:lang w:val="da-DK"/>
              </w:rPr>
            </w:pPr>
            <w:r w:rsidRPr="002A6AA1">
              <w:rPr>
                <w:color w:val="000000"/>
                <w:lang w:val="da-DK"/>
              </w:rPr>
              <w:t>F 2016</w:t>
            </w:r>
          </w:p>
        </w:tc>
        <w:tc>
          <w:tcPr>
            <w:tcW w:w="0" w:type="auto"/>
            <w:tcBorders>
              <w:top w:val="nil"/>
              <w:left w:val="nil"/>
              <w:bottom w:val="nil"/>
              <w:right w:val="nil"/>
            </w:tcBorders>
          </w:tcPr>
          <w:p w14:paraId="3A5C7A59"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0.2</w:t>
            </w:r>
          </w:p>
        </w:tc>
        <w:tc>
          <w:tcPr>
            <w:tcW w:w="0" w:type="auto"/>
            <w:tcBorders>
              <w:top w:val="nil"/>
              <w:left w:val="nil"/>
              <w:bottom w:val="nil"/>
              <w:right w:val="nil"/>
            </w:tcBorders>
            <w:vAlign w:val="bottom"/>
          </w:tcPr>
          <w:p w14:paraId="08CE6DB8" w14:textId="17704707" w:rsidR="00182EE6" w:rsidRPr="00182EE6" w:rsidRDefault="00182EE6">
            <w:pPr>
              <w:autoSpaceDE w:val="0"/>
              <w:autoSpaceDN w:val="0"/>
              <w:adjustRightInd w:val="0"/>
              <w:spacing w:after="0" w:line="240" w:lineRule="auto"/>
              <w:jc w:val="right"/>
              <w:rPr>
                <w:color w:val="000000"/>
                <w:lang w:val="da-DK"/>
              </w:rPr>
            </w:pPr>
            <w:r w:rsidRPr="00F50C72">
              <w:rPr>
                <w:color w:val="000000"/>
              </w:rPr>
              <w:t>0.37</w:t>
            </w:r>
          </w:p>
        </w:tc>
        <w:tc>
          <w:tcPr>
            <w:tcW w:w="0" w:type="auto"/>
            <w:tcBorders>
              <w:top w:val="nil"/>
              <w:left w:val="nil"/>
              <w:bottom w:val="nil"/>
              <w:right w:val="nil"/>
            </w:tcBorders>
          </w:tcPr>
          <w:p w14:paraId="7253E6F6"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0.11</w:t>
            </w:r>
          </w:p>
        </w:tc>
        <w:tc>
          <w:tcPr>
            <w:tcW w:w="0" w:type="auto"/>
            <w:tcBorders>
              <w:top w:val="nil"/>
              <w:left w:val="nil"/>
              <w:bottom w:val="nil"/>
              <w:right w:val="nil"/>
            </w:tcBorders>
          </w:tcPr>
          <w:p w14:paraId="17D05146"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0.2</w:t>
            </w:r>
          </w:p>
        </w:tc>
        <w:tc>
          <w:tcPr>
            <w:tcW w:w="0" w:type="auto"/>
            <w:tcBorders>
              <w:top w:val="nil"/>
              <w:left w:val="nil"/>
              <w:bottom w:val="nil"/>
              <w:right w:val="nil"/>
            </w:tcBorders>
          </w:tcPr>
          <w:p w14:paraId="2DCA9F1B"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0.286</w:t>
            </w:r>
          </w:p>
        </w:tc>
      </w:tr>
      <w:tr w:rsidR="00182EE6" w:rsidRPr="002A6AA1" w14:paraId="7483F6A3" w14:textId="77777777" w:rsidTr="00F50C72">
        <w:trPr>
          <w:trHeight w:val="290"/>
        </w:trPr>
        <w:tc>
          <w:tcPr>
            <w:tcW w:w="0" w:type="auto"/>
            <w:tcBorders>
              <w:top w:val="nil"/>
              <w:left w:val="nil"/>
              <w:bottom w:val="nil"/>
              <w:right w:val="nil"/>
            </w:tcBorders>
          </w:tcPr>
          <w:p w14:paraId="1CFD6E48" w14:textId="2363AD97" w:rsidR="00182EE6" w:rsidRPr="002A6AA1" w:rsidRDefault="00182EE6">
            <w:pPr>
              <w:autoSpaceDE w:val="0"/>
              <w:autoSpaceDN w:val="0"/>
              <w:adjustRightInd w:val="0"/>
              <w:spacing w:after="0" w:line="240" w:lineRule="auto"/>
              <w:rPr>
                <w:color w:val="000000"/>
                <w:lang w:val="da-DK"/>
              </w:rPr>
            </w:pPr>
            <w:r>
              <w:rPr>
                <w:color w:val="000000"/>
                <w:lang w:val="da-DK"/>
              </w:rPr>
              <w:t>SOL</w:t>
            </w:r>
          </w:p>
        </w:tc>
        <w:tc>
          <w:tcPr>
            <w:tcW w:w="0" w:type="auto"/>
            <w:tcBorders>
              <w:top w:val="nil"/>
              <w:left w:val="nil"/>
              <w:bottom w:val="nil"/>
              <w:right w:val="nil"/>
            </w:tcBorders>
          </w:tcPr>
          <w:p w14:paraId="417C9460" w14:textId="77777777" w:rsidR="00182EE6" w:rsidRPr="002A6AA1" w:rsidRDefault="00182EE6">
            <w:pPr>
              <w:autoSpaceDE w:val="0"/>
              <w:autoSpaceDN w:val="0"/>
              <w:adjustRightInd w:val="0"/>
              <w:spacing w:after="0" w:line="240" w:lineRule="auto"/>
              <w:rPr>
                <w:color w:val="000000"/>
                <w:lang w:val="da-DK"/>
              </w:rPr>
            </w:pPr>
            <w:r w:rsidRPr="002A6AA1">
              <w:rPr>
                <w:color w:val="000000"/>
                <w:lang w:val="da-DK"/>
              </w:rPr>
              <w:t>catches 2016</w:t>
            </w:r>
          </w:p>
        </w:tc>
        <w:tc>
          <w:tcPr>
            <w:tcW w:w="0" w:type="auto"/>
            <w:tcBorders>
              <w:top w:val="nil"/>
              <w:left w:val="nil"/>
              <w:bottom w:val="nil"/>
              <w:right w:val="nil"/>
            </w:tcBorders>
          </w:tcPr>
          <w:p w14:paraId="63550702"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12804</w:t>
            </w:r>
          </w:p>
        </w:tc>
        <w:tc>
          <w:tcPr>
            <w:tcW w:w="0" w:type="auto"/>
            <w:tcBorders>
              <w:top w:val="nil"/>
              <w:left w:val="nil"/>
              <w:bottom w:val="nil"/>
              <w:right w:val="nil"/>
            </w:tcBorders>
            <w:vAlign w:val="bottom"/>
          </w:tcPr>
          <w:p w14:paraId="4FFAB34A" w14:textId="49618D6B" w:rsidR="00182EE6" w:rsidRPr="00182EE6" w:rsidRDefault="00182EE6">
            <w:pPr>
              <w:autoSpaceDE w:val="0"/>
              <w:autoSpaceDN w:val="0"/>
              <w:adjustRightInd w:val="0"/>
              <w:spacing w:after="0" w:line="240" w:lineRule="auto"/>
              <w:jc w:val="right"/>
              <w:rPr>
                <w:color w:val="000000"/>
                <w:lang w:val="da-DK"/>
              </w:rPr>
            </w:pPr>
            <w:r w:rsidRPr="00F50C72">
              <w:rPr>
                <w:color w:val="000000"/>
              </w:rPr>
              <w:t>21534</w:t>
            </w:r>
          </w:p>
        </w:tc>
        <w:tc>
          <w:tcPr>
            <w:tcW w:w="0" w:type="auto"/>
            <w:tcBorders>
              <w:top w:val="nil"/>
              <w:left w:val="nil"/>
              <w:bottom w:val="nil"/>
              <w:right w:val="nil"/>
            </w:tcBorders>
          </w:tcPr>
          <w:p w14:paraId="5FBCF65F"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7419</w:t>
            </w:r>
          </w:p>
        </w:tc>
        <w:tc>
          <w:tcPr>
            <w:tcW w:w="0" w:type="auto"/>
            <w:tcBorders>
              <w:top w:val="nil"/>
              <w:left w:val="nil"/>
              <w:bottom w:val="nil"/>
              <w:right w:val="nil"/>
            </w:tcBorders>
          </w:tcPr>
          <w:p w14:paraId="6F448834"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12834</w:t>
            </w:r>
          </w:p>
        </w:tc>
        <w:tc>
          <w:tcPr>
            <w:tcW w:w="0" w:type="auto"/>
            <w:tcBorders>
              <w:top w:val="nil"/>
              <w:left w:val="nil"/>
              <w:bottom w:val="nil"/>
              <w:right w:val="nil"/>
            </w:tcBorders>
          </w:tcPr>
          <w:p w14:paraId="332A3019"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17420</w:t>
            </w:r>
          </w:p>
        </w:tc>
      </w:tr>
      <w:tr w:rsidR="00182EE6" w:rsidRPr="002A6AA1" w14:paraId="1587A93A" w14:textId="77777777" w:rsidTr="00F50C72">
        <w:trPr>
          <w:trHeight w:val="290"/>
        </w:trPr>
        <w:tc>
          <w:tcPr>
            <w:tcW w:w="0" w:type="auto"/>
            <w:tcBorders>
              <w:top w:val="nil"/>
              <w:left w:val="nil"/>
              <w:bottom w:val="nil"/>
              <w:right w:val="nil"/>
            </w:tcBorders>
          </w:tcPr>
          <w:p w14:paraId="0599B6F7" w14:textId="412DF272" w:rsidR="00182EE6" w:rsidRPr="002A6AA1" w:rsidRDefault="00182EE6">
            <w:pPr>
              <w:autoSpaceDE w:val="0"/>
              <w:autoSpaceDN w:val="0"/>
              <w:adjustRightInd w:val="0"/>
              <w:spacing w:after="0" w:line="240" w:lineRule="auto"/>
              <w:rPr>
                <w:color w:val="000000"/>
                <w:lang w:val="da-DK"/>
              </w:rPr>
            </w:pPr>
            <w:r>
              <w:rPr>
                <w:color w:val="000000"/>
                <w:lang w:val="da-DK"/>
              </w:rPr>
              <w:t>SOL</w:t>
            </w:r>
          </w:p>
        </w:tc>
        <w:tc>
          <w:tcPr>
            <w:tcW w:w="0" w:type="auto"/>
            <w:tcBorders>
              <w:top w:val="nil"/>
              <w:left w:val="nil"/>
              <w:bottom w:val="nil"/>
              <w:right w:val="nil"/>
            </w:tcBorders>
          </w:tcPr>
          <w:p w14:paraId="750CDCFF" w14:textId="77777777" w:rsidR="00182EE6" w:rsidRPr="002A6AA1" w:rsidRDefault="00182EE6">
            <w:pPr>
              <w:autoSpaceDE w:val="0"/>
              <w:autoSpaceDN w:val="0"/>
              <w:adjustRightInd w:val="0"/>
              <w:spacing w:after="0" w:line="240" w:lineRule="auto"/>
              <w:rPr>
                <w:color w:val="000000"/>
                <w:lang w:val="da-DK"/>
              </w:rPr>
            </w:pPr>
            <w:r w:rsidRPr="002A6AA1">
              <w:rPr>
                <w:color w:val="000000"/>
                <w:lang w:val="da-DK"/>
              </w:rPr>
              <w:t>SSB 2017</w:t>
            </w:r>
          </w:p>
        </w:tc>
        <w:tc>
          <w:tcPr>
            <w:tcW w:w="0" w:type="auto"/>
            <w:tcBorders>
              <w:top w:val="nil"/>
              <w:left w:val="nil"/>
              <w:bottom w:val="nil"/>
              <w:right w:val="nil"/>
            </w:tcBorders>
          </w:tcPr>
          <w:p w14:paraId="0987167B"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53920</w:t>
            </w:r>
          </w:p>
        </w:tc>
        <w:tc>
          <w:tcPr>
            <w:tcW w:w="0" w:type="auto"/>
            <w:tcBorders>
              <w:top w:val="nil"/>
              <w:left w:val="nil"/>
              <w:bottom w:val="nil"/>
              <w:right w:val="nil"/>
            </w:tcBorders>
            <w:vAlign w:val="bottom"/>
          </w:tcPr>
          <w:p w14:paraId="1E761945" w14:textId="3E7B0C5A" w:rsidR="00182EE6" w:rsidRPr="00182EE6" w:rsidRDefault="00182EE6">
            <w:pPr>
              <w:autoSpaceDE w:val="0"/>
              <w:autoSpaceDN w:val="0"/>
              <w:adjustRightInd w:val="0"/>
              <w:spacing w:after="0" w:line="240" w:lineRule="auto"/>
              <w:jc w:val="right"/>
              <w:rPr>
                <w:color w:val="000000"/>
                <w:lang w:val="da-DK"/>
              </w:rPr>
            </w:pPr>
            <w:r w:rsidRPr="00F50C72">
              <w:rPr>
                <w:color w:val="000000"/>
              </w:rPr>
              <w:t>45057</w:t>
            </w:r>
          </w:p>
        </w:tc>
        <w:tc>
          <w:tcPr>
            <w:tcW w:w="0" w:type="auto"/>
            <w:tcBorders>
              <w:top w:val="nil"/>
              <w:left w:val="nil"/>
              <w:bottom w:val="nil"/>
              <w:right w:val="nil"/>
            </w:tcBorders>
          </w:tcPr>
          <w:p w14:paraId="33B42277"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59410</w:t>
            </w:r>
          </w:p>
        </w:tc>
        <w:tc>
          <w:tcPr>
            <w:tcW w:w="0" w:type="auto"/>
            <w:tcBorders>
              <w:top w:val="nil"/>
              <w:left w:val="nil"/>
              <w:bottom w:val="nil"/>
              <w:right w:val="nil"/>
            </w:tcBorders>
          </w:tcPr>
          <w:p w14:paraId="209B0420"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54027</w:t>
            </w:r>
          </w:p>
        </w:tc>
        <w:tc>
          <w:tcPr>
            <w:tcW w:w="0" w:type="auto"/>
            <w:tcBorders>
              <w:top w:val="nil"/>
              <w:left w:val="nil"/>
              <w:bottom w:val="nil"/>
              <w:right w:val="nil"/>
            </w:tcBorders>
          </w:tcPr>
          <w:p w14:paraId="75FA11BE" w14:textId="77777777" w:rsidR="00182EE6" w:rsidRPr="002A6AA1" w:rsidRDefault="00182EE6">
            <w:pPr>
              <w:autoSpaceDE w:val="0"/>
              <w:autoSpaceDN w:val="0"/>
              <w:adjustRightInd w:val="0"/>
              <w:spacing w:after="0" w:line="240" w:lineRule="auto"/>
              <w:jc w:val="right"/>
              <w:rPr>
                <w:color w:val="000000"/>
                <w:lang w:val="da-DK"/>
              </w:rPr>
            </w:pPr>
            <w:r w:rsidRPr="002A6AA1">
              <w:rPr>
                <w:color w:val="000000"/>
                <w:lang w:val="da-DK"/>
              </w:rPr>
              <w:t>49226</w:t>
            </w:r>
          </w:p>
        </w:tc>
      </w:tr>
    </w:tbl>
    <w:p w14:paraId="1073CBA6" w14:textId="77777777" w:rsidR="00F85000" w:rsidRDefault="00F85000" w:rsidP="00DF5AFC"/>
    <w:p w14:paraId="23AFA7C6" w14:textId="6B465518" w:rsidR="00623425" w:rsidRDefault="00623425" w:rsidP="00DF5AFC">
      <w:r>
        <w:t xml:space="preserve">Table </w:t>
      </w:r>
      <w:r w:rsidR="005C479E">
        <w:t>4</w:t>
      </w:r>
      <w:r>
        <w:t xml:space="preserve">. Outcomes of short-term forecast for different </w:t>
      </w:r>
      <w:r w:rsidR="00182EE6">
        <w:t>HCR</w:t>
      </w:r>
      <w:r>
        <w:t xml:space="preserve"> in 2016.</w:t>
      </w:r>
    </w:p>
    <w:p w14:paraId="45584DE9" w14:textId="77777777" w:rsidR="00F85000" w:rsidRDefault="00F85000" w:rsidP="00DF5AFC">
      <w:r>
        <w:br w:type="page"/>
      </w:r>
    </w:p>
    <w:p w14:paraId="19EA4760" w14:textId="0A7BB821" w:rsidR="00AF23DE" w:rsidRPr="00F50C72" w:rsidRDefault="00AF23DE" w:rsidP="00DF5AFC">
      <w:pPr>
        <w:rPr>
          <w:lang w:val="en-US"/>
        </w:rPr>
      </w:pPr>
    </w:p>
    <w:p w14:paraId="4BC0DCA1" w14:textId="1CED2CDC" w:rsidR="00AF23DE" w:rsidRDefault="00AA07E4" w:rsidP="00DF5AFC">
      <w:pPr>
        <w:rPr>
          <w:noProof/>
          <w:lang w:val="da-DK" w:eastAsia="da-DK"/>
        </w:rPr>
      </w:pPr>
      <w:r>
        <w:rPr>
          <w:noProof/>
          <w:lang w:val="da-DK" w:eastAsia="da-DK"/>
        </w:rPr>
        <w:drawing>
          <wp:inline distT="0" distB="0" distL="0" distR="0" wp14:anchorId="51DEC0B9" wp14:editId="51059B03">
            <wp:extent cx="6031903" cy="3990109"/>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cators 2020v2_SS.png"/>
                    <pic:cNvPicPr/>
                  </pic:nvPicPr>
                  <pic:blipFill rotWithShape="1">
                    <a:blip r:embed="rId10" cstate="print">
                      <a:extLst>
                        <a:ext uri="{28A0092B-C50C-407E-A947-70E740481C1C}">
                          <a14:useLocalDpi xmlns:a14="http://schemas.microsoft.com/office/drawing/2010/main" val="0"/>
                        </a:ext>
                      </a:extLst>
                    </a:blip>
                    <a:srcRect t="6984" r="15629"/>
                    <a:stretch/>
                  </pic:blipFill>
                  <pic:spPr bwMode="auto">
                    <a:xfrm>
                      <a:off x="0" y="0"/>
                      <a:ext cx="6035879" cy="3992739"/>
                    </a:xfrm>
                    <a:prstGeom prst="rect">
                      <a:avLst/>
                    </a:prstGeom>
                    <a:ln>
                      <a:noFill/>
                    </a:ln>
                    <a:extLst>
                      <a:ext uri="{53640926-AAD7-44D8-BBD7-CCE9431645EC}">
                        <a14:shadowObscured xmlns:a14="http://schemas.microsoft.com/office/drawing/2010/main"/>
                      </a:ext>
                    </a:extLst>
                  </pic:spPr>
                </pic:pic>
              </a:graphicData>
            </a:graphic>
          </wp:inline>
        </w:drawing>
      </w:r>
    </w:p>
    <w:p w14:paraId="67B1BCBB" w14:textId="44C3F1F8" w:rsidR="001C06E1" w:rsidRDefault="006F48D5" w:rsidP="00DF5AFC">
      <w:r>
        <w:t>Figure 1</w:t>
      </w:r>
      <w:r w:rsidR="00AF23DE">
        <w:t xml:space="preserve">. Diagnostics in 2020, single-stock MSE without technical interactions.  </w:t>
      </w:r>
      <w:r w:rsidR="00AA07E4">
        <w:t>Median values of fishing mortality, landings and SSB, and risk of falling below MSY B</w:t>
      </w:r>
      <w:r w:rsidR="00521B61" w:rsidRPr="00521B61">
        <w:rPr>
          <w:vertAlign w:val="subscript"/>
        </w:rPr>
        <w:t>trigger</w:t>
      </w:r>
      <w:r w:rsidR="00AA07E4">
        <w:t xml:space="preserve"> and B</w:t>
      </w:r>
      <w:r w:rsidR="00521B61" w:rsidRPr="00521B61">
        <w:rPr>
          <w:vertAlign w:val="subscript"/>
        </w:rPr>
        <w:t>lim</w:t>
      </w:r>
      <w:r w:rsidR="00AA07E4">
        <w:t>.  Black</w:t>
      </w:r>
      <w:r w:rsidR="00AF23DE">
        <w:t xml:space="preserve"> circle : F</w:t>
      </w:r>
      <w:r w:rsidR="00521B61" w:rsidRPr="00521B61">
        <w:rPr>
          <w:vertAlign w:val="subscript"/>
        </w:rPr>
        <w:t>MSY</w:t>
      </w:r>
      <w:r w:rsidR="00AF23DE">
        <w:t xml:space="preserve">. </w:t>
      </w:r>
      <w:r w:rsidR="008A7037">
        <w:t>Downward triangle</w:t>
      </w:r>
      <w:r w:rsidR="00AF23DE">
        <w:t xml:space="preserve"> : MSY F</w:t>
      </w:r>
      <w:r w:rsidR="00521B61" w:rsidRPr="00521B61">
        <w:rPr>
          <w:vertAlign w:val="subscript"/>
        </w:rPr>
        <w:t>upper</w:t>
      </w:r>
      <w:r w:rsidR="00AF23DE">
        <w:t xml:space="preserve">. </w:t>
      </w:r>
      <w:r w:rsidR="008A7037">
        <w:t>Upward triangle</w:t>
      </w:r>
      <w:r w:rsidR="00AF23DE">
        <w:t xml:space="preserve"> : MSY F</w:t>
      </w:r>
      <w:r w:rsidR="00521B61" w:rsidRPr="00521B61">
        <w:rPr>
          <w:vertAlign w:val="subscript"/>
        </w:rPr>
        <w:t>lower</w:t>
      </w:r>
      <w:r w:rsidR="00AF23DE">
        <w:t xml:space="preserve">. Cross : current </w:t>
      </w:r>
      <w:r w:rsidR="008A7037">
        <w:t>LTMP</w:t>
      </w:r>
      <w:r w:rsidR="00AF23DE">
        <w:t xml:space="preserve">. </w:t>
      </w:r>
    </w:p>
    <w:p w14:paraId="786F1D6F" w14:textId="77777777" w:rsidR="001C06E1" w:rsidRDefault="001C06E1">
      <w:pPr>
        <w:spacing w:line="276" w:lineRule="auto"/>
      </w:pPr>
      <w:r>
        <w:br w:type="page"/>
      </w:r>
    </w:p>
    <w:p w14:paraId="59011A01" w14:textId="32092BD0" w:rsidR="006F48D5" w:rsidRDefault="006F48D5" w:rsidP="00DF5AFC"/>
    <w:p w14:paraId="0DAF3166" w14:textId="412D5E2B" w:rsidR="004235E3" w:rsidRDefault="00900606" w:rsidP="00DF5AFC">
      <w:r>
        <w:rPr>
          <w:noProof/>
          <w:lang w:val="da-DK" w:eastAsia="da-DK"/>
        </w:rPr>
        <w:drawing>
          <wp:inline distT="0" distB="0" distL="0" distR="0" wp14:anchorId="048270CA" wp14:editId="37D272EF">
            <wp:extent cx="6057768" cy="396240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cators 2020v2_F3max.png"/>
                    <pic:cNvPicPr/>
                  </pic:nvPicPr>
                  <pic:blipFill rotWithShape="1">
                    <a:blip r:embed="rId11" cstate="print">
                      <a:extLst>
                        <a:ext uri="{28A0092B-C50C-407E-A947-70E740481C1C}">
                          <a14:useLocalDpi xmlns:a14="http://schemas.microsoft.com/office/drawing/2010/main" val="0"/>
                        </a:ext>
                      </a:extLst>
                    </a:blip>
                    <a:srcRect t="7654" r="15289"/>
                    <a:stretch/>
                  </pic:blipFill>
                  <pic:spPr bwMode="auto">
                    <a:xfrm>
                      <a:off x="0" y="0"/>
                      <a:ext cx="6064744" cy="3966963"/>
                    </a:xfrm>
                    <a:prstGeom prst="rect">
                      <a:avLst/>
                    </a:prstGeom>
                    <a:ln>
                      <a:noFill/>
                    </a:ln>
                    <a:extLst>
                      <a:ext uri="{53640926-AAD7-44D8-BBD7-CCE9431645EC}">
                        <a14:shadowObscured xmlns:a14="http://schemas.microsoft.com/office/drawing/2010/main"/>
                      </a:ext>
                    </a:extLst>
                  </pic:spPr>
                </pic:pic>
              </a:graphicData>
            </a:graphic>
          </wp:inline>
        </w:drawing>
      </w:r>
    </w:p>
    <w:p w14:paraId="59039D7D" w14:textId="7B435E14" w:rsidR="00CF7072" w:rsidRDefault="00CF7072" w:rsidP="00CF7072">
      <w:r>
        <w:t xml:space="preserve">Figure 2. Diagnostics in 2020, single-stock MSE with FCube </w:t>
      </w:r>
      <w:r w:rsidR="00900606">
        <w:t>Max</w:t>
      </w:r>
      <w:r>
        <w:t xml:space="preserve"> technical interactions</w:t>
      </w:r>
      <w:r w:rsidR="009207A8">
        <w:t xml:space="preserve"> assuming an imperfect implementation of the landing obligation and that all quotas are fished out </w:t>
      </w:r>
      <w:r>
        <w:t xml:space="preserve">.  </w:t>
      </w:r>
      <w:r w:rsidR="00900606">
        <w:t>Black circle : F</w:t>
      </w:r>
      <w:r w:rsidR="00521B61" w:rsidRPr="00521B61">
        <w:rPr>
          <w:vertAlign w:val="subscript"/>
        </w:rPr>
        <w:t>MSY</w:t>
      </w:r>
      <w:r w:rsidR="00900606">
        <w:t>. Downward triangle : MSY F</w:t>
      </w:r>
      <w:r w:rsidR="00521B61" w:rsidRPr="00521B61">
        <w:rPr>
          <w:vertAlign w:val="subscript"/>
        </w:rPr>
        <w:t>upper</w:t>
      </w:r>
      <w:r w:rsidR="00900606">
        <w:t>. Upward triangle : MSY F</w:t>
      </w:r>
      <w:r w:rsidR="00521B61" w:rsidRPr="00521B61">
        <w:rPr>
          <w:vertAlign w:val="subscript"/>
        </w:rPr>
        <w:t>lower</w:t>
      </w:r>
      <w:r w:rsidR="00900606">
        <w:t xml:space="preserve">. Cross : current LTMP. </w:t>
      </w:r>
    </w:p>
    <w:p w14:paraId="34165D3C" w14:textId="77777777" w:rsidR="00CF7072" w:rsidRDefault="00CF7072" w:rsidP="00DF5AFC"/>
    <w:p w14:paraId="28A25104" w14:textId="77777777" w:rsidR="006F48D5" w:rsidRDefault="006F48D5">
      <w:pPr>
        <w:spacing w:line="276" w:lineRule="auto"/>
      </w:pPr>
      <w:r>
        <w:br w:type="page"/>
      </w:r>
    </w:p>
    <w:p w14:paraId="760ABC53" w14:textId="77777777" w:rsidR="006F48D5" w:rsidRDefault="006F48D5">
      <w:pPr>
        <w:spacing w:line="276" w:lineRule="auto"/>
      </w:pPr>
    </w:p>
    <w:p w14:paraId="14E7ACFF" w14:textId="6034B7E9" w:rsidR="00A94519" w:rsidRDefault="00623425" w:rsidP="00DF5AFC">
      <w:r>
        <w:rPr>
          <w:noProof/>
          <w:lang w:val="da-DK" w:eastAsia="da-DK"/>
        </w:rPr>
        <mc:AlternateContent>
          <mc:Choice Requires="wps">
            <w:drawing>
              <wp:anchor distT="0" distB="0" distL="114300" distR="114300" simplePos="0" relativeHeight="251663360" behindDoc="0" locked="0" layoutInCell="1" allowOverlap="1" wp14:anchorId="61805A4E" wp14:editId="2F33819D">
                <wp:simplePos x="0" y="0"/>
                <wp:positionH relativeFrom="column">
                  <wp:posOffset>5588834</wp:posOffset>
                </wp:positionH>
                <wp:positionV relativeFrom="paragraph">
                  <wp:posOffset>5303520</wp:posOffset>
                </wp:positionV>
                <wp:extent cx="279400" cy="252095"/>
                <wp:effectExtent l="0" t="0" r="25400" b="14605"/>
                <wp:wrapNone/>
                <wp:docPr id="10" name="Rectangle 10"/>
                <wp:cNvGraphicFramePr/>
                <a:graphic xmlns:a="http://schemas.openxmlformats.org/drawingml/2006/main">
                  <a:graphicData uri="http://schemas.microsoft.com/office/word/2010/wordprocessingShape">
                    <wps:wsp>
                      <wps:cNvSpPr/>
                      <wps:spPr>
                        <a:xfrm>
                          <a:off x="0" y="0"/>
                          <a:ext cx="279400" cy="2520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440.05pt;margin-top:417.6pt;width:22pt;height:19.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" fillcolor="white [3212]" strokecolor="white [3212]" strokeweight="2pt"/>
            </w:pict>
          </mc:Fallback>
        </mc:AlternateContent>
      </w:r>
      <w:r>
        <w:rPr>
          <w:noProof/>
          <w:lang w:val="da-DK" w:eastAsia="da-DK"/>
        </w:rPr>
        <mc:AlternateContent>
          <mc:Choice Requires="wps">
            <w:drawing>
              <wp:anchor distT="0" distB="0" distL="114300" distR="114300" simplePos="0" relativeHeight="251661312" behindDoc="0" locked="0" layoutInCell="1" allowOverlap="1" wp14:anchorId="7BBA4E30" wp14:editId="316A2DFE">
                <wp:simplePos x="0" y="0"/>
                <wp:positionH relativeFrom="column">
                  <wp:posOffset>3266440</wp:posOffset>
                </wp:positionH>
                <wp:positionV relativeFrom="paragraph">
                  <wp:posOffset>5403215</wp:posOffset>
                </wp:positionV>
                <wp:extent cx="279400" cy="252095"/>
                <wp:effectExtent l="0" t="0" r="25400" b="14605"/>
                <wp:wrapNone/>
                <wp:docPr id="9" name="Rectangle 9"/>
                <wp:cNvGraphicFramePr/>
                <a:graphic xmlns:a="http://schemas.openxmlformats.org/drawingml/2006/main">
                  <a:graphicData uri="http://schemas.microsoft.com/office/word/2010/wordprocessingShape">
                    <wps:wsp>
                      <wps:cNvSpPr/>
                      <wps:spPr>
                        <a:xfrm>
                          <a:off x="0" y="0"/>
                          <a:ext cx="279400" cy="2520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57.2pt;margin-top:425.45pt;width:22pt;height:19.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" fillcolor="white [3212]" strokecolor="white [3212]" strokeweight="2pt"/>
            </w:pict>
          </mc:Fallback>
        </mc:AlternateContent>
      </w:r>
      <w:r>
        <w:rPr>
          <w:noProof/>
          <w:lang w:val="da-DK" w:eastAsia="da-DK"/>
        </w:rPr>
        <mc:AlternateContent>
          <mc:Choice Requires="wps">
            <w:drawing>
              <wp:anchor distT="0" distB="0" distL="114300" distR="114300" simplePos="0" relativeHeight="251659264" behindDoc="0" locked="0" layoutInCell="1" allowOverlap="1" wp14:anchorId="1A249055" wp14:editId="12CBD9AB">
                <wp:simplePos x="0" y="0"/>
                <wp:positionH relativeFrom="column">
                  <wp:posOffset>951761</wp:posOffset>
                </wp:positionH>
                <wp:positionV relativeFrom="paragraph">
                  <wp:posOffset>5354083</wp:posOffset>
                </wp:positionV>
                <wp:extent cx="279779" cy="252484"/>
                <wp:effectExtent l="0" t="0" r="25400" b="14605"/>
                <wp:wrapNone/>
                <wp:docPr id="8" name="Rectangle 8"/>
                <wp:cNvGraphicFramePr/>
                <a:graphic xmlns:a="http://schemas.openxmlformats.org/drawingml/2006/main">
                  <a:graphicData uri="http://schemas.microsoft.com/office/word/2010/wordprocessingShape">
                    <wps:wsp>
                      <wps:cNvSpPr/>
                      <wps:spPr>
                        <a:xfrm>
                          <a:off x="0" y="0"/>
                          <a:ext cx="279779" cy="25248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74.95pt;margin-top:421.6pt;width:22.05pt;height:1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" fillcolor="white [3212]" strokecolor="white [3212]" strokeweight="2pt"/>
            </w:pict>
          </mc:Fallback>
        </mc:AlternateContent>
      </w:r>
      <w:r w:rsidR="009C1868">
        <w:pict w14:anchorId="0FA72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pt;height:481.6pt">
            <v:imagedata r:id="rId12" o:title="optim in Fmsy range new1"/>
          </v:shape>
        </w:pict>
      </w:r>
    </w:p>
    <w:p w14:paraId="16E47B65" w14:textId="0C91CB6B" w:rsidR="006F48D5" w:rsidRDefault="006F48D5" w:rsidP="00DF5AFC">
      <w:r>
        <w:t xml:space="preserve">Figure </w:t>
      </w:r>
      <w:r w:rsidR="003F0E60">
        <w:t>3</w:t>
      </w:r>
      <w:r w:rsidR="00623425">
        <w:t>. Fishing mortality by stock : F</w:t>
      </w:r>
      <w:r w:rsidR="00521B61" w:rsidRPr="00521B61">
        <w:rPr>
          <w:vertAlign w:val="subscript"/>
        </w:rPr>
        <w:t>MSY</w:t>
      </w:r>
      <w:r w:rsidR="00623425">
        <w:t>, F</w:t>
      </w:r>
      <w:r w:rsidR="00521B61" w:rsidRPr="00521B61">
        <w:rPr>
          <w:vertAlign w:val="subscript"/>
        </w:rPr>
        <w:t>MSY</w:t>
      </w:r>
      <w:r w:rsidR="00623425">
        <w:t xml:space="preserve"> ranges, F2014 and outcome of the deterministic </w:t>
      </w:r>
      <w:r w:rsidR="00BC4995">
        <w:t>‘</w:t>
      </w:r>
      <w:r w:rsidR="00623425">
        <w:t>Max</w:t>
      </w:r>
      <w:r w:rsidR="00BC4995">
        <w:t>-Min’</w:t>
      </w:r>
      <w:r w:rsidR="00623425">
        <w:t xml:space="preserve"> optimisation in 2016.</w:t>
      </w:r>
    </w:p>
    <w:p w14:paraId="565E937A" w14:textId="77777777" w:rsidR="006F48D5" w:rsidRDefault="006F48D5">
      <w:pPr>
        <w:spacing w:line="276" w:lineRule="auto"/>
      </w:pPr>
      <w:r>
        <w:br w:type="page"/>
      </w:r>
    </w:p>
    <w:tbl>
      <w:tblPr>
        <w:tblW w:w="9356" w:type="dxa"/>
        <w:tblInd w:w="108" w:type="dxa"/>
        <w:tblLayout w:type="fixed"/>
        <w:tblLook w:val="04A0" w:firstRow="1" w:lastRow="0" w:firstColumn="1" w:lastColumn="0" w:noHBand="0" w:noVBand="1"/>
      </w:tblPr>
      <w:tblGrid>
        <w:gridCol w:w="3870"/>
        <w:gridCol w:w="5486"/>
      </w:tblGrid>
      <w:tr w:rsidR="0049176E" w14:paraId="1A70442C" w14:textId="77777777" w:rsidTr="00AA244E">
        <w:tc>
          <w:tcPr>
            <w:tcW w:w="3870" w:type="dxa"/>
            <w:tcBorders>
              <w:top w:val="single" w:sz="4" w:space="0" w:color="808080"/>
              <w:left w:val="nil"/>
              <w:bottom w:val="nil"/>
              <w:right w:val="nil"/>
            </w:tcBorders>
            <w:hideMark/>
          </w:tcPr>
          <w:p w14:paraId="054C9B98" w14:textId="61381E9D" w:rsidR="0049176E" w:rsidRPr="00AF23DE" w:rsidRDefault="009C1868">
            <w:pPr>
              <w:widowControl w:val="0"/>
              <w:spacing w:after="0"/>
              <w:jc w:val="both"/>
              <w:rPr>
                <w:rFonts w:ascii="Palatino Linotype" w:hAnsi="Palatino Linotype"/>
                <w:kern w:val="16"/>
                <w:sz w:val="16"/>
                <w:lang w:val="en-US"/>
              </w:rPr>
            </w:pPr>
            <w:r>
              <w:rPr>
                <w:rFonts w:ascii="Palatino Linotype" w:hAnsi="Palatino Linotype"/>
                <w:kern w:val="16"/>
                <w:sz w:val="16"/>
                <w:lang w:val="en-US"/>
              </w:rPr>
              <w:lastRenderedPageBreak/>
              <w:pict w14:anchorId="74816DE1">
                <v:shape id="_x0000_i1026" type="#_x0000_t75" style="width:205.15pt;height:341.65pt">
                  <v:imagedata r:id="rId13" o:title="ICES MSY approach (2)" cropright="12960f"/>
                </v:shape>
              </w:pict>
            </w:r>
          </w:p>
        </w:tc>
        <w:tc>
          <w:tcPr>
            <w:tcW w:w="5486" w:type="dxa"/>
            <w:tcBorders>
              <w:top w:val="single" w:sz="4" w:space="0" w:color="808080"/>
              <w:left w:val="nil"/>
              <w:bottom w:val="single" w:sz="4" w:space="0" w:color="808080"/>
              <w:right w:val="nil"/>
            </w:tcBorders>
            <w:hideMark/>
          </w:tcPr>
          <w:p w14:paraId="66F9DBC0" w14:textId="5E2E1E03" w:rsidR="0049176E" w:rsidRPr="00AF23DE" w:rsidRDefault="009C1868">
            <w:pPr>
              <w:widowControl w:val="0"/>
              <w:spacing w:after="0"/>
              <w:ind w:left="-108"/>
              <w:jc w:val="both"/>
              <w:rPr>
                <w:rFonts w:ascii="Palatino Linotype" w:hAnsi="Palatino Linotype"/>
                <w:kern w:val="16"/>
                <w:sz w:val="16"/>
                <w:lang w:val="en-US"/>
              </w:rPr>
            </w:pPr>
            <w:r>
              <w:rPr>
                <w:rFonts w:ascii="Palatino Linotype" w:hAnsi="Palatino Linotype"/>
                <w:kern w:val="16"/>
                <w:sz w:val="16"/>
                <w:lang w:val="en-US"/>
              </w:rPr>
              <w:pict w14:anchorId="672AE847">
                <v:shape id="_x0000_i1027" type="#_x0000_t75" style="width:252pt;height:335.55pt">
                  <v:imagedata r:id="rId14" o:title="optim (2)"/>
                </v:shape>
              </w:pict>
            </w:r>
          </w:p>
        </w:tc>
      </w:tr>
    </w:tbl>
    <w:p w14:paraId="583B5C7F" w14:textId="7776C1B8" w:rsidR="00665702" w:rsidRDefault="0049176E" w:rsidP="00665702">
      <w:r>
        <w:t xml:space="preserve">Figure </w:t>
      </w:r>
      <w:r w:rsidR="003F0E60">
        <w:t>4</w:t>
      </w:r>
      <w:r w:rsidR="00AA244E">
        <w:t xml:space="preserve">. North Sea mixed fisheries projections for 2016, following </w:t>
      </w:r>
      <w:r w:rsidR="002E78FE">
        <w:t xml:space="preserve">standard </w:t>
      </w:r>
      <w:r w:rsidR="00AA244E">
        <w:t xml:space="preserve">display as in </w:t>
      </w:r>
      <w:r w:rsidR="00AA244E">
        <w:fldChar w:fldCharType="begin" w:fldLock="1"/>
      </w:r>
      <w:r w:rsidR="00873E7A">
        <w:instrText>ADDIN CSL_CITATION { "citationItems" : [ { "id" : "ITEM-1", "itemData" : { "author" : [ { "dropping-particle" : "", "family" : "ICES", "given" : "", "non-dropping-particle" : "", "parse-names" : false, "suffix" : "" } ], "chapter-number" : "6.2.2.2", "container-title" : "ICES Advice 2015, Book 6", "id" : "ITEM-1", "issued" : { "date-parts" : [ [ "2015" ] ] }, "page" : "13 pp", "title" : "Mixed-fisheries advice for Subarea IV (North Sea) and Divisions IIIa North (Skagerrak) and VIId (Eastern Channel)", "type" : "chapter" }, "uris" : [ "http://www.mendeley.com/documents/?uuid=ed2185fe-02ab-4c01-881b-fec0e21d1cc4" ] } ], "mendeley" : { "formattedCitation" : "(ICES, 2015c)", "plainTextFormattedCitation" : "(ICES, 2015c)", "previouslyFormattedCitation" : "(ICES 2015c)" }, "properties" : { "noteIndex" : 0 }, "schema" : "https://github.com/citation-style-language/schema/raw/master/csl-citation.json" }</w:instrText>
      </w:r>
      <w:r w:rsidR="00AA244E">
        <w:fldChar w:fldCharType="separate"/>
      </w:r>
      <w:r w:rsidR="00873E7A" w:rsidRPr="00873E7A">
        <w:rPr>
          <w:noProof/>
        </w:rPr>
        <w:t>(ICES, 2015c)</w:t>
      </w:r>
      <w:r w:rsidR="00AA244E">
        <w:fldChar w:fldCharType="end"/>
      </w:r>
      <w:r w:rsidR="00665702">
        <w:t>. FCube options Max, Min and Status-Quo effort at 2014 level. Left F</w:t>
      </w:r>
      <w:r w:rsidR="00665702" w:rsidRPr="00521B61">
        <w:rPr>
          <w:vertAlign w:val="subscript"/>
        </w:rPr>
        <w:t>MSY</w:t>
      </w:r>
      <w:r w:rsidR="00665702">
        <w:t xml:space="preserve"> target. Right : Foptim target. </w:t>
      </w:r>
      <w:r w:rsidR="00AA244E">
        <w:t>Estimates of potential catches (in tonnes) by stock</w:t>
      </w:r>
      <w:r w:rsidR="00665702">
        <w:t xml:space="preserve"> </w:t>
      </w:r>
      <w:r w:rsidR="00AA244E">
        <w:t>and by scenario.</w:t>
      </w:r>
      <w:r w:rsidR="00665702">
        <w:t xml:space="preserve"> H</w:t>
      </w:r>
      <w:r w:rsidR="00AA244E">
        <w:t xml:space="preserve">orizontal lines correspond to the single-stock </w:t>
      </w:r>
      <w:r w:rsidR="00665702">
        <w:t xml:space="preserve">projection with the given target. </w:t>
      </w:r>
      <w:r w:rsidR="00AA244E">
        <w:t xml:space="preserve">Bars below the value of zero show undershoot (compared to single-stock) where catches are predicted to be lower when applying the </w:t>
      </w:r>
      <w:r w:rsidR="00665702">
        <w:t xml:space="preserve">FCube option. Hatched columns represent catches in overshoot of the single-stock </w:t>
      </w:r>
      <w:r w:rsidR="00702137">
        <w:t>projection</w:t>
      </w:r>
      <w:r w:rsidR="00665702">
        <w:t>.</w:t>
      </w:r>
    </w:p>
    <w:p w14:paraId="2F2EBCF2" w14:textId="77777777" w:rsidR="002A6AA1" w:rsidRDefault="002A6AA1">
      <w:pPr>
        <w:spacing w:line="276" w:lineRule="auto"/>
      </w:pPr>
      <w:r>
        <w:br w:type="page"/>
      </w:r>
    </w:p>
    <w:p w14:paraId="2F1356F3" w14:textId="3F95BB59" w:rsidR="006F48D5" w:rsidRDefault="00096E02" w:rsidP="00DF5AFC">
      <w:r w:rsidRPr="00096E02">
        <w:rPr>
          <w:noProof/>
          <w:lang w:val="da-DK" w:eastAsia="da-DK"/>
        </w:rPr>
        <w:lastRenderedPageBreak/>
        <w:drawing>
          <wp:inline distT="0" distB="0" distL="0" distR="0" wp14:anchorId="6E41252A" wp14:editId="3E670941">
            <wp:extent cx="6120130" cy="39677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120130" cy="3967774"/>
                    </a:xfrm>
                    <a:prstGeom prst="rect">
                      <a:avLst/>
                    </a:prstGeom>
                  </pic:spPr>
                </pic:pic>
              </a:graphicData>
            </a:graphic>
          </wp:inline>
        </w:drawing>
      </w:r>
    </w:p>
    <w:p w14:paraId="13FB6340" w14:textId="5BCB0014" w:rsidR="007D371C" w:rsidRPr="009163B0" w:rsidRDefault="007D371C" w:rsidP="00DF5AFC">
      <w:r>
        <w:t xml:space="preserve">Figure </w:t>
      </w:r>
      <w:r w:rsidR="003F0E60">
        <w:t>5</w:t>
      </w:r>
      <w:r w:rsidR="00042D85">
        <w:t>. Impact of the alternative target F in 2016 on the potential landings and effort of all fleets by country</w:t>
      </w:r>
      <w:r w:rsidR="0072714F">
        <w:t xml:space="preserve"> (Scotland displayed separately from England)</w:t>
      </w:r>
      <w:r w:rsidR="00CC7E9F">
        <w:t>, compared to the 2015 level</w:t>
      </w:r>
      <w:r w:rsidR="0072714F">
        <w:t>, using FCube “Value” scenario</w:t>
      </w:r>
    </w:p>
    <w:sectPr w:rsidR="007D371C" w:rsidRPr="009163B0">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even HOLMES" w:date="2016-02-01T15:44:00Z" w:initials="SH">
    <w:p w14:paraId="2B1679C4" w14:textId="199F1812" w:rsidR="00810A3A" w:rsidRDefault="00810A3A">
      <w:pPr>
        <w:pStyle w:val="Kommentartekst"/>
      </w:pPr>
      <w:r>
        <w:rPr>
          <w:rStyle w:val="Kommentarhenvisning"/>
        </w:rPr>
        <w:annotationRef/>
      </w:r>
      <w:r>
        <w:t>Sentence could be cut without losing the meaning of the paragraph</w:t>
      </w:r>
    </w:p>
  </w:comment>
  <w:comment w:id="3" w:author="Steven HOLMES" w:date="2016-02-01T15:46:00Z" w:initials="SH">
    <w:p w14:paraId="14F6AC05" w14:textId="4B274AA9" w:rsidR="00810A3A" w:rsidRDefault="00810A3A">
      <w:pPr>
        <w:pStyle w:val="Kommentartekst"/>
      </w:pPr>
      <w:r>
        <w:rPr>
          <w:rStyle w:val="Kommentarhenvisning"/>
        </w:rPr>
        <w:annotationRef/>
      </w:r>
      <w:r>
        <w:t>This idea appears ‘out of the blue’ at this point. Suggest to drop or discuss separately.</w:t>
      </w:r>
    </w:p>
  </w:comment>
  <w:comment w:id="2" w:author="Lars O. Mortensen" w:date="2016-02-01T15:29:00Z" w:initials="LOM">
    <w:p w14:paraId="09C60FA0" w14:textId="32A7E93E" w:rsidR="00810A3A" w:rsidRDefault="00810A3A">
      <w:pPr>
        <w:pStyle w:val="Kommentartekst"/>
      </w:pPr>
      <w:r>
        <w:rPr>
          <w:rStyle w:val="Kommentarhenvisning"/>
        </w:rPr>
        <w:annotationRef/>
      </w:r>
      <w:r>
        <w:t>From the discussion and a scientific point of view, it is not quit clear why we are suggesting this approach.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18E785" w15:done="0"/>
  <w15:commentEx w15:paraId="4776A37F" w15:done="0"/>
  <w15:commentEx w15:paraId="6B6C8109" w15:done="0"/>
  <w15:commentEx w15:paraId="2D6B123C" w15:done="0"/>
  <w15:commentEx w15:paraId="02A58FE6" w15:done="0"/>
  <w15:commentEx w15:paraId="1B0C4CAC" w15:done="0"/>
  <w15:commentEx w15:paraId="7FA74C21" w15:done="0"/>
  <w15:commentEx w15:paraId="5FDA76BB" w15:done="0"/>
  <w15:commentEx w15:paraId="50208101" w15:done="0"/>
  <w15:commentEx w15:paraId="0A01D650" w15:done="0"/>
  <w15:commentEx w15:paraId="03877177" w15:done="0"/>
  <w15:commentEx w15:paraId="7E1890C2" w15:done="0"/>
  <w15:commentEx w15:paraId="0F765AF7" w15:done="0"/>
  <w15:commentEx w15:paraId="4A8C6C34" w15:done="0"/>
  <w15:commentEx w15:paraId="7FBEF2A0" w15:done="0"/>
  <w15:commentEx w15:paraId="081FE2C2" w15:done="0"/>
  <w15:commentEx w15:paraId="768DC06F" w15:done="0"/>
  <w15:commentEx w15:paraId="09941D14" w15:done="0"/>
  <w15:commentEx w15:paraId="4A4AD41D" w15:done="0"/>
  <w15:commentEx w15:paraId="33B839BF" w15:done="0"/>
  <w15:commentEx w15:paraId="3D8C2CBA" w15:done="0"/>
  <w15:commentEx w15:paraId="459CBB54" w15:done="0"/>
  <w15:commentEx w15:paraId="28CB649A" w15:done="0"/>
  <w15:commentEx w15:paraId="1DDF2EAE" w15:done="0"/>
  <w15:commentEx w15:paraId="160E8EA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03888"/>
    <w:multiLevelType w:val="hybridMultilevel"/>
    <w:tmpl w:val="2A0C8152"/>
    <w:lvl w:ilvl="0" w:tplc="1CF42FD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DC2C53"/>
    <w:multiLevelType w:val="hybridMultilevel"/>
    <w:tmpl w:val="2E606F7A"/>
    <w:lvl w:ilvl="0" w:tplc="68A028BC">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0804FF"/>
    <w:multiLevelType w:val="hybridMultilevel"/>
    <w:tmpl w:val="EF1E1A66"/>
    <w:lvl w:ilvl="0" w:tplc="D77667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Dolder (Cefas)">
    <w15:presenceInfo w15:providerId="AD" w15:userId="S-1-5-21-48521506-2007828412-1153635105-23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0C5"/>
    <w:rsid w:val="00002849"/>
    <w:rsid w:val="000110F5"/>
    <w:rsid w:val="00015615"/>
    <w:rsid w:val="000170CD"/>
    <w:rsid w:val="00017DA4"/>
    <w:rsid w:val="00021CA2"/>
    <w:rsid w:val="0002365E"/>
    <w:rsid w:val="000322B0"/>
    <w:rsid w:val="00036A9A"/>
    <w:rsid w:val="00040051"/>
    <w:rsid w:val="00042470"/>
    <w:rsid w:val="00042D85"/>
    <w:rsid w:val="000431E3"/>
    <w:rsid w:val="00047350"/>
    <w:rsid w:val="00047C49"/>
    <w:rsid w:val="00050FD9"/>
    <w:rsid w:val="00053ADC"/>
    <w:rsid w:val="000553A0"/>
    <w:rsid w:val="00064D40"/>
    <w:rsid w:val="000657A1"/>
    <w:rsid w:val="00066F62"/>
    <w:rsid w:val="00096E02"/>
    <w:rsid w:val="000A245E"/>
    <w:rsid w:val="000A4B67"/>
    <w:rsid w:val="000B5C8C"/>
    <w:rsid w:val="000D4271"/>
    <w:rsid w:val="000D5193"/>
    <w:rsid w:val="000D5217"/>
    <w:rsid w:val="000D58A3"/>
    <w:rsid w:val="000D7F67"/>
    <w:rsid w:val="000E34DB"/>
    <w:rsid w:val="000F3D34"/>
    <w:rsid w:val="001020F4"/>
    <w:rsid w:val="00103AA4"/>
    <w:rsid w:val="00104402"/>
    <w:rsid w:val="0011188F"/>
    <w:rsid w:val="0012638A"/>
    <w:rsid w:val="00126C7B"/>
    <w:rsid w:val="00132F7D"/>
    <w:rsid w:val="00133168"/>
    <w:rsid w:val="00135B9D"/>
    <w:rsid w:val="00143AD3"/>
    <w:rsid w:val="00147660"/>
    <w:rsid w:val="0016078F"/>
    <w:rsid w:val="00172FC4"/>
    <w:rsid w:val="001749CD"/>
    <w:rsid w:val="00176DF3"/>
    <w:rsid w:val="00182EE6"/>
    <w:rsid w:val="001856B9"/>
    <w:rsid w:val="001904E1"/>
    <w:rsid w:val="00192214"/>
    <w:rsid w:val="00192998"/>
    <w:rsid w:val="001B0F1B"/>
    <w:rsid w:val="001B36EB"/>
    <w:rsid w:val="001C06E1"/>
    <w:rsid w:val="001C0C90"/>
    <w:rsid w:val="001C62E6"/>
    <w:rsid w:val="001C7BBA"/>
    <w:rsid w:val="001D736A"/>
    <w:rsid w:val="001E4D36"/>
    <w:rsid w:val="001F21AA"/>
    <w:rsid w:val="00202D1E"/>
    <w:rsid w:val="00207267"/>
    <w:rsid w:val="002076F5"/>
    <w:rsid w:val="002121FC"/>
    <w:rsid w:val="00212231"/>
    <w:rsid w:val="0022026B"/>
    <w:rsid w:val="0022493D"/>
    <w:rsid w:val="00224AE6"/>
    <w:rsid w:val="0022588A"/>
    <w:rsid w:val="00236981"/>
    <w:rsid w:val="00264EB6"/>
    <w:rsid w:val="00265174"/>
    <w:rsid w:val="002669C1"/>
    <w:rsid w:val="0026753A"/>
    <w:rsid w:val="00273467"/>
    <w:rsid w:val="00286245"/>
    <w:rsid w:val="00290F6E"/>
    <w:rsid w:val="00295FDC"/>
    <w:rsid w:val="002A29BF"/>
    <w:rsid w:val="002A6AA1"/>
    <w:rsid w:val="002B0426"/>
    <w:rsid w:val="002B662C"/>
    <w:rsid w:val="002D4009"/>
    <w:rsid w:val="002D40C5"/>
    <w:rsid w:val="002E09E6"/>
    <w:rsid w:val="002E1CC9"/>
    <w:rsid w:val="002E78FE"/>
    <w:rsid w:val="002F1F26"/>
    <w:rsid w:val="002F5739"/>
    <w:rsid w:val="00303FBE"/>
    <w:rsid w:val="00310100"/>
    <w:rsid w:val="00310250"/>
    <w:rsid w:val="00317505"/>
    <w:rsid w:val="003222CE"/>
    <w:rsid w:val="003263AB"/>
    <w:rsid w:val="00330F98"/>
    <w:rsid w:val="00331D18"/>
    <w:rsid w:val="00344089"/>
    <w:rsid w:val="00345853"/>
    <w:rsid w:val="00350774"/>
    <w:rsid w:val="00350E41"/>
    <w:rsid w:val="00351555"/>
    <w:rsid w:val="00364F57"/>
    <w:rsid w:val="00372E86"/>
    <w:rsid w:val="00375C63"/>
    <w:rsid w:val="003A0BE2"/>
    <w:rsid w:val="003A20D1"/>
    <w:rsid w:val="003A3B81"/>
    <w:rsid w:val="003A481B"/>
    <w:rsid w:val="003B0D98"/>
    <w:rsid w:val="003B4ECA"/>
    <w:rsid w:val="003B704F"/>
    <w:rsid w:val="003D40E7"/>
    <w:rsid w:val="003D414A"/>
    <w:rsid w:val="003D5F9F"/>
    <w:rsid w:val="003F0E60"/>
    <w:rsid w:val="003F3706"/>
    <w:rsid w:val="0040351F"/>
    <w:rsid w:val="00403FDC"/>
    <w:rsid w:val="00413BB8"/>
    <w:rsid w:val="00416481"/>
    <w:rsid w:val="0042063A"/>
    <w:rsid w:val="004235E3"/>
    <w:rsid w:val="004278A9"/>
    <w:rsid w:val="00427AB7"/>
    <w:rsid w:val="00437567"/>
    <w:rsid w:val="004766C4"/>
    <w:rsid w:val="004825F8"/>
    <w:rsid w:val="00483797"/>
    <w:rsid w:val="00483D10"/>
    <w:rsid w:val="00487829"/>
    <w:rsid w:val="004915A4"/>
    <w:rsid w:val="0049176E"/>
    <w:rsid w:val="00497523"/>
    <w:rsid w:val="004A14CE"/>
    <w:rsid w:val="004A20EF"/>
    <w:rsid w:val="004A29B9"/>
    <w:rsid w:val="004A6FC1"/>
    <w:rsid w:val="004B4822"/>
    <w:rsid w:val="004B796B"/>
    <w:rsid w:val="004C06A3"/>
    <w:rsid w:val="004D0CDC"/>
    <w:rsid w:val="004D1D2A"/>
    <w:rsid w:val="004D4331"/>
    <w:rsid w:val="004E6443"/>
    <w:rsid w:val="004F322F"/>
    <w:rsid w:val="004F3C0D"/>
    <w:rsid w:val="004F5E28"/>
    <w:rsid w:val="004F74D6"/>
    <w:rsid w:val="005010B9"/>
    <w:rsid w:val="005118B3"/>
    <w:rsid w:val="00521B61"/>
    <w:rsid w:val="00541B9E"/>
    <w:rsid w:val="00554CFA"/>
    <w:rsid w:val="00555BCB"/>
    <w:rsid w:val="00555DAA"/>
    <w:rsid w:val="005604D3"/>
    <w:rsid w:val="00565328"/>
    <w:rsid w:val="0056556B"/>
    <w:rsid w:val="00576AF2"/>
    <w:rsid w:val="00581E20"/>
    <w:rsid w:val="00582415"/>
    <w:rsid w:val="00585928"/>
    <w:rsid w:val="00585F2B"/>
    <w:rsid w:val="0059048E"/>
    <w:rsid w:val="00593848"/>
    <w:rsid w:val="00596A6B"/>
    <w:rsid w:val="005A073C"/>
    <w:rsid w:val="005A31C3"/>
    <w:rsid w:val="005A3FF8"/>
    <w:rsid w:val="005B1903"/>
    <w:rsid w:val="005B6E19"/>
    <w:rsid w:val="005B6F98"/>
    <w:rsid w:val="005C053E"/>
    <w:rsid w:val="005C479E"/>
    <w:rsid w:val="005C6369"/>
    <w:rsid w:val="005C7551"/>
    <w:rsid w:val="005D78C7"/>
    <w:rsid w:val="005E43CF"/>
    <w:rsid w:val="006029CB"/>
    <w:rsid w:val="00602D93"/>
    <w:rsid w:val="006138C3"/>
    <w:rsid w:val="00623425"/>
    <w:rsid w:val="00627480"/>
    <w:rsid w:val="0063076F"/>
    <w:rsid w:val="00630FA7"/>
    <w:rsid w:val="0063520C"/>
    <w:rsid w:val="00646D26"/>
    <w:rsid w:val="00660447"/>
    <w:rsid w:val="00662267"/>
    <w:rsid w:val="00665702"/>
    <w:rsid w:val="0066672C"/>
    <w:rsid w:val="00666773"/>
    <w:rsid w:val="006750E6"/>
    <w:rsid w:val="00676385"/>
    <w:rsid w:val="00677082"/>
    <w:rsid w:val="00682747"/>
    <w:rsid w:val="0068675E"/>
    <w:rsid w:val="006A459E"/>
    <w:rsid w:val="006A4755"/>
    <w:rsid w:val="006A6B02"/>
    <w:rsid w:val="006C0415"/>
    <w:rsid w:val="006C175C"/>
    <w:rsid w:val="006D4B0F"/>
    <w:rsid w:val="006D6143"/>
    <w:rsid w:val="006E685C"/>
    <w:rsid w:val="006E7DCD"/>
    <w:rsid w:val="006E7F22"/>
    <w:rsid w:val="006F48D5"/>
    <w:rsid w:val="006F4EA6"/>
    <w:rsid w:val="00702137"/>
    <w:rsid w:val="00702550"/>
    <w:rsid w:val="007114D0"/>
    <w:rsid w:val="00712254"/>
    <w:rsid w:val="00714F47"/>
    <w:rsid w:val="007172AC"/>
    <w:rsid w:val="00723DAF"/>
    <w:rsid w:val="007242B4"/>
    <w:rsid w:val="00724986"/>
    <w:rsid w:val="0072714F"/>
    <w:rsid w:val="007328C3"/>
    <w:rsid w:val="00732B1C"/>
    <w:rsid w:val="00735DE2"/>
    <w:rsid w:val="00755506"/>
    <w:rsid w:val="00755ACE"/>
    <w:rsid w:val="00756EF5"/>
    <w:rsid w:val="00757F0A"/>
    <w:rsid w:val="00761F93"/>
    <w:rsid w:val="00762F15"/>
    <w:rsid w:val="00765D06"/>
    <w:rsid w:val="00771A99"/>
    <w:rsid w:val="00773068"/>
    <w:rsid w:val="007748BA"/>
    <w:rsid w:val="0077557A"/>
    <w:rsid w:val="00775699"/>
    <w:rsid w:val="007948A1"/>
    <w:rsid w:val="007A43D3"/>
    <w:rsid w:val="007A655C"/>
    <w:rsid w:val="007B0D62"/>
    <w:rsid w:val="007B151E"/>
    <w:rsid w:val="007C2EE5"/>
    <w:rsid w:val="007C40B7"/>
    <w:rsid w:val="007D371C"/>
    <w:rsid w:val="007D6972"/>
    <w:rsid w:val="007E0350"/>
    <w:rsid w:val="007E15C4"/>
    <w:rsid w:val="007E27C2"/>
    <w:rsid w:val="007E32B8"/>
    <w:rsid w:val="007E7D1C"/>
    <w:rsid w:val="007F316B"/>
    <w:rsid w:val="008006D0"/>
    <w:rsid w:val="0080190E"/>
    <w:rsid w:val="00810A3A"/>
    <w:rsid w:val="00824E4F"/>
    <w:rsid w:val="00825728"/>
    <w:rsid w:val="00832902"/>
    <w:rsid w:val="00833284"/>
    <w:rsid w:val="00844067"/>
    <w:rsid w:val="00873E7A"/>
    <w:rsid w:val="008743BD"/>
    <w:rsid w:val="00874B32"/>
    <w:rsid w:val="008813A7"/>
    <w:rsid w:val="00891AD4"/>
    <w:rsid w:val="00892123"/>
    <w:rsid w:val="008A42D8"/>
    <w:rsid w:val="008A5AF5"/>
    <w:rsid w:val="008A7037"/>
    <w:rsid w:val="008B5077"/>
    <w:rsid w:val="008B6000"/>
    <w:rsid w:val="008B7004"/>
    <w:rsid w:val="008C0EE6"/>
    <w:rsid w:val="008C251A"/>
    <w:rsid w:val="008E0D8E"/>
    <w:rsid w:val="008E6A06"/>
    <w:rsid w:val="008F40ED"/>
    <w:rsid w:val="0090025B"/>
    <w:rsid w:val="00900606"/>
    <w:rsid w:val="00902BBF"/>
    <w:rsid w:val="00906E3C"/>
    <w:rsid w:val="00911550"/>
    <w:rsid w:val="009163B0"/>
    <w:rsid w:val="009207A8"/>
    <w:rsid w:val="009222E7"/>
    <w:rsid w:val="00926549"/>
    <w:rsid w:val="00930CFC"/>
    <w:rsid w:val="009371AA"/>
    <w:rsid w:val="00942C36"/>
    <w:rsid w:val="00944D63"/>
    <w:rsid w:val="009474F0"/>
    <w:rsid w:val="00963312"/>
    <w:rsid w:val="0098051B"/>
    <w:rsid w:val="009A4AA4"/>
    <w:rsid w:val="009A6E4A"/>
    <w:rsid w:val="009B2CCC"/>
    <w:rsid w:val="009B63D0"/>
    <w:rsid w:val="009B7AAC"/>
    <w:rsid w:val="009C1868"/>
    <w:rsid w:val="009C2957"/>
    <w:rsid w:val="009D6156"/>
    <w:rsid w:val="009F11F1"/>
    <w:rsid w:val="00A0255B"/>
    <w:rsid w:val="00A108CA"/>
    <w:rsid w:val="00A10B98"/>
    <w:rsid w:val="00A11CA7"/>
    <w:rsid w:val="00A13AF1"/>
    <w:rsid w:val="00A16BC0"/>
    <w:rsid w:val="00A23BEC"/>
    <w:rsid w:val="00A27DD7"/>
    <w:rsid w:val="00A3212B"/>
    <w:rsid w:val="00A41ED1"/>
    <w:rsid w:val="00A4714B"/>
    <w:rsid w:val="00A47605"/>
    <w:rsid w:val="00A479A8"/>
    <w:rsid w:val="00A53034"/>
    <w:rsid w:val="00A55A8B"/>
    <w:rsid w:val="00A56DA8"/>
    <w:rsid w:val="00A61D9F"/>
    <w:rsid w:val="00A74187"/>
    <w:rsid w:val="00A83DFA"/>
    <w:rsid w:val="00A92069"/>
    <w:rsid w:val="00A94519"/>
    <w:rsid w:val="00A97E97"/>
    <w:rsid w:val="00AA07E4"/>
    <w:rsid w:val="00AA244E"/>
    <w:rsid w:val="00AB04CF"/>
    <w:rsid w:val="00AB6B18"/>
    <w:rsid w:val="00AB6DE8"/>
    <w:rsid w:val="00AB7723"/>
    <w:rsid w:val="00AC0C63"/>
    <w:rsid w:val="00AC163D"/>
    <w:rsid w:val="00AD2CB1"/>
    <w:rsid w:val="00AE120C"/>
    <w:rsid w:val="00AE1305"/>
    <w:rsid w:val="00AE19E0"/>
    <w:rsid w:val="00AE2EDC"/>
    <w:rsid w:val="00AE353A"/>
    <w:rsid w:val="00AF23DE"/>
    <w:rsid w:val="00AF3FC9"/>
    <w:rsid w:val="00AF5D26"/>
    <w:rsid w:val="00B241F7"/>
    <w:rsid w:val="00B278EE"/>
    <w:rsid w:val="00B324D8"/>
    <w:rsid w:val="00B32D8E"/>
    <w:rsid w:val="00B46EAD"/>
    <w:rsid w:val="00B47F5C"/>
    <w:rsid w:val="00B50F50"/>
    <w:rsid w:val="00B555A7"/>
    <w:rsid w:val="00B5736A"/>
    <w:rsid w:val="00B60BE4"/>
    <w:rsid w:val="00B61132"/>
    <w:rsid w:val="00B648C0"/>
    <w:rsid w:val="00B75DE6"/>
    <w:rsid w:val="00B772F7"/>
    <w:rsid w:val="00B809A5"/>
    <w:rsid w:val="00B863D4"/>
    <w:rsid w:val="00B86A4F"/>
    <w:rsid w:val="00B91038"/>
    <w:rsid w:val="00BA1014"/>
    <w:rsid w:val="00BB4A01"/>
    <w:rsid w:val="00BC4995"/>
    <w:rsid w:val="00BE5000"/>
    <w:rsid w:val="00BE514F"/>
    <w:rsid w:val="00BE7C0A"/>
    <w:rsid w:val="00BF5B0B"/>
    <w:rsid w:val="00BF6D16"/>
    <w:rsid w:val="00C143D7"/>
    <w:rsid w:val="00C206C4"/>
    <w:rsid w:val="00C269FF"/>
    <w:rsid w:val="00C33FED"/>
    <w:rsid w:val="00C353A8"/>
    <w:rsid w:val="00C35F24"/>
    <w:rsid w:val="00C420C5"/>
    <w:rsid w:val="00C47268"/>
    <w:rsid w:val="00C513B7"/>
    <w:rsid w:val="00C52EA9"/>
    <w:rsid w:val="00C605B1"/>
    <w:rsid w:val="00C60C43"/>
    <w:rsid w:val="00C6704F"/>
    <w:rsid w:val="00C738DD"/>
    <w:rsid w:val="00C8093F"/>
    <w:rsid w:val="00C82CDE"/>
    <w:rsid w:val="00C8340C"/>
    <w:rsid w:val="00C84B49"/>
    <w:rsid w:val="00C9309C"/>
    <w:rsid w:val="00CA3339"/>
    <w:rsid w:val="00CA718A"/>
    <w:rsid w:val="00CB1951"/>
    <w:rsid w:val="00CC005A"/>
    <w:rsid w:val="00CC4B5F"/>
    <w:rsid w:val="00CC7E9F"/>
    <w:rsid w:val="00CD2CDC"/>
    <w:rsid w:val="00CE0103"/>
    <w:rsid w:val="00CE167C"/>
    <w:rsid w:val="00CE2B8E"/>
    <w:rsid w:val="00CF0642"/>
    <w:rsid w:val="00CF46AE"/>
    <w:rsid w:val="00CF471D"/>
    <w:rsid w:val="00CF547B"/>
    <w:rsid w:val="00CF7072"/>
    <w:rsid w:val="00D016C1"/>
    <w:rsid w:val="00D01C28"/>
    <w:rsid w:val="00D021B4"/>
    <w:rsid w:val="00D04FD8"/>
    <w:rsid w:val="00D11951"/>
    <w:rsid w:val="00D17B07"/>
    <w:rsid w:val="00D20E28"/>
    <w:rsid w:val="00D25461"/>
    <w:rsid w:val="00D27BA5"/>
    <w:rsid w:val="00D34752"/>
    <w:rsid w:val="00D608E8"/>
    <w:rsid w:val="00D712A5"/>
    <w:rsid w:val="00D71DDB"/>
    <w:rsid w:val="00D726EB"/>
    <w:rsid w:val="00D7384F"/>
    <w:rsid w:val="00D7791A"/>
    <w:rsid w:val="00D802E2"/>
    <w:rsid w:val="00D802F5"/>
    <w:rsid w:val="00D843BD"/>
    <w:rsid w:val="00D87264"/>
    <w:rsid w:val="00DA1C73"/>
    <w:rsid w:val="00DA692E"/>
    <w:rsid w:val="00DA7D2E"/>
    <w:rsid w:val="00DB105C"/>
    <w:rsid w:val="00DB2B89"/>
    <w:rsid w:val="00DB5E97"/>
    <w:rsid w:val="00DC2044"/>
    <w:rsid w:val="00DC28DB"/>
    <w:rsid w:val="00DD2278"/>
    <w:rsid w:val="00DD30BC"/>
    <w:rsid w:val="00DD7731"/>
    <w:rsid w:val="00DE0D69"/>
    <w:rsid w:val="00DE372C"/>
    <w:rsid w:val="00DF45DB"/>
    <w:rsid w:val="00DF5AFC"/>
    <w:rsid w:val="00E0162B"/>
    <w:rsid w:val="00E03E73"/>
    <w:rsid w:val="00E040BE"/>
    <w:rsid w:val="00E1596D"/>
    <w:rsid w:val="00E17914"/>
    <w:rsid w:val="00E241E0"/>
    <w:rsid w:val="00E241E8"/>
    <w:rsid w:val="00E2605B"/>
    <w:rsid w:val="00E26EAE"/>
    <w:rsid w:val="00E33B3B"/>
    <w:rsid w:val="00E412DF"/>
    <w:rsid w:val="00E43249"/>
    <w:rsid w:val="00E47D6C"/>
    <w:rsid w:val="00E50175"/>
    <w:rsid w:val="00E50693"/>
    <w:rsid w:val="00E64B31"/>
    <w:rsid w:val="00E667E5"/>
    <w:rsid w:val="00E70AAC"/>
    <w:rsid w:val="00E7260C"/>
    <w:rsid w:val="00E75EE0"/>
    <w:rsid w:val="00E82346"/>
    <w:rsid w:val="00E914BC"/>
    <w:rsid w:val="00E91CF0"/>
    <w:rsid w:val="00EA1661"/>
    <w:rsid w:val="00EA33C6"/>
    <w:rsid w:val="00EA6453"/>
    <w:rsid w:val="00EB4AF1"/>
    <w:rsid w:val="00EC13B8"/>
    <w:rsid w:val="00EC2E2B"/>
    <w:rsid w:val="00ED4215"/>
    <w:rsid w:val="00ED734E"/>
    <w:rsid w:val="00EE27D2"/>
    <w:rsid w:val="00EE44D8"/>
    <w:rsid w:val="00EF26DC"/>
    <w:rsid w:val="00F053A0"/>
    <w:rsid w:val="00F1368E"/>
    <w:rsid w:val="00F216CB"/>
    <w:rsid w:val="00F25081"/>
    <w:rsid w:val="00F2512F"/>
    <w:rsid w:val="00F3689C"/>
    <w:rsid w:val="00F4038C"/>
    <w:rsid w:val="00F42543"/>
    <w:rsid w:val="00F50C72"/>
    <w:rsid w:val="00F60984"/>
    <w:rsid w:val="00F65F51"/>
    <w:rsid w:val="00F70559"/>
    <w:rsid w:val="00F7467E"/>
    <w:rsid w:val="00F800DB"/>
    <w:rsid w:val="00F845E8"/>
    <w:rsid w:val="00F85000"/>
    <w:rsid w:val="00F86869"/>
    <w:rsid w:val="00F91EC2"/>
    <w:rsid w:val="00F96DB2"/>
    <w:rsid w:val="00FA35EC"/>
    <w:rsid w:val="00FA6E4F"/>
    <w:rsid w:val="00FC4BC5"/>
    <w:rsid w:val="00FD2C46"/>
    <w:rsid w:val="00FE6D66"/>
    <w:rsid w:val="00FF37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AFC"/>
    <w:pPr>
      <w:spacing w:line="480" w:lineRule="auto"/>
    </w:pPr>
    <w:rPr>
      <w:rFonts w:ascii="Times New Roman" w:hAnsi="Times New Roman" w:cs="Times New Roman"/>
      <w:lang w:val="en-GB"/>
    </w:rPr>
  </w:style>
  <w:style w:type="paragraph" w:styleId="Overskrift1">
    <w:name w:val="heading 1"/>
    <w:basedOn w:val="Normal"/>
    <w:next w:val="Normal"/>
    <w:link w:val="Overskrift1Tegn"/>
    <w:uiPriority w:val="9"/>
    <w:qFormat/>
    <w:rsid w:val="002E1C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E1C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565328"/>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565328"/>
    <w:rPr>
      <w:rFonts w:ascii="Calibri" w:hAnsi="Calibri"/>
      <w:szCs w:val="21"/>
    </w:rPr>
  </w:style>
  <w:style w:type="paragraph" w:styleId="Kommentartekst">
    <w:name w:val="annotation text"/>
    <w:basedOn w:val="Normal"/>
    <w:link w:val="KommentartekstTegn"/>
    <w:uiPriority w:val="99"/>
    <w:unhideWhenUsed/>
    <w:rsid w:val="001D736A"/>
    <w:pPr>
      <w:spacing w:line="240" w:lineRule="auto"/>
    </w:pPr>
    <w:rPr>
      <w:sz w:val="20"/>
      <w:szCs w:val="20"/>
    </w:rPr>
  </w:style>
  <w:style w:type="character" w:customStyle="1" w:styleId="KommentartekstTegn">
    <w:name w:val="Kommentartekst Tegn"/>
    <w:basedOn w:val="Standardskrifttypeiafsnit"/>
    <w:link w:val="Kommentartekst"/>
    <w:uiPriority w:val="99"/>
    <w:rsid w:val="001D736A"/>
    <w:rPr>
      <w:sz w:val="20"/>
      <w:szCs w:val="20"/>
      <w:lang w:val="en-GB"/>
    </w:rPr>
  </w:style>
  <w:style w:type="character" w:styleId="Kommentarhenvisning">
    <w:name w:val="annotation reference"/>
    <w:basedOn w:val="Standardskrifttypeiafsnit"/>
    <w:uiPriority w:val="99"/>
    <w:semiHidden/>
    <w:unhideWhenUsed/>
    <w:rsid w:val="001D736A"/>
    <w:rPr>
      <w:sz w:val="16"/>
      <w:szCs w:val="16"/>
    </w:rPr>
  </w:style>
  <w:style w:type="paragraph" w:styleId="Markeringsbobletekst">
    <w:name w:val="Balloon Text"/>
    <w:basedOn w:val="Normal"/>
    <w:link w:val="MarkeringsbobletekstTegn"/>
    <w:uiPriority w:val="99"/>
    <w:semiHidden/>
    <w:unhideWhenUsed/>
    <w:rsid w:val="001D736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D736A"/>
    <w:rPr>
      <w:rFonts w:ascii="Tahoma" w:hAnsi="Tahoma" w:cs="Tahoma"/>
      <w:sz w:val="16"/>
      <w:szCs w:val="16"/>
    </w:rPr>
  </w:style>
  <w:style w:type="paragraph" w:styleId="Listeafsnit">
    <w:name w:val="List Paragraph"/>
    <w:basedOn w:val="Normal"/>
    <w:uiPriority w:val="34"/>
    <w:qFormat/>
    <w:rsid w:val="009A4AA4"/>
    <w:pPr>
      <w:ind w:left="720"/>
      <w:contextualSpacing/>
    </w:pPr>
  </w:style>
  <w:style w:type="paragraph" w:styleId="Kommentaremne">
    <w:name w:val="annotation subject"/>
    <w:basedOn w:val="Kommentartekst"/>
    <w:next w:val="Kommentartekst"/>
    <w:link w:val="KommentaremneTegn"/>
    <w:uiPriority w:val="99"/>
    <w:semiHidden/>
    <w:unhideWhenUsed/>
    <w:rsid w:val="002E1CC9"/>
    <w:rPr>
      <w:b/>
      <w:bCs/>
      <w:lang w:val="da-DK"/>
    </w:rPr>
  </w:style>
  <w:style w:type="character" w:customStyle="1" w:styleId="KommentaremneTegn">
    <w:name w:val="Kommentaremne Tegn"/>
    <w:basedOn w:val="KommentartekstTegn"/>
    <w:link w:val="Kommentaremne"/>
    <w:uiPriority w:val="99"/>
    <w:semiHidden/>
    <w:rsid w:val="002E1CC9"/>
    <w:rPr>
      <w:b/>
      <w:bCs/>
      <w:sz w:val="20"/>
      <w:szCs w:val="20"/>
      <w:lang w:val="en-GB"/>
    </w:rPr>
  </w:style>
  <w:style w:type="character" w:customStyle="1" w:styleId="Overskrift1Tegn">
    <w:name w:val="Overskrift 1 Tegn"/>
    <w:basedOn w:val="Standardskrifttypeiafsnit"/>
    <w:link w:val="Overskrift1"/>
    <w:uiPriority w:val="9"/>
    <w:rsid w:val="002E1CC9"/>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2E1CC9"/>
    <w:rPr>
      <w:rFonts w:asciiTheme="majorHAnsi" w:eastAsiaTheme="majorEastAsia" w:hAnsiTheme="majorHAnsi" w:cstheme="majorBidi"/>
      <w:b/>
      <w:bCs/>
      <w:color w:val="4F81BD" w:themeColor="accent1"/>
      <w:sz w:val="26"/>
      <w:szCs w:val="26"/>
    </w:rPr>
  </w:style>
  <w:style w:type="character" w:styleId="Hyperlink">
    <w:name w:val="Hyperlink"/>
    <w:basedOn w:val="Standardskrifttypeiafsnit"/>
    <w:uiPriority w:val="99"/>
    <w:unhideWhenUsed/>
    <w:rsid w:val="0066672C"/>
    <w:rPr>
      <w:color w:val="0000FF" w:themeColor="hyperlink"/>
      <w:u w:val="single"/>
    </w:rPr>
  </w:style>
  <w:style w:type="paragraph" w:styleId="NormalWeb">
    <w:name w:val="Normal (Web)"/>
    <w:basedOn w:val="Normal"/>
    <w:uiPriority w:val="99"/>
    <w:unhideWhenUsed/>
    <w:rsid w:val="00F85000"/>
    <w:pPr>
      <w:spacing w:before="100" w:beforeAutospacing="1" w:after="100" w:afterAutospacing="1" w:line="240" w:lineRule="auto"/>
    </w:pPr>
    <w:rPr>
      <w:rFonts w:eastAsia="Times New Roman"/>
      <w:sz w:val="24"/>
      <w:szCs w:val="24"/>
      <w:lang w:eastAsia="da-DK"/>
    </w:rPr>
  </w:style>
  <w:style w:type="paragraph" w:styleId="Korrektur">
    <w:name w:val="Revision"/>
    <w:hidden/>
    <w:uiPriority w:val="99"/>
    <w:semiHidden/>
    <w:rsid w:val="006F4EA6"/>
    <w:pPr>
      <w:spacing w:after="0" w:line="240" w:lineRule="auto"/>
    </w:pPr>
    <w:rPr>
      <w:rFonts w:ascii="Times New Roman" w:hAnsi="Times New Roman" w:cs="Times New Roman"/>
      <w:lang w:val="en-GB"/>
    </w:rPr>
  </w:style>
  <w:style w:type="character" w:styleId="BesgtHyperlink">
    <w:name w:val="FollowedHyperlink"/>
    <w:basedOn w:val="Standardskrifttypeiafsnit"/>
    <w:uiPriority w:val="99"/>
    <w:semiHidden/>
    <w:unhideWhenUsed/>
    <w:rsid w:val="00E7260C"/>
    <w:rPr>
      <w:color w:val="800080" w:themeColor="followedHyperlink"/>
      <w:u w:val="single"/>
    </w:rPr>
  </w:style>
  <w:style w:type="character" w:styleId="Linjenummer">
    <w:name w:val="line number"/>
    <w:basedOn w:val="Standardskrifttypeiafsnit"/>
    <w:uiPriority w:val="99"/>
    <w:semiHidden/>
    <w:unhideWhenUsed/>
    <w:rsid w:val="00A53034"/>
  </w:style>
  <w:style w:type="paragraph" w:styleId="Billedtekst">
    <w:name w:val="caption"/>
    <w:basedOn w:val="Normal"/>
    <w:next w:val="Normal"/>
    <w:uiPriority w:val="35"/>
    <w:unhideWhenUsed/>
    <w:qFormat/>
    <w:rsid w:val="00192214"/>
    <w:rPr>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AFC"/>
    <w:pPr>
      <w:spacing w:line="480" w:lineRule="auto"/>
    </w:pPr>
    <w:rPr>
      <w:rFonts w:ascii="Times New Roman" w:hAnsi="Times New Roman" w:cs="Times New Roman"/>
      <w:lang w:val="en-GB"/>
    </w:rPr>
  </w:style>
  <w:style w:type="paragraph" w:styleId="Overskrift1">
    <w:name w:val="heading 1"/>
    <w:basedOn w:val="Normal"/>
    <w:next w:val="Normal"/>
    <w:link w:val="Overskrift1Tegn"/>
    <w:uiPriority w:val="9"/>
    <w:qFormat/>
    <w:rsid w:val="002E1C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E1C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565328"/>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565328"/>
    <w:rPr>
      <w:rFonts w:ascii="Calibri" w:hAnsi="Calibri"/>
      <w:szCs w:val="21"/>
    </w:rPr>
  </w:style>
  <w:style w:type="paragraph" w:styleId="Kommentartekst">
    <w:name w:val="annotation text"/>
    <w:basedOn w:val="Normal"/>
    <w:link w:val="KommentartekstTegn"/>
    <w:uiPriority w:val="99"/>
    <w:unhideWhenUsed/>
    <w:rsid w:val="001D736A"/>
    <w:pPr>
      <w:spacing w:line="240" w:lineRule="auto"/>
    </w:pPr>
    <w:rPr>
      <w:sz w:val="20"/>
      <w:szCs w:val="20"/>
    </w:rPr>
  </w:style>
  <w:style w:type="character" w:customStyle="1" w:styleId="KommentartekstTegn">
    <w:name w:val="Kommentartekst Tegn"/>
    <w:basedOn w:val="Standardskrifttypeiafsnit"/>
    <w:link w:val="Kommentartekst"/>
    <w:uiPriority w:val="99"/>
    <w:rsid w:val="001D736A"/>
    <w:rPr>
      <w:sz w:val="20"/>
      <w:szCs w:val="20"/>
      <w:lang w:val="en-GB"/>
    </w:rPr>
  </w:style>
  <w:style w:type="character" w:styleId="Kommentarhenvisning">
    <w:name w:val="annotation reference"/>
    <w:basedOn w:val="Standardskrifttypeiafsnit"/>
    <w:uiPriority w:val="99"/>
    <w:semiHidden/>
    <w:unhideWhenUsed/>
    <w:rsid w:val="001D736A"/>
    <w:rPr>
      <w:sz w:val="16"/>
      <w:szCs w:val="16"/>
    </w:rPr>
  </w:style>
  <w:style w:type="paragraph" w:styleId="Markeringsbobletekst">
    <w:name w:val="Balloon Text"/>
    <w:basedOn w:val="Normal"/>
    <w:link w:val="MarkeringsbobletekstTegn"/>
    <w:uiPriority w:val="99"/>
    <w:semiHidden/>
    <w:unhideWhenUsed/>
    <w:rsid w:val="001D736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D736A"/>
    <w:rPr>
      <w:rFonts w:ascii="Tahoma" w:hAnsi="Tahoma" w:cs="Tahoma"/>
      <w:sz w:val="16"/>
      <w:szCs w:val="16"/>
    </w:rPr>
  </w:style>
  <w:style w:type="paragraph" w:styleId="Listeafsnit">
    <w:name w:val="List Paragraph"/>
    <w:basedOn w:val="Normal"/>
    <w:uiPriority w:val="34"/>
    <w:qFormat/>
    <w:rsid w:val="009A4AA4"/>
    <w:pPr>
      <w:ind w:left="720"/>
      <w:contextualSpacing/>
    </w:pPr>
  </w:style>
  <w:style w:type="paragraph" w:styleId="Kommentaremne">
    <w:name w:val="annotation subject"/>
    <w:basedOn w:val="Kommentartekst"/>
    <w:next w:val="Kommentartekst"/>
    <w:link w:val="KommentaremneTegn"/>
    <w:uiPriority w:val="99"/>
    <w:semiHidden/>
    <w:unhideWhenUsed/>
    <w:rsid w:val="002E1CC9"/>
    <w:rPr>
      <w:b/>
      <w:bCs/>
      <w:lang w:val="da-DK"/>
    </w:rPr>
  </w:style>
  <w:style w:type="character" w:customStyle="1" w:styleId="KommentaremneTegn">
    <w:name w:val="Kommentaremne Tegn"/>
    <w:basedOn w:val="KommentartekstTegn"/>
    <w:link w:val="Kommentaremne"/>
    <w:uiPriority w:val="99"/>
    <w:semiHidden/>
    <w:rsid w:val="002E1CC9"/>
    <w:rPr>
      <w:b/>
      <w:bCs/>
      <w:sz w:val="20"/>
      <w:szCs w:val="20"/>
      <w:lang w:val="en-GB"/>
    </w:rPr>
  </w:style>
  <w:style w:type="character" w:customStyle="1" w:styleId="Overskrift1Tegn">
    <w:name w:val="Overskrift 1 Tegn"/>
    <w:basedOn w:val="Standardskrifttypeiafsnit"/>
    <w:link w:val="Overskrift1"/>
    <w:uiPriority w:val="9"/>
    <w:rsid w:val="002E1CC9"/>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2E1CC9"/>
    <w:rPr>
      <w:rFonts w:asciiTheme="majorHAnsi" w:eastAsiaTheme="majorEastAsia" w:hAnsiTheme="majorHAnsi" w:cstheme="majorBidi"/>
      <w:b/>
      <w:bCs/>
      <w:color w:val="4F81BD" w:themeColor="accent1"/>
      <w:sz w:val="26"/>
      <w:szCs w:val="26"/>
    </w:rPr>
  </w:style>
  <w:style w:type="character" w:styleId="Hyperlink">
    <w:name w:val="Hyperlink"/>
    <w:basedOn w:val="Standardskrifttypeiafsnit"/>
    <w:uiPriority w:val="99"/>
    <w:unhideWhenUsed/>
    <w:rsid w:val="0066672C"/>
    <w:rPr>
      <w:color w:val="0000FF" w:themeColor="hyperlink"/>
      <w:u w:val="single"/>
    </w:rPr>
  </w:style>
  <w:style w:type="paragraph" w:styleId="NormalWeb">
    <w:name w:val="Normal (Web)"/>
    <w:basedOn w:val="Normal"/>
    <w:uiPriority w:val="99"/>
    <w:unhideWhenUsed/>
    <w:rsid w:val="00F85000"/>
    <w:pPr>
      <w:spacing w:before="100" w:beforeAutospacing="1" w:after="100" w:afterAutospacing="1" w:line="240" w:lineRule="auto"/>
    </w:pPr>
    <w:rPr>
      <w:rFonts w:eastAsia="Times New Roman"/>
      <w:sz w:val="24"/>
      <w:szCs w:val="24"/>
      <w:lang w:eastAsia="da-DK"/>
    </w:rPr>
  </w:style>
  <w:style w:type="paragraph" w:styleId="Korrektur">
    <w:name w:val="Revision"/>
    <w:hidden/>
    <w:uiPriority w:val="99"/>
    <w:semiHidden/>
    <w:rsid w:val="006F4EA6"/>
    <w:pPr>
      <w:spacing w:after="0" w:line="240" w:lineRule="auto"/>
    </w:pPr>
    <w:rPr>
      <w:rFonts w:ascii="Times New Roman" w:hAnsi="Times New Roman" w:cs="Times New Roman"/>
      <w:lang w:val="en-GB"/>
    </w:rPr>
  </w:style>
  <w:style w:type="character" w:styleId="BesgtHyperlink">
    <w:name w:val="FollowedHyperlink"/>
    <w:basedOn w:val="Standardskrifttypeiafsnit"/>
    <w:uiPriority w:val="99"/>
    <w:semiHidden/>
    <w:unhideWhenUsed/>
    <w:rsid w:val="00E7260C"/>
    <w:rPr>
      <w:color w:val="800080" w:themeColor="followedHyperlink"/>
      <w:u w:val="single"/>
    </w:rPr>
  </w:style>
  <w:style w:type="character" w:styleId="Linjenummer">
    <w:name w:val="line number"/>
    <w:basedOn w:val="Standardskrifttypeiafsnit"/>
    <w:uiPriority w:val="99"/>
    <w:semiHidden/>
    <w:unhideWhenUsed/>
    <w:rsid w:val="00A53034"/>
  </w:style>
  <w:style w:type="paragraph" w:styleId="Billedtekst">
    <w:name w:val="caption"/>
    <w:basedOn w:val="Normal"/>
    <w:next w:val="Normal"/>
    <w:uiPriority w:val="35"/>
    <w:unhideWhenUsed/>
    <w:qFormat/>
    <w:rsid w:val="00192214"/>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3971">
      <w:bodyDiv w:val="1"/>
      <w:marLeft w:val="0"/>
      <w:marRight w:val="0"/>
      <w:marTop w:val="0"/>
      <w:marBottom w:val="0"/>
      <w:divBdr>
        <w:top w:val="none" w:sz="0" w:space="0" w:color="auto"/>
        <w:left w:val="none" w:sz="0" w:space="0" w:color="auto"/>
        <w:bottom w:val="none" w:sz="0" w:space="0" w:color="auto"/>
        <w:right w:val="none" w:sz="0" w:space="0" w:color="auto"/>
      </w:divBdr>
    </w:div>
    <w:div w:id="125970434">
      <w:bodyDiv w:val="1"/>
      <w:marLeft w:val="0"/>
      <w:marRight w:val="0"/>
      <w:marTop w:val="0"/>
      <w:marBottom w:val="0"/>
      <w:divBdr>
        <w:top w:val="none" w:sz="0" w:space="0" w:color="auto"/>
        <w:left w:val="none" w:sz="0" w:space="0" w:color="auto"/>
        <w:bottom w:val="none" w:sz="0" w:space="0" w:color="auto"/>
        <w:right w:val="none" w:sz="0" w:space="0" w:color="auto"/>
      </w:divBdr>
    </w:div>
    <w:div w:id="493684425">
      <w:bodyDiv w:val="1"/>
      <w:marLeft w:val="0"/>
      <w:marRight w:val="0"/>
      <w:marTop w:val="0"/>
      <w:marBottom w:val="0"/>
      <w:divBdr>
        <w:top w:val="none" w:sz="0" w:space="0" w:color="auto"/>
        <w:left w:val="none" w:sz="0" w:space="0" w:color="auto"/>
        <w:bottom w:val="none" w:sz="0" w:space="0" w:color="auto"/>
        <w:right w:val="none" w:sz="0" w:space="0" w:color="auto"/>
      </w:divBdr>
    </w:div>
    <w:div w:id="207172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1FCC0-1320-48CE-9AD7-5508F3280E95}">
  <ds:schemaRefs>
    <ds:schemaRef ds:uri="http://schemas.openxmlformats.org/officeDocument/2006/bibliography"/>
  </ds:schemaRefs>
</ds:datastoreItem>
</file>

<file path=customXml/itemProps2.xml><?xml version="1.0" encoding="utf-8"?>
<ds:datastoreItem xmlns:ds="http://schemas.openxmlformats.org/officeDocument/2006/customXml" ds:itemID="{780076C8-A0BE-4FD0-8E4D-4BEA9685BDA0}">
  <ds:schemaRefs>
    <ds:schemaRef ds:uri="http://schemas.openxmlformats.org/officeDocument/2006/bibliography"/>
  </ds:schemaRefs>
</ds:datastoreItem>
</file>

<file path=customXml/itemProps3.xml><?xml version="1.0" encoding="utf-8"?>
<ds:datastoreItem xmlns:ds="http://schemas.openxmlformats.org/officeDocument/2006/customXml" ds:itemID="{9D3660B8-A3F5-4884-AE0C-7362CA4F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25627</Words>
  <Characters>156328</Characters>
  <Application>Microsoft Office Word</Application>
  <DocSecurity>0</DocSecurity>
  <Lines>1302</Lines>
  <Paragraphs>363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DTU AQUA</Company>
  <LinksUpToDate>false</LinksUpToDate>
  <CharactersWithSpaces>181592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Ulrich</dc:creator>
  <cp:lastModifiedBy>Carina Anderberg</cp:lastModifiedBy>
  <cp:revision>2</cp:revision>
  <dcterms:created xsi:type="dcterms:W3CDTF">2017-11-14T08:56:00Z</dcterms:created>
  <dcterms:modified xsi:type="dcterms:W3CDTF">2017-11-14T08:56:00Z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clu@aqua.dtu.dk@www.mendeley.com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