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F7" w:rsidRDefault="00311661" w:rsidP="00A51148">
      <w:pPr>
        <w:pStyle w:val="quaetitrechapitre"/>
        <w:suppressLineNumbers w:val="0"/>
        <w:spacing w:line="480" w:lineRule="auto"/>
        <w:jc w:val="both"/>
        <w:rPr>
          <w:lang w:val="en-US"/>
        </w:rPr>
      </w:pPr>
      <w:r>
        <w:rPr>
          <w:lang w:val="en-US"/>
        </w:rPr>
        <w:t xml:space="preserve">A </w:t>
      </w:r>
      <w:bookmarkStart w:id="0" w:name="_GoBack"/>
      <w:r>
        <w:rPr>
          <w:lang w:val="en-US"/>
        </w:rPr>
        <w:t xml:space="preserve">comparative review of fisheries management experiences </w:t>
      </w:r>
      <w:bookmarkEnd w:id="0"/>
      <w:r>
        <w:rPr>
          <w:lang w:val="en-US"/>
        </w:rPr>
        <w:t xml:space="preserve">in the </w:t>
      </w:r>
      <w:r w:rsidR="002026F4">
        <w:rPr>
          <w:lang w:val="en-US"/>
        </w:rPr>
        <w:t>European Union</w:t>
      </w:r>
      <w:r w:rsidR="002D5697">
        <w:rPr>
          <w:lang w:val="en-US"/>
        </w:rPr>
        <w:t xml:space="preserve"> and in other countries worldwide: </w:t>
      </w:r>
      <w:r w:rsidR="00A012F7">
        <w:rPr>
          <w:lang w:val="en-US"/>
        </w:rPr>
        <w:t>Iceland, Australia and New Zealand</w:t>
      </w:r>
    </w:p>
    <w:p w:rsidR="00F6543B" w:rsidRDefault="00FB48CA" w:rsidP="00A51148">
      <w:pPr>
        <w:suppressLineNumbers w:val="0"/>
        <w:spacing w:line="480" w:lineRule="auto"/>
        <w:ind w:right="283"/>
        <w:rPr>
          <w:sz w:val="20"/>
          <w:lang w:val="en-US"/>
        </w:rPr>
      </w:pPr>
      <w:r w:rsidRPr="0040261F">
        <w:rPr>
          <w:sz w:val="20"/>
          <w:lang w:val="en-US"/>
        </w:rPr>
        <w:t>Paul Marchal</w:t>
      </w:r>
      <w:r w:rsidR="006B5717">
        <w:rPr>
          <w:sz w:val="20"/>
          <w:vertAlign w:val="superscript"/>
          <w:lang w:val="en-US"/>
        </w:rPr>
        <w:t>*,1</w:t>
      </w:r>
      <w:r w:rsidR="00F6543B">
        <w:rPr>
          <w:sz w:val="20"/>
          <w:lang w:val="en-US"/>
        </w:rPr>
        <w:t>,</w:t>
      </w:r>
      <w:r w:rsidR="00B34467">
        <w:rPr>
          <w:sz w:val="20"/>
          <w:lang w:val="en-US"/>
        </w:rPr>
        <w:t xml:space="preserve"> Jesper Levring Andersen</w:t>
      </w:r>
      <w:r w:rsidR="00B34467" w:rsidRPr="00B34467">
        <w:rPr>
          <w:sz w:val="20"/>
          <w:vertAlign w:val="superscript"/>
          <w:lang w:val="en-US"/>
        </w:rPr>
        <w:t>2</w:t>
      </w:r>
      <w:r w:rsidR="00B34467">
        <w:rPr>
          <w:sz w:val="20"/>
          <w:lang w:val="en-US"/>
        </w:rPr>
        <w:t xml:space="preserve">, </w:t>
      </w:r>
      <w:r w:rsidR="002B6AEB">
        <w:rPr>
          <w:sz w:val="20"/>
          <w:lang w:val="en-US"/>
        </w:rPr>
        <w:t>Martin Aranda</w:t>
      </w:r>
      <w:r w:rsidR="002B6AEB" w:rsidRPr="00D764B5">
        <w:rPr>
          <w:sz w:val="20"/>
          <w:vertAlign w:val="superscript"/>
          <w:lang w:val="en-US"/>
        </w:rPr>
        <w:t>3</w:t>
      </w:r>
      <w:r w:rsidR="002B6AEB">
        <w:rPr>
          <w:sz w:val="20"/>
          <w:lang w:val="en-US"/>
        </w:rPr>
        <w:t>, Mike Fitzpatrick</w:t>
      </w:r>
      <w:r w:rsidR="002B6AEB" w:rsidRPr="00D764B5">
        <w:rPr>
          <w:sz w:val="20"/>
          <w:vertAlign w:val="superscript"/>
          <w:lang w:val="en-US"/>
        </w:rPr>
        <w:t>4</w:t>
      </w:r>
      <w:r w:rsidR="002B6AEB">
        <w:rPr>
          <w:sz w:val="20"/>
          <w:lang w:val="en-US"/>
        </w:rPr>
        <w:t xml:space="preserve">, </w:t>
      </w:r>
      <w:r w:rsidR="00B34467">
        <w:rPr>
          <w:sz w:val="20"/>
          <w:lang w:val="en-US"/>
        </w:rPr>
        <w:t xml:space="preserve">Leyre </w:t>
      </w:r>
      <w:r w:rsidR="002B6AEB">
        <w:rPr>
          <w:sz w:val="20"/>
          <w:lang w:val="en-US"/>
        </w:rPr>
        <w:t>Goti</w:t>
      </w:r>
      <w:r w:rsidR="002B6AEB">
        <w:rPr>
          <w:sz w:val="20"/>
          <w:vertAlign w:val="superscript"/>
          <w:lang w:val="en-US"/>
        </w:rPr>
        <w:t>5</w:t>
      </w:r>
      <w:r w:rsidR="00B34467">
        <w:rPr>
          <w:sz w:val="20"/>
          <w:lang w:val="en-US"/>
        </w:rPr>
        <w:t xml:space="preserve">, Olivier </w:t>
      </w:r>
      <w:r w:rsidR="002B6AEB">
        <w:rPr>
          <w:sz w:val="20"/>
          <w:lang w:val="en-US"/>
        </w:rPr>
        <w:t>Guyader</w:t>
      </w:r>
      <w:r w:rsidR="002B6AEB">
        <w:rPr>
          <w:sz w:val="20"/>
          <w:vertAlign w:val="superscript"/>
          <w:lang w:val="en-US"/>
        </w:rPr>
        <w:t>6</w:t>
      </w:r>
      <w:r w:rsidR="00B34467">
        <w:rPr>
          <w:sz w:val="20"/>
          <w:lang w:val="en-US"/>
        </w:rPr>
        <w:t xml:space="preserve">, Gunnar </w:t>
      </w:r>
      <w:r w:rsidR="002B6AEB">
        <w:rPr>
          <w:sz w:val="20"/>
          <w:lang w:val="en-US"/>
        </w:rPr>
        <w:t>Haraldsson</w:t>
      </w:r>
      <w:r w:rsidR="002B6AEB">
        <w:rPr>
          <w:sz w:val="20"/>
          <w:vertAlign w:val="superscript"/>
          <w:lang w:val="en-US"/>
        </w:rPr>
        <w:t>7</w:t>
      </w:r>
      <w:r w:rsidR="00B34467">
        <w:rPr>
          <w:sz w:val="20"/>
          <w:lang w:val="en-US"/>
        </w:rPr>
        <w:t xml:space="preserve">, </w:t>
      </w:r>
      <w:r w:rsidR="002B6AEB">
        <w:rPr>
          <w:sz w:val="20"/>
          <w:lang w:val="en-US"/>
        </w:rPr>
        <w:t>Aaron Hatcher</w:t>
      </w:r>
      <w:r w:rsidR="002B6AEB" w:rsidRPr="00D764B5">
        <w:rPr>
          <w:sz w:val="20"/>
          <w:vertAlign w:val="superscript"/>
          <w:lang w:val="en-US"/>
        </w:rPr>
        <w:t>8</w:t>
      </w:r>
      <w:r w:rsidR="002B6AEB">
        <w:rPr>
          <w:sz w:val="20"/>
          <w:lang w:val="en-US"/>
        </w:rPr>
        <w:t xml:space="preserve">, </w:t>
      </w:r>
      <w:r w:rsidR="00B34467">
        <w:rPr>
          <w:sz w:val="20"/>
          <w:lang w:val="en-US"/>
        </w:rPr>
        <w:t>Troels Ja</w:t>
      </w:r>
      <w:r w:rsidR="00451A45">
        <w:rPr>
          <w:sz w:val="20"/>
          <w:lang w:val="en-US"/>
        </w:rPr>
        <w:t>c</w:t>
      </w:r>
      <w:r w:rsidR="00B34467">
        <w:rPr>
          <w:sz w:val="20"/>
          <w:lang w:val="en-US"/>
        </w:rPr>
        <w:t xml:space="preserve">ob </w:t>
      </w:r>
      <w:r w:rsidR="002B6AEB">
        <w:rPr>
          <w:sz w:val="20"/>
          <w:lang w:val="en-US"/>
        </w:rPr>
        <w:t>Hegland</w:t>
      </w:r>
      <w:r w:rsidR="002B6AEB">
        <w:rPr>
          <w:sz w:val="20"/>
          <w:vertAlign w:val="superscript"/>
          <w:lang w:val="en-US"/>
        </w:rPr>
        <w:t>9</w:t>
      </w:r>
      <w:r w:rsidR="00B34467">
        <w:rPr>
          <w:sz w:val="20"/>
          <w:lang w:val="en-US"/>
        </w:rPr>
        <w:t xml:space="preserve">, </w:t>
      </w:r>
      <w:r w:rsidR="00940F8B">
        <w:rPr>
          <w:sz w:val="20"/>
          <w:lang w:val="en-US"/>
        </w:rPr>
        <w:t>Pascal Le Floc’h</w:t>
      </w:r>
      <w:r w:rsidR="002B6AEB">
        <w:rPr>
          <w:sz w:val="20"/>
          <w:vertAlign w:val="superscript"/>
          <w:lang w:val="en-US"/>
        </w:rPr>
        <w:t>10</w:t>
      </w:r>
      <w:r w:rsidR="00940F8B">
        <w:rPr>
          <w:sz w:val="20"/>
          <w:lang w:val="en-US"/>
        </w:rPr>
        <w:t xml:space="preserve">, </w:t>
      </w:r>
      <w:r w:rsidR="00B34467">
        <w:rPr>
          <w:sz w:val="20"/>
          <w:lang w:val="en-US"/>
        </w:rPr>
        <w:t xml:space="preserve">Claire </w:t>
      </w:r>
      <w:r w:rsidR="002B6AEB">
        <w:rPr>
          <w:sz w:val="20"/>
          <w:lang w:val="en-US"/>
        </w:rPr>
        <w:t>Macher</w:t>
      </w:r>
      <w:r w:rsidR="002B6AEB">
        <w:rPr>
          <w:sz w:val="20"/>
          <w:vertAlign w:val="superscript"/>
          <w:lang w:val="en-US"/>
        </w:rPr>
        <w:t>6</w:t>
      </w:r>
      <w:r w:rsidR="00B34467">
        <w:rPr>
          <w:sz w:val="20"/>
          <w:lang w:val="en-US"/>
        </w:rPr>
        <w:t xml:space="preserve">, Loretta </w:t>
      </w:r>
      <w:r w:rsidR="00C47B7F">
        <w:rPr>
          <w:sz w:val="20"/>
          <w:lang w:val="en-US"/>
        </w:rPr>
        <w:t>Malvarosa</w:t>
      </w:r>
      <w:r w:rsidR="00C47B7F">
        <w:rPr>
          <w:sz w:val="20"/>
          <w:vertAlign w:val="superscript"/>
          <w:lang w:val="en-US"/>
        </w:rPr>
        <w:t>11</w:t>
      </w:r>
      <w:r w:rsidR="00B34467">
        <w:rPr>
          <w:sz w:val="20"/>
          <w:lang w:val="en-US"/>
        </w:rPr>
        <w:t xml:space="preserve">, </w:t>
      </w:r>
      <w:r w:rsidR="00B34467" w:rsidRPr="00916DD1">
        <w:rPr>
          <w:sz w:val="20"/>
          <w:lang w:val="en-US"/>
        </w:rPr>
        <w:t xml:space="preserve">Christos </w:t>
      </w:r>
      <w:r w:rsidR="00956F4F" w:rsidRPr="00916DD1">
        <w:rPr>
          <w:sz w:val="20"/>
          <w:lang w:val="en-US"/>
        </w:rPr>
        <w:t xml:space="preserve">D. </w:t>
      </w:r>
      <w:r w:rsidR="00C47B7F" w:rsidRPr="00916DD1">
        <w:rPr>
          <w:sz w:val="20"/>
          <w:lang w:val="en-US"/>
        </w:rPr>
        <w:t>Maravelias</w:t>
      </w:r>
      <w:r w:rsidR="00C47B7F" w:rsidRPr="00916DD1">
        <w:rPr>
          <w:sz w:val="20"/>
          <w:vertAlign w:val="superscript"/>
          <w:lang w:val="en-US"/>
        </w:rPr>
        <w:t>12</w:t>
      </w:r>
      <w:r w:rsidR="00B34467" w:rsidRPr="00916DD1">
        <w:rPr>
          <w:sz w:val="20"/>
          <w:lang w:val="en-US"/>
        </w:rPr>
        <w:t>, Simon Mardle</w:t>
      </w:r>
      <w:r w:rsidR="00670F1D" w:rsidRPr="00916DD1">
        <w:rPr>
          <w:sz w:val="20"/>
          <w:vertAlign w:val="superscript"/>
          <w:lang w:val="en-US"/>
        </w:rPr>
        <w:t>2</w:t>
      </w:r>
      <w:r w:rsidR="00B34467" w:rsidRPr="00916DD1">
        <w:rPr>
          <w:sz w:val="20"/>
          <w:lang w:val="en-US"/>
        </w:rPr>
        <w:t xml:space="preserve">, </w:t>
      </w:r>
      <w:r w:rsidR="00C47B7F" w:rsidRPr="00916DD1">
        <w:rPr>
          <w:sz w:val="20"/>
          <w:lang w:val="en-US"/>
        </w:rPr>
        <w:t>Arantza Murillas</w:t>
      </w:r>
      <w:r w:rsidR="00C47B7F" w:rsidRPr="00916DD1">
        <w:rPr>
          <w:sz w:val="20"/>
          <w:vertAlign w:val="superscript"/>
          <w:lang w:val="en-US"/>
        </w:rPr>
        <w:t>3</w:t>
      </w:r>
      <w:r w:rsidR="00C47B7F" w:rsidRPr="00916DD1">
        <w:rPr>
          <w:sz w:val="20"/>
          <w:lang w:val="en-US"/>
        </w:rPr>
        <w:t xml:space="preserve">, </w:t>
      </w:r>
      <w:r w:rsidR="00745755">
        <w:rPr>
          <w:sz w:val="20"/>
          <w:lang w:val="en-US"/>
        </w:rPr>
        <w:t xml:space="preserve">J. </w:t>
      </w:r>
      <w:r w:rsidR="00C47B7F" w:rsidRPr="00916DD1">
        <w:rPr>
          <w:sz w:val="20"/>
          <w:lang w:val="en-US"/>
        </w:rPr>
        <w:t>Rasmus Nielsen</w:t>
      </w:r>
      <w:r w:rsidR="00C47B7F" w:rsidRPr="00916DD1">
        <w:rPr>
          <w:sz w:val="20"/>
          <w:vertAlign w:val="superscript"/>
          <w:lang w:val="en-US"/>
        </w:rPr>
        <w:t>13</w:t>
      </w:r>
      <w:r w:rsidR="00C47B7F" w:rsidRPr="00916DD1">
        <w:rPr>
          <w:sz w:val="20"/>
          <w:lang w:val="en-US"/>
        </w:rPr>
        <w:t xml:space="preserve">, </w:t>
      </w:r>
      <w:r w:rsidR="002B6AEB" w:rsidRPr="00916DD1">
        <w:rPr>
          <w:sz w:val="20"/>
          <w:lang w:val="en-US"/>
        </w:rPr>
        <w:t xml:space="preserve">Rosaria </w:t>
      </w:r>
      <w:r w:rsidR="00C47B7F" w:rsidRPr="00916DD1">
        <w:rPr>
          <w:sz w:val="20"/>
          <w:lang w:val="en-US"/>
        </w:rPr>
        <w:t>Sabatella</w:t>
      </w:r>
      <w:r w:rsidR="00C47B7F" w:rsidRPr="00916DD1">
        <w:rPr>
          <w:sz w:val="20"/>
          <w:vertAlign w:val="superscript"/>
          <w:lang w:val="en-US"/>
        </w:rPr>
        <w:t>11</w:t>
      </w:r>
      <w:r w:rsidR="002B6AEB" w:rsidRPr="00916DD1">
        <w:rPr>
          <w:sz w:val="20"/>
          <w:lang w:val="en-US"/>
        </w:rPr>
        <w:t xml:space="preserve">, </w:t>
      </w:r>
      <w:r w:rsidR="00820454" w:rsidRPr="00916DD1">
        <w:rPr>
          <w:sz w:val="20"/>
          <w:lang w:val="en-US"/>
        </w:rPr>
        <w:t xml:space="preserve">Anthony </w:t>
      </w:r>
      <w:r w:rsidR="00916DD1" w:rsidRPr="00916DD1">
        <w:rPr>
          <w:sz w:val="20"/>
          <w:lang w:val="en-US"/>
        </w:rPr>
        <w:t xml:space="preserve">D.M. </w:t>
      </w:r>
      <w:r w:rsidR="00820454" w:rsidRPr="00916DD1">
        <w:rPr>
          <w:sz w:val="20"/>
          <w:lang w:val="en-US"/>
        </w:rPr>
        <w:t>Smith</w:t>
      </w:r>
      <w:r w:rsidR="00916DD1" w:rsidRPr="00916DD1">
        <w:rPr>
          <w:sz w:val="20"/>
          <w:vertAlign w:val="superscript"/>
          <w:lang w:val="en-US"/>
        </w:rPr>
        <w:t>14</w:t>
      </w:r>
      <w:r w:rsidR="00820454" w:rsidRPr="00916DD1">
        <w:rPr>
          <w:sz w:val="20"/>
          <w:lang w:val="en-US"/>
        </w:rPr>
        <w:t>, Kevin Stokes</w:t>
      </w:r>
      <w:r w:rsidR="00916DD1" w:rsidRPr="00916DD1">
        <w:rPr>
          <w:sz w:val="20"/>
          <w:vertAlign w:val="superscript"/>
          <w:lang w:val="en-US"/>
        </w:rPr>
        <w:t>15</w:t>
      </w:r>
      <w:r w:rsidR="00820454" w:rsidRPr="00916DD1">
        <w:rPr>
          <w:sz w:val="20"/>
          <w:lang w:val="en-US"/>
        </w:rPr>
        <w:t xml:space="preserve">, </w:t>
      </w:r>
      <w:r w:rsidR="00B34467" w:rsidRPr="00916DD1">
        <w:rPr>
          <w:sz w:val="20"/>
          <w:lang w:val="en-US"/>
        </w:rPr>
        <w:t>Thomas Thoegersen</w:t>
      </w:r>
      <w:r w:rsidR="00AD519D">
        <w:rPr>
          <w:sz w:val="20"/>
          <w:vertAlign w:val="superscript"/>
          <w:lang w:val="en-US"/>
        </w:rPr>
        <w:t>13</w:t>
      </w:r>
      <w:r w:rsidR="00B34467" w:rsidRPr="00916DD1">
        <w:rPr>
          <w:sz w:val="20"/>
          <w:lang w:val="en-US"/>
        </w:rPr>
        <w:t xml:space="preserve"> and Clara </w:t>
      </w:r>
      <w:r w:rsidR="00C47B7F" w:rsidRPr="00916DD1">
        <w:rPr>
          <w:sz w:val="20"/>
          <w:lang w:val="en-US"/>
        </w:rPr>
        <w:t>Ulrich</w:t>
      </w:r>
      <w:r w:rsidR="00C47B7F" w:rsidRPr="00916DD1">
        <w:rPr>
          <w:sz w:val="20"/>
          <w:vertAlign w:val="superscript"/>
          <w:lang w:val="en-US"/>
        </w:rPr>
        <w:t>13</w:t>
      </w:r>
    </w:p>
    <w:p w:rsidR="0040261F" w:rsidRPr="0040261F" w:rsidRDefault="0040261F" w:rsidP="00A51148">
      <w:pPr>
        <w:suppressLineNumbers w:val="0"/>
        <w:spacing w:line="480" w:lineRule="auto"/>
        <w:ind w:right="283"/>
        <w:rPr>
          <w:i/>
          <w:sz w:val="20"/>
          <w:lang w:val="en-US"/>
        </w:rPr>
      </w:pPr>
      <w:r w:rsidRPr="0040261F">
        <w:rPr>
          <w:i/>
          <w:sz w:val="20"/>
          <w:lang w:val="en-US"/>
        </w:rPr>
        <w:t>*</w:t>
      </w:r>
      <w:r w:rsidRPr="0040261F">
        <w:rPr>
          <w:i/>
          <w:sz w:val="20"/>
          <w:lang w:val="en-US"/>
        </w:rPr>
        <w:tab/>
        <w:t>Corresponding author</w:t>
      </w:r>
    </w:p>
    <w:p w:rsidR="00FB48CA" w:rsidRDefault="00FB48CA"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 xml:space="preserve">IFREMER, Channel and North Sea Fisheries </w:t>
      </w:r>
      <w:r w:rsidR="00B34467">
        <w:rPr>
          <w:i/>
          <w:iCs/>
          <w:sz w:val="20"/>
          <w:lang w:val="en-NZ"/>
        </w:rPr>
        <w:t>Research Unit</w:t>
      </w:r>
      <w:r>
        <w:rPr>
          <w:i/>
          <w:iCs/>
          <w:sz w:val="20"/>
          <w:lang w:val="en-NZ"/>
        </w:rPr>
        <w:t xml:space="preserve">, 150 Quai Gambetta, BP 699, 62321 Boulogne s/mer, France [tel: +33 321 99 56 00, fax: +33 321 99 56 01, e-mail: </w:t>
      </w:r>
      <w:hyperlink r:id="rId9" w:history="1">
        <w:r>
          <w:rPr>
            <w:rStyle w:val="Hyperlink"/>
            <w:i/>
            <w:iCs/>
            <w:sz w:val="20"/>
            <w:lang w:val="en-NZ"/>
          </w:rPr>
          <w:t>paul.marchal@ifremer.fr</w:t>
        </w:r>
      </w:hyperlink>
      <w:r>
        <w:rPr>
          <w:i/>
          <w:iCs/>
          <w:sz w:val="20"/>
          <w:lang w:val="en-NZ"/>
        </w:rPr>
        <w:t>]</w:t>
      </w:r>
    </w:p>
    <w:p w:rsidR="00F6543B" w:rsidRDefault="00B34467"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 xml:space="preserve">University of Copenhagen, </w:t>
      </w:r>
      <w:r w:rsidR="00AD519D">
        <w:rPr>
          <w:i/>
          <w:iCs/>
          <w:sz w:val="20"/>
          <w:lang w:val="en-NZ"/>
        </w:rPr>
        <w:t>Department of Food and Resource Economics</w:t>
      </w:r>
      <w:r w:rsidR="00670F1D">
        <w:rPr>
          <w:i/>
          <w:iCs/>
          <w:sz w:val="20"/>
          <w:lang w:val="en-NZ"/>
        </w:rPr>
        <w:t>, Rolighedsvej 25, 1985 Frederiksberg C, Denmark</w:t>
      </w:r>
    </w:p>
    <w:p w:rsidR="002B6AEB" w:rsidRDefault="002B6AEB"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AZTI</w:t>
      </w:r>
      <w:r w:rsidR="00D520DF">
        <w:rPr>
          <w:i/>
          <w:iCs/>
          <w:sz w:val="20"/>
          <w:lang w:val="en-NZ"/>
        </w:rPr>
        <w:t xml:space="preserve"> Tecnalia</w:t>
      </w:r>
      <w:r>
        <w:rPr>
          <w:i/>
          <w:iCs/>
          <w:sz w:val="20"/>
          <w:lang w:val="en-NZ"/>
        </w:rPr>
        <w:t xml:space="preserve">, </w:t>
      </w:r>
      <w:r w:rsidR="00D520DF">
        <w:rPr>
          <w:i/>
          <w:iCs/>
          <w:sz w:val="20"/>
          <w:lang w:val="en-NZ"/>
        </w:rPr>
        <w:t>Marine Research Division, Herrera, kaia. Portualdea z/g. E-20110. Gipuz</w:t>
      </w:r>
      <w:r w:rsidR="00803753">
        <w:rPr>
          <w:i/>
          <w:iCs/>
          <w:sz w:val="20"/>
          <w:lang w:val="en-NZ"/>
        </w:rPr>
        <w:t>k</w:t>
      </w:r>
      <w:r w:rsidR="00D520DF">
        <w:rPr>
          <w:i/>
          <w:iCs/>
          <w:sz w:val="20"/>
          <w:lang w:val="en-NZ"/>
        </w:rPr>
        <w:t>oa, Spain</w:t>
      </w:r>
    </w:p>
    <w:p w:rsidR="002B6AEB" w:rsidRDefault="002B6AEB"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N</w:t>
      </w:r>
      <w:r w:rsidR="00EE114C">
        <w:rPr>
          <w:i/>
          <w:iCs/>
          <w:sz w:val="20"/>
          <w:lang w:val="en-NZ"/>
        </w:rPr>
        <w:t xml:space="preserve">ational </w:t>
      </w:r>
      <w:r>
        <w:rPr>
          <w:i/>
          <w:iCs/>
          <w:sz w:val="20"/>
          <w:lang w:val="en-NZ"/>
        </w:rPr>
        <w:t>U</w:t>
      </w:r>
      <w:r w:rsidR="00EE114C">
        <w:rPr>
          <w:i/>
          <w:iCs/>
          <w:sz w:val="20"/>
          <w:lang w:val="en-NZ"/>
        </w:rPr>
        <w:t xml:space="preserve">niversity of </w:t>
      </w:r>
      <w:r>
        <w:rPr>
          <w:i/>
          <w:iCs/>
          <w:sz w:val="20"/>
          <w:lang w:val="en-NZ"/>
        </w:rPr>
        <w:t>I</w:t>
      </w:r>
      <w:r w:rsidR="00EE114C">
        <w:rPr>
          <w:i/>
          <w:iCs/>
          <w:sz w:val="20"/>
          <w:lang w:val="en-NZ"/>
        </w:rPr>
        <w:t>reland</w:t>
      </w:r>
      <w:r w:rsidR="00D764B5">
        <w:rPr>
          <w:i/>
          <w:iCs/>
          <w:sz w:val="20"/>
          <w:lang w:val="en-NZ"/>
        </w:rPr>
        <w:t xml:space="preserve"> (NUIG)</w:t>
      </w:r>
      <w:r>
        <w:rPr>
          <w:i/>
          <w:iCs/>
          <w:sz w:val="20"/>
          <w:lang w:val="en-NZ"/>
        </w:rPr>
        <w:t xml:space="preserve">, </w:t>
      </w:r>
      <w:r w:rsidR="00EE114C">
        <w:rPr>
          <w:i/>
          <w:iCs/>
          <w:sz w:val="20"/>
          <w:lang w:val="en-NZ"/>
        </w:rPr>
        <w:t>Socio-Economic Marine Research Unit, Galway, Ireland</w:t>
      </w:r>
    </w:p>
    <w:p w:rsidR="00090EDA" w:rsidRDefault="00090EDA"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T</w:t>
      </w:r>
      <w:r w:rsidR="00175048">
        <w:rPr>
          <w:i/>
          <w:iCs/>
          <w:sz w:val="20"/>
          <w:lang w:val="en-NZ"/>
        </w:rPr>
        <w:t xml:space="preserve">hünen </w:t>
      </w:r>
      <w:r>
        <w:rPr>
          <w:i/>
          <w:iCs/>
          <w:sz w:val="20"/>
          <w:lang w:val="en-NZ"/>
        </w:rPr>
        <w:t>I</w:t>
      </w:r>
      <w:r w:rsidR="00175048">
        <w:rPr>
          <w:i/>
          <w:iCs/>
          <w:sz w:val="20"/>
          <w:lang w:val="en-NZ"/>
        </w:rPr>
        <w:t xml:space="preserve">nstitute of Sea </w:t>
      </w:r>
      <w:r>
        <w:rPr>
          <w:i/>
          <w:iCs/>
          <w:sz w:val="20"/>
          <w:lang w:val="en-NZ"/>
        </w:rPr>
        <w:t>F</w:t>
      </w:r>
      <w:r w:rsidR="00175048">
        <w:rPr>
          <w:i/>
          <w:iCs/>
          <w:sz w:val="20"/>
          <w:lang w:val="en-NZ"/>
        </w:rPr>
        <w:t>isheries</w:t>
      </w:r>
      <w:r>
        <w:rPr>
          <w:i/>
          <w:iCs/>
          <w:sz w:val="20"/>
          <w:lang w:val="en-NZ"/>
        </w:rPr>
        <w:t xml:space="preserve">, </w:t>
      </w:r>
      <w:r w:rsidR="00E81875">
        <w:rPr>
          <w:i/>
          <w:iCs/>
          <w:sz w:val="20"/>
          <w:lang w:val="en-NZ"/>
        </w:rPr>
        <w:t>Palmaille 9, 22767 Hamburg, Germany</w:t>
      </w:r>
    </w:p>
    <w:p w:rsidR="00090EDA" w:rsidRPr="008C0C55" w:rsidRDefault="00090EDA" w:rsidP="004B3F60">
      <w:pPr>
        <w:numPr>
          <w:ilvl w:val="0"/>
          <w:numId w:val="2"/>
        </w:numPr>
        <w:suppressLineNumbers w:val="0"/>
        <w:tabs>
          <w:tab w:val="clear" w:pos="720"/>
          <w:tab w:val="num" w:pos="567"/>
        </w:tabs>
        <w:spacing w:line="480" w:lineRule="auto"/>
        <w:ind w:left="567" w:right="283" w:hanging="567"/>
        <w:rPr>
          <w:i/>
          <w:iCs/>
          <w:sz w:val="20"/>
        </w:rPr>
      </w:pPr>
      <w:r w:rsidRPr="008C0C55">
        <w:rPr>
          <w:i/>
          <w:iCs/>
          <w:sz w:val="20"/>
        </w:rPr>
        <w:t>IFREMER, Maritime Economy Unit,</w:t>
      </w:r>
      <w:r w:rsidR="008C0C55" w:rsidRPr="008C0C55">
        <w:rPr>
          <w:i/>
          <w:iCs/>
          <w:sz w:val="20"/>
        </w:rPr>
        <w:t xml:space="preserve"> ZI Pointe du Diable, </w:t>
      </w:r>
      <w:r w:rsidR="008C0C55">
        <w:rPr>
          <w:i/>
          <w:iCs/>
          <w:sz w:val="20"/>
        </w:rPr>
        <w:t>CS 10070, 29280 Plouzané, France</w:t>
      </w:r>
    </w:p>
    <w:p w:rsidR="00090EDA" w:rsidRDefault="00110BAE"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University of Iceland, Institute of Economic Studies, Oddi by Sturlugata, 101 Reykjavik, Iceland</w:t>
      </w:r>
    </w:p>
    <w:p w:rsidR="002B6AEB" w:rsidRPr="00EE114C" w:rsidRDefault="002B6AEB" w:rsidP="004B3F60">
      <w:pPr>
        <w:numPr>
          <w:ilvl w:val="0"/>
          <w:numId w:val="2"/>
        </w:numPr>
        <w:suppressLineNumbers w:val="0"/>
        <w:tabs>
          <w:tab w:val="clear" w:pos="720"/>
          <w:tab w:val="num" w:pos="567"/>
        </w:tabs>
        <w:spacing w:line="480" w:lineRule="auto"/>
        <w:ind w:left="567" w:right="283" w:hanging="567"/>
        <w:rPr>
          <w:i/>
          <w:iCs/>
          <w:sz w:val="20"/>
          <w:szCs w:val="20"/>
          <w:lang w:val="en-NZ"/>
        </w:rPr>
      </w:pPr>
      <w:r w:rsidRPr="00EE114C">
        <w:rPr>
          <w:i/>
          <w:iCs/>
          <w:sz w:val="20"/>
          <w:szCs w:val="20"/>
          <w:lang w:val="en-NZ"/>
        </w:rPr>
        <w:t>C</w:t>
      </w:r>
      <w:r w:rsidR="00EE114C">
        <w:rPr>
          <w:i/>
          <w:iCs/>
          <w:sz w:val="20"/>
          <w:szCs w:val="20"/>
          <w:lang w:val="en-NZ"/>
        </w:rPr>
        <w:t>entre for the Economics and Management of Aquatic Resources (C</w:t>
      </w:r>
      <w:r w:rsidRPr="00EE114C">
        <w:rPr>
          <w:i/>
          <w:iCs/>
          <w:sz w:val="20"/>
          <w:szCs w:val="20"/>
          <w:lang w:val="en-NZ"/>
        </w:rPr>
        <w:t xml:space="preserve">EMARE, </w:t>
      </w:r>
      <w:r w:rsidR="00EE114C" w:rsidRPr="00D764B5">
        <w:rPr>
          <w:rStyle w:val="addr"/>
          <w:i/>
          <w:sz w:val="20"/>
          <w:szCs w:val="20"/>
          <w:lang w:val="en-US"/>
        </w:rPr>
        <w:t>Portsmouth Business School, University of Portsmouth, St George's Building, 141 High Street, Portsmouth, PO1 2HY, United Kingdom</w:t>
      </w:r>
    </w:p>
    <w:p w:rsidR="00090EDA" w:rsidRPr="00D764B5" w:rsidRDefault="005703AF" w:rsidP="004B3F60">
      <w:pPr>
        <w:numPr>
          <w:ilvl w:val="0"/>
          <w:numId w:val="2"/>
        </w:numPr>
        <w:suppressLineNumbers w:val="0"/>
        <w:tabs>
          <w:tab w:val="clear" w:pos="720"/>
          <w:tab w:val="num" w:pos="567"/>
        </w:tabs>
        <w:spacing w:line="480" w:lineRule="auto"/>
        <w:ind w:left="567" w:right="283" w:hanging="567"/>
        <w:rPr>
          <w:i/>
          <w:iCs/>
          <w:sz w:val="20"/>
          <w:szCs w:val="20"/>
          <w:lang w:val="en-NZ"/>
        </w:rPr>
      </w:pPr>
      <w:r w:rsidRPr="005703AF">
        <w:rPr>
          <w:i/>
          <w:sz w:val="20"/>
          <w:szCs w:val="20"/>
          <w:lang w:val="en-US"/>
        </w:rPr>
        <w:t>Innovative Fisheries Management, Aalborg University, Skibbrogade 5, DK-9000 Aalborg, Denmark</w:t>
      </w:r>
    </w:p>
    <w:p w:rsidR="00B61CEF" w:rsidRPr="00B61CEF" w:rsidRDefault="00B61CEF" w:rsidP="004B3F60">
      <w:pPr>
        <w:numPr>
          <w:ilvl w:val="0"/>
          <w:numId w:val="2"/>
        </w:numPr>
        <w:suppressLineNumbers w:val="0"/>
        <w:tabs>
          <w:tab w:val="clear" w:pos="720"/>
          <w:tab w:val="num" w:pos="567"/>
        </w:tabs>
        <w:spacing w:line="480" w:lineRule="auto"/>
        <w:ind w:left="567" w:right="283" w:hanging="567"/>
        <w:rPr>
          <w:i/>
          <w:iCs/>
          <w:sz w:val="20"/>
          <w:szCs w:val="20"/>
          <w:lang w:val="en-NZ"/>
        </w:rPr>
      </w:pPr>
      <w:r w:rsidRPr="00B61CEF">
        <w:rPr>
          <w:i/>
          <w:iCs/>
          <w:sz w:val="20"/>
        </w:rPr>
        <w:t>Unité Mixte de Recherche AMURE , Université de Bretagne Occidentale, 12 rue de Kergoat, Bât. B, CS 93837, 29238 Brest Cedex 3, France</w:t>
      </w:r>
    </w:p>
    <w:p w:rsidR="00090EDA" w:rsidRPr="00A94D38" w:rsidRDefault="008C0C55" w:rsidP="004B3F60">
      <w:pPr>
        <w:numPr>
          <w:ilvl w:val="0"/>
          <w:numId w:val="2"/>
        </w:numPr>
        <w:suppressLineNumbers w:val="0"/>
        <w:tabs>
          <w:tab w:val="clear" w:pos="720"/>
          <w:tab w:val="num" w:pos="567"/>
        </w:tabs>
        <w:spacing w:line="480" w:lineRule="auto"/>
        <w:ind w:left="567" w:right="283" w:hanging="567"/>
        <w:rPr>
          <w:i/>
          <w:iCs/>
          <w:sz w:val="20"/>
          <w:lang w:val="en-NZ"/>
        </w:rPr>
      </w:pPr>
      <w:r w:rsidRPr="00A94D38">
        <w:rPr>
          <w:i/>
          <w:iCs/>
          <w:sz w:val="20"/>
          <w:lang w:val="en-NZ"/>
        </w:rPr>
        <w:t>NISEA</w:t>
      </w:r>
      <w:r w:rsidR="00A94D38" w:rsidRPr="00A94D38">
        <w:rPr>
          <w:i/>
          <w:iCs/>
          <w:sz w:val="20"/>
          <w:lang w:val="en-NZ"/>
        </w:rPr>
        <w:t xml:space="preserve">, </w:t>
      </w:r>
      <w:r w:rsidR="00445CC7">
        <w:rPr>
          <w:i/>
          <w:iCs/>
          <w:sz w:val="20"/>
          <w:lang w:val="en-NZ"/>
        </w:rPr>
        <w:t xml:space="preserve">Fishery and Aquaculture Research Organisation, </w:t>
      </w:r>
      <w:r w:rsidR="00A94D38" w:rsidRPr="00A94D38">
        <w:rPr>
          <w:i/>
          <w:iCs/>
          <w:sz w:val="20"/>
          <w:lang w:val="en-NZ"/>
        </w:rPr>
        <w:t>Via Irno 11, 84135 Salerno (SA), Italy</w:t>
      </w:r>
    </w:p>
    <w:p w:rsidR="008C0C55" w:rsidRPr="00C47B7F" w:rsidRDefault="00956F4F" w:rsidP="004B3F60">
      <w:pPr>
        <w:numPr>
          <w:ilvl w:val="0"/>
          <w:numId w:val="2"/>
        </w:numPr>
        <w:suppressLineNumbers w:val="0"/>
        <w:tabs>
          <w:tab w:val="clear" w:pos="720"/>
          <w:tab w:val="num" w:pos="567"/>
        </w:tabs>
        <w:spacing w:line="480" w:lineRule="auto"/>
        <w:ind w:left="567" w:right="283" w:hanging="567"/>
        <w:rPr>
          <w:i/>
          <w:iCs/>
          <w:sz w:val="20"/>
          <w:szCs w:val="20"/>
          <w:lang w:val="en-NZ"/>
        </w:rPr>
      </w:pPr>
      <w:r w:rsidRPr="00956F4F">
        <w:rPr>
          <w:i/>
          <w:sz w:val="20"/>
          <w:szCs w:val="20"/>
          <w:lang w:val="en-GB" w:eastAsia="el-GR"/>
        </w:rPr>
        <w:lastRenderedPageBreak/>
        <w:t>Hellenic Centre for Marine Research, 46.7 km Athens-Sounio, 19013 Anavyssos, Attica, Greece</w:t>
      </w:r>
    </w:p>
    <w:p w:rsidR="00C47B7F" w:rsidRDefault="00C47B7F" w:rsidP="004B3F60">
      <w:pPr>
        <w:numPr>
          <w:ilvl w:val="0"/>
          <w:numId w:val="2"/>
        </w:numPr>
        <w:suppressLineNumbers w:val="0"/>
        <w:tabs>
          <w:tab w:val="clear" w:pos="720"/>
          <w:tab w:val="num" w:pos="567"/>
        </w:tabs>
        <w:spacing w:line="480" w:lineRule="auto"/>
        <w:ind w:left="567" w:right="283" w:hanging="567"/>
        <w:rPr>
          <w:i/>
          <w:iCs/>
          <w:sz w:val="20"/>
          <w:lang w:val="en-NZ"/>
        </w:rPr>
      </w:pPr>
      <w:r w:rsidRPr="00DD69AF">
        <w:rPr>
          <w:i/>
          <w:iCs/>
          <w:sz w:val="20"/>
          <w:lang w:val="en-NZ"/>
        </w:rPr>
        <w:t xml:space="preserve">Technical </w:t>
      </w:r>
      <w:r>
        <w:rPr>
          <w:i/>
          <w:iCs/>
          <w:sz w:val="20"/>
          <w:lang w:val="en-NZ"/>
        </w:rPr>
        <w:t>University of Denmark, Institute of Aquatic Resources, Jaegersborg Alle 1, 2920 Charlottenlund, Denmark</w:t>
      </w:r>
    </w:p>
    <w:p w:rsidR="00916DD1" w:rsidRDefault="00916DD1"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CSIRO Oceans and Atmosphere, GPO Box 1538, Hobart TAS 7109, Australia</w:t>
      </w:r>
    </w:p>
    <w:p w:rsidR="00916DD1" w:rsidRPr="00DD69AF" w:rsidRDefault="00916DD1" w:rsidP="004B3F60">
      <w:pPr>
        <w:numPr>
          <w:ilvl w:val="0"/>
          <w:numId w:val="2"/>
        </w:numPr>
        <w:suppressLineNumbers w:val="0"/>
        <w:tabs>
          <w:tab w:val="clear" w:pos="720"/>
          <w:tab w:val="num" w:pos="567"/>
        </w:tabs>
        <w:spacing w:line="480" w:lineRule="auto"/>
        <w:ind w:left="567" w:right="283" w:hanging="567"/>
        <w:rPr>
          <w:i/>
          <w:iCs/>
          <w:sz w:val="20"/>
          <w:lang w:val="en-NZ"/>
        </w:rPr>
      </w:pPr>
      <w:r>
        <w:rPr>
          <w:i/>
          <w:iCs/>
          <w:sz w:val="20"/>
          <w:lang w:val="en-NZ"/>
        </w:rPr>
        <w:t>59 Jubilee Road, Khandallah, Wellington 6035, New Zealand</w:t>
      </w:r>
    </w:p>
    <w:p w:rsidR="00C47B7F" w:rsidRPr="00956F4F" w:rsidRDefault="00C47B7F" w:rsidP="00C47B7F">
      <w:pPr>
        <w:suppressLineNumbers w:val="0"/>
        <w:spacing w:line="480" w:lineRule="auto"/>
        <w:ind w:left="567" w:right="283"/>
        <w:rPr>
          <w:i/>
          <w:iCs/>
          <w:sz w:val="20"/>
          <w:szCs w:val="20"/>
          <w:lang w:val="en-NZ"/>
        </w:rPr>
      </w:pPr>
    </w:p>
    <w:p w:rsidR="00090EDA" w:rsidRPr="0053023C" w:rsidRDefault="0053023C" w:rsidP="00A51148">
      <w:pPr>
        <w:suppressLineNumbers w:val="0"/>
        <w:spacing w:line="480" w:lineRule="auto"/>
        <w:ind w:right="283"/>
        <w:rPr>
          <w:iCs/>
          <w:sz w:val="20"/>
          <w:lang w:val="en-NZ"/>
        </w:rPr>
      </w:pPr>
      <w:r w:rsidRPr="0053023C">
        <w:rPr>
          <w:iCs/>
          <w:sz w:val="20"/>
          <w:u w:val="single"/>
          <w:lang w:val="en-NZ"/>
        </w:rPr>
        <w:t>Running title:</w:t>
      </w:r>
      <w:r>
        <w:rPr>
          <w:iCs/>
          <w:sz w:val="20"/>
          <w:lang w:val="en-NZ"/>
        </w:rPr>
        <w:t xml:space="preserve"> comparing fisheries management worldwide</w:t>
      </w:r>
    </w:p>
    <w:p w:rsidR="00FB48CA" w:rsidRDefault="00FB48CA" w:rsidP="00A51148">
      <w:pPr>
        <w:suppressLineNumbers w:val="0"/>
        <w:spacing w:line="480" w:lineRule="auto"/>
        <w:ind w:right="283"/>
        <w:rPr>
          <w:b/>
          <w:bCs/>
          <w:sz w:val="28"/>
          <w:lang w:val="en-NZ"/>
        </w:rPr>
      </w:pPr>
      <w:r>
        <w:rPr>
          <w:sz w:val="20"/>
          <w:lang w:val="en-NZ"/>
        </w:rPr>
        <w:br w:type="page"/>
      </w:r>
      <w:r>
        <w:rPr>
          <w:b/>
          <w:bCs/>
          <w:sz w:val="28"/>
          <w:lang w:val="en-NZ"/>
        </w:rPr>
        <w:lastRenderedPageBreak/>
        <w:t>Abstract</w:t>
      </w:r>
    </w:p>
    <w:p w:rsidR="00A232D5" w:rsidRPr="00282605" w:rsidRDefault="0056157F" w:rsidP="00282605">
      <w:pPr>
        <w:pStyle w:val="FormateretHTML"/>
        <w:spacing w:line="480" w:lineRule="auto"/>
        <w:jc w:val="both"/>
        <w:rPr>
          <w:rFonts w:ascii="Times New Roman" w:hAnsi="Times New Roman"/>
          <w:sz w:val="24"/>
          <w:szCs w:val="24"/>
          <w:lang w:val="en-NZ"/>
        </w:rPr>
      </w:pPr>
      <w:r w:rsidRPr="00282605">
        <w:rPr>
          <w:rFonts w:ascii="Times New Roman" w:hAnsi="Times New Roman"/>
          <w:sz w:val="24"/>
          <w:szCs w:val="24"/>
          <w:lang w:val="en-NZ"/>
        </w:rPr>
        <w:t xml:space="preserve">This paper </w:t>
      </w:r>
      <w:r w:rsidR="00A626FE" w:rsidRPr="00282605">
        <w:rPr>
          <w:rFonts w:ascii="Times New Roman" w:hAnsi="Times New Roman"/>
          <w:sz w:val="24"/>
          <w:szCs w:val="24"/>
          <w:lang w:val="en-NZ"/>
        </w:rPr>
        <w:t>compares</w:t>
      </w:r>
      <w:r w:rsidRPr="00282605">
        <w:rPr>
          <w:rFonts w:ascii="Times New Roman" w:hAnsi="Times New Roman"/>
          <w:sz w:val="24"/>
          <w:szCs w:val="24"/>
          <w:lang w:val="en-NZ"/>
        </w:rPr>
        <w:t xml:space="preserve"> </w:t>
      </w:r>
      <w:r w:rsidR="00A626FE" w:rsidRPr="00282605">
        <w:rPr>
          <w:rFonts w:ascii="Times New Roman" w:hAnsi="Times New Roman"/>
          <w:sz w:val="24"/>
          <w:szCs w:val="24"/>
          <w:lang w:val="en-NZ"/>
        </w:rPr>
        <w:t>the details and performance of</w:t>
      </w:r>
      <w:r w:rsidRPr="00282605">
        <w:rPr>
          <w:rFonts w:ascii="Times New Roman" w:hAnsi="Times New Roman"/>
          <w:sz w:val="24"/>
          <w:szCs w:val="24"/>
          <w:lang w:val="en-NZ"/>
        </w:rPr>
        <w:t xml:space="preserve"> </w:t>
      </w:r>
      <w:r w:rsidR="00A626FE" w:rsidRPr="00282605">
        <w:rPr>
          <w:rFonts w:ascii="Times New Roman" w:hAnsi="Times New Roman"/>
          <w:sz w:val="24"/>
          <w:szCs w:val="24"/>
          <w:lang w:val="en-NZ"/>
        </w:rPr>
        <w:t xml:space="preserve">fisheries management between the </w:t>
      </w:r>
      <w:r w:rsidRPr="00282605">
        <w:rPr>
          <w:rFonts w:ascii="Times New Roman" w:hAnsi="Times New Roman"/>
          <w:sz w:val="24"/>
          <w:szCs w:val="24"/>
          <w:lang w:val="en-NZ"/>
        </w:rPr>
        <w:t xml:space="preserve">EU </w:t>
      </w:r>
      <w:r w:rsidR="00A626FE" w:rsidRPr="00282605">
        <w:rPr>
          <w:rFonts w:ascii="Times New Roman" w:hAnsi="Times New Roman"/>
          <w:sz w:val="24"/>
          <w:szCs w:val="24"/>
          <w:lang w:val="en-NZ"/>
        </w:rPr>
        <w:t>and a selection of other countries worldwide:</w:t>
      </w:r>
      <w:r w:rsidRPr="00282605">
        <w:rPr>
          <w:rFonts w:ascii="Times New Roman" w:hAnsi="Times New Roman"/>
          <w:sz w:val="24"/>
          <w:szCs w:val="24"/>
          <w:lang w:val="en-NZ"/>
        </w:rPr>
        <w:t xml:space="preserve"> Iceland, New Zealand and Australia</w:t>
      </w:r>
      <w:r w:rsidR="000B50BE" w:rsidRPr="00282605">
        <w:rPr>
          <w:rFonts w:ascii="Times New Roman" w:hAnsi="Times New Roman"/>
          <w:sz w:val="24"/>
          <w:szCs w:val="24"/>
          <w:lang w:val="en-NZ"/>
        </w:rPr>
        <w:t xml:space="preserve">, </w:t>
      </w:r>
      <w:r w:rsidR="00A0056D" w:rsidRPr="00282605">
        <w:rPr>
          <w:rFonts w:ascii="Times New Roman" w:hAnsi="Times New Roman"/>
          <w:sz w:val="24"/>
          <w:szCs w:val="24"/>
          <w:lang w:val="en-NZ"/>
        </w:rPr>
        <w:t xml:space="preserve">which </w:t>
      </w:r>
      <w:r w:rsidRPr="00282605">
        <w:rPr>
          <w:rFonts w:ascii="Times New Roman" w:hAnsi="Times New Roman"/>
          <w:sz w:val="24"/>
          <w:szCs w:val="24"/>
          <w:lang w:val="en-NZ"/>
        </w:rPr>
        <w:t xml:space="preserve">are considered in many respects to be among the most </w:t>
      </w:r>
      <w:r w:rsidR="000B50BE" w:rsidRPr="00282605">
        <w:rPr>
          <w:rFonts w:ascii="Times New Roman" w:hAnsi="Times New Roman"/>
          <w:sz w:val="24"/>
          <w:szCs w:val="24"/>
          <w:lang w:val="en-NZ"/>
        </w:rPr>
        <w:t>advanced</w:t>
      </w:r>
      <w:r w:rsidRPr="00282605">
        <w:rPr>
          <w:rFonts w:ascii="Times New Roman" w:hAnsi="Times New Roman"/>
          <w:sz w:val="24"/>
          <w:szCs w:val="24"/>
          <w:lang w:val="en-NZ"/>
        </w:rPr>
        <w:t xml:space="preserve"> in the </w:t>
      </w:r>
      <w:r w:rsidR="00C9119A" w:rsidRPr="00282605">
        <w:rPr>
          <w:rFonts w:ascii="Times New Roman" w:hAnsi="Times New Roman"/>
          <w:sz w:val="24"/>
          <w:szCs w:val="24"/>
          <w:lang w:val="en-NZ"/>
        </w:rPr>
        <w:t>w</w:t>
      </w:r>
      <w:r w:rsidRPr="00282605">
        <w:rPr>
          <w:rFonts w:ascii="Times New Roman" w:hAnsi="Times New Roman"/>
          <w:sz w:val="24"/>
          <w:szCs w:val="24"/>
          <w:lang w:val="en-NZ"/>
        </w:rPr>
        <w:t xml:space="preserve">orld in fisheries management. Fisheries management in the EU, Iceland, Australia and New Zealand has developed following different paths, despite </w:t>
      </w:r>
      <w:r w:rsidR="00F22B25" w:rsidRPr="00282605">
        <w:rPr>
          <w:rFonts w:ascii="Times New Roman" w:hAnsi="Times New Roman"/>
          <w:sz w:val="24"/>
          <w:szCs w:val="24"/>
          <w:lang w:val="en-NZ"/>
        </w:rPr>
        <w:t xml:space="preserve">being based on </w:t>
      </w:r>
      <w:r w:rsidRPr="00282605">
        <w:rPr>
          <w:rFonts w:ascii="Times New Roman" w:hAnsi="Times New Roman"/>
          <w:sz w:val="24"/>
          <w:szCs w:val="24"/>
          <w:lang w:val="en-NZ"/>
        </w:rPr>
        <w:t xml:space="preserve">similar </w:t>
      </w:r>
      <w:r w:rsidR="00F22B25" w:rsidRPr="00282605">
        <w:rPr>
          <w:rFonts w:ascii="Times New Roman" w:hAnsi="Times New Roman"/>
          <w:sz w:val="24"/>
          <w:szCs w:val="24"/>
          <w:lang w:val="en-NZ"/>
        </w:rPr>
        <w:t xml:space="preserve">instruments and </w:t>
      </w:r>
      <w:r w:rsidRPr="00282605">
        <w:rPr>
          <w:rFonts w:ascii="Times New Roman" w:hAnsi="Times New Roman"/>
          <w:sz w:val="24"/>
          <w:szCs w:val="24"/>
          <w:lang w:val="en-NZ"/>
        </w:rPr>
        <w:t>principles</w:t>
      </w:r>
      <w:r w:rsidR="00F22B25" w:rsidRPr="00282605">
        <w:rPr>
          <w:rFonts w:ascii="Times New Roman" w:hAnsi="Times New Roman"/>
          <w:sz w:val="24"/>
          <w:szCs w:val="24"/>
          <w:lang w:val="en-NZ"/>
        </w:rPr>
        <w:t>.</w:t>
      </w:r>
      <w:r w:rsidRPr="00282605">
        <w:rPr>
          <w:rFonts w:ascii="Times New Roman" w:hAnsi="Times New Roman"/>
          <w:sz w:val="24"/>
          <w:szCs w:val="24"/>
          <w:lang w:val="en-NZ"/>
        </w:rPr>
        <w:t xml:space="preserve"> Iceland, Australia and New Zealand have been at the forefront of </w:t>
      </w:r>
      <w:r w:rsidR="004F2D64" w:rsidRPr="00282605">
        <w:rPr>
          <w:rFonts w:ascii="Times New Roman" w:hAnsi="Times New Roman"/>
          <w:sz w:val="24"/>
          <w:szCs w:val="24"/>
          <w:lang w:val="en-NZ"/>
        </w:rPr>
        <w:t>develop</w:t>
      </w:r>
      <w:r w:rsidRPr="00282605">
        <w:rPr>
          <w:rFonts w:ascii="Times New Roman" w:hAnsi="Times New Roman"/>
          <w:sz w:val="24"/>
          <w:szCs w:val="24"/>
          <w:lang w:val="en-NZ"/>
        </w:rPr>
        <w:t xml:space="preserve">ing management practices such as stakeholder involvement, legally-binding management targets (Australia, New Zealand), individual transferable quotas, </w:t>
      </w:r>
      <w:r w:rsidR="00B56AF8" w:rsidRPr="00282605">
        <w:rPr>
          <w:rFonts w:ascii="Times New Roman" w:hAnsi="Times New Roman"/>
          <w:sz w:val="24"/>
          <w:szCs w:val="24"/>
          <w:lang w:val="en-NZ"/>
        </w:rPr>
        <w:t xml:space="preserve">and </w:t>
      </w:r>
      <w:r w:rsidRPr="00282605">
        <w:rPr>
          <w:rFonts w:ascii="Times New Roman" w:hAnsi="Times New Roman"/>
          <w:sz w:val="24"/>
          <w:szCs w:val="24"/>
          <w:lang w:val="en-NZ"/>
        </w:rPr>
        <w:t xml:space="preserve">discard bans (Iceland, New Zealand). The EU has since the beginning of the </w:t>
      </w:r>
      <w:r w:rsidR="00A122A0" w:rsidRPr="00282605">
        <w:rPr>
          <w:rFonts w:ascii="Times New Roman" w:hAnsi="Times New Roman"/>
          <w:sz w:val="24"/>
          <w:szCs w:val="24"/>
          <w:lang w:val="en-NZ"/>
        </w:rPr>
        <w:t>21</w:t>
      </w:r>
      <w:r w:rsidR="00A122A0" w:rsidRPr="00282605">
        <w:rPr>
          <w:rFonts w:ascii="Times New Roman" w:hAnsi="Times New Roman"/>
          <w:sz w:val="24"/>
          <w:szCs w:val="24"/>
          <w:vertAlign w:val="superscript"/>
          <w:lang w:val="en-NZ"/>
        </w:rPr>
        <w:t>st</w:t>
      </w:r>
      <w:r w:rsidR="00A122A0" w:rsidRPr="00282605">
        <w:rPr>
          <w:rFonts w:ascii="Times New Roman" w:hAnsi="Times New Roman"/>
          <w:sz w:val="24"/>
          <w:szCs w:val="24"/>
          <w:lang w:val="en-NZ"/>
        </w:rPr>
        <w:t xml:space="preserve"> </w:t>
      </w:r>
      <w:r w:rsidRPr="00282605">
        <w:rPr>
          <w:rFonts w:ascii="Times New Roman" w:hAnsi="Times New Roman"/>
          <w:sz w:val="24"/>
          <w:szCs w:val="24"/>
          <w:lang w:val="en-NZ"/>
        </w:rPr>
        <w:t xml:space="preserve">century taken significant steps to better involve stakeholders, establish quantitative targets through management plans, and a </w:t>
      </w:r>
      <w:r w:rsidR="00F501BB">
        <w:rPr>
          <w:rFonts w:ascii="Times New Roman" w:hAnsi="Times New Roman"/>
          <w:sz w:val="24"/>
          <w:szCs w:val="24"/>
          <w:lang w:val="en-NZ"/>
        </w:rPr>
        <w:t>landing obligation</w:t>
      </w:r>
      <w:r w:rsidRPr="00282605">
        <w:rPr>
          <w:rFonts w:ascii="Times New Roman" w:hAnsi="Times New Roman"/>
          <w:sz w:val="24"/>
          <w:szCs w:val="24"/>
          <w:lang w:val="en-NZ"/>
        </w:rPr>
        <w:t xml:space="preserve"> </w:t>
      </w:r>
      <w:r w:rsidR="007B0F8A">
        <w:rPr>
          <w:rFonts w:ascii="Times New Roman" w:hAnsi="Times New Roman"/>
          <w:sz w:val="24"/>
          <w:szCs w:val="24"/>
          <w:lang w:val="en-NZ"/>
        </w:rPr>
        <w:t>is</w:t>
      </w:r>
      <w:r w:rsidRPr="00282605">
        <w:rPr>
          <w:rFonts w:ascii="Times New Roman" w:hAnsi="Times New Roman"/>
          <w:sz w:val="24"/>
          <w:szCs w:val="24"/>
          <w:lang w:val="en-NZ"/>
        </w:rPr>
        <w:t xml:space="preserve"> gradually be</w:t>
      </w:r>
      <w:r w:rsidR="007B0F8A">
        <w:rPr>
          <w:rFonts w:ascii="Times New Roman" w:hAnsi="Times New Roman"/>
          <w:sz w:val="24"/>
          <w:szCs w:val="24"/>
          <w:lang w:val="en-NZ"/>
        </w:rPr>
        <w:t>ing</w:t>
      </w:r>
      <w:r w:rsidRPr="00282605">
        <w:rPr>
          <w:rFonts w:ascii="Times New Roman" w:hAnsi="Times New Roman"/>
          <w:sz w:val="24"/>
          <w:szCs w:val="24"/>
          <w:lang w:val="en-NZ"/>
        </w:rPr>
        <w:t xml:space="preserve"> </w:t>
      </w:r>
      <w:r w:rsidR="006408AA">
        <w:rPr>
          <w:rFonts w:ascii="Times New Roman" w:hAnsi="Times New Roman"/>
          <w:sz w:val="24"/>
          <w:szCs w:val="24"/>
          <w:lang w:val="en-NZ"/>
        </w:rPr>
        <w:t xml:space="preserve">implemented from 2015 onwards. </w:t>
      </w:r>
      <w:r w:rsidR="00952354">
        <w:rPr>
          <w:rFonts w:ascii="Times New Roman" w:hAnsi="Times New Roman"/>
          <w:sz w:val="24"/>
          <w:szCs w:val="24"/>
          <w:lang w:val="en-NZ"/>
        </w:rPr>
        <w:t>The</w:t>
      </w:r>
      <w:r w:rsidRPr="00282605">
        <w:rPr>
          <w:rFonts w:ascii="Times New Roman" w:hAnsi="Times New Roman"/>
          <w:sz w:val="24"/>
          <w:szCs w:val="24"/>
          <w:lang w:val="en-NZ"/>
        </w:rPr>
        <w:t xml:space="preserve"> management </w:t>
      </w:r>
      <w:r w:rsidR="00952354">
        <w:rPr>
          <w:rFonts w:ascii="Times New Roman" w:hAnsi="Times New Roman"/>
          <w:sz w:val="24"/>
          <w:szCs w:val="24"/>
          <w:lang w:val="en-NZ"/>
        </w:rPr>
        <w:t xml:space="preserve">of domestic fisheries resources </w:t>
      </w:r>
      <w:r w:rsidRPr="00282605">
        <w:rPr>
          <w:rFonts w:ascii="Times New Roman" w:hAnsi="Times New Roman"/>
          <w:sz w:val="24"/>
          <w:szCs w:val="24"/>
          <w:lang w:val="en-NZ"/>
        </w:rPr>
        <w:t xml:space="preserve">in Australia, New Zealand and Iceland has, overall, performed better than in the EU, in terms of conservation and economic efficiency. </w:t>
      </w:r>
      <w:r w:rsidR="00282605" w:rsidRPr="00282605">
        <w:rPr>
          <w:rFonts w:ascii="Times New Roman" w:hAnsi="Times New Roman"/>
          <w:sz w:val="24"/>
          <w:szCs w:val="24"/>
          <w:lang w:val="en-NZ"/>
        </w:rPr>
        <w:t xml:space="preserve">It should, however, be stressed that, compared to Australia, New Zealand and Iceland, (i) </w:t>
      </w:r>
      <w:r w:rsidR="008B1DC9">
        <w:rPr>
          <w:rFonts w:ascii="Times New Roman" w:hAnsi="Times New Roman"/>
          <w:sz w:val="24"/>
          <w:szCs w:val="24"/>
          <w:lang w:val="en-NZ"/>
        </w:rPr>
        <w:t xml:space="preserve">initial </w:t>
      </w:r>
      <w:r w:rsidR="00282605" w:rsidRPr="00282605">
        <w:rPr>
          <w:rFonts w:ascii="Times New Roman" w:hAnsi="Times New Roman"/>
          <w:sz w:val="24"/>
          <w:szCs w:val="24"/>
          <w:lang w:val="en-NZ"/>
        </w:rPr>
        <w:t xml:space="preserve">overcapacity was more of an issue in the EU when management measures became legally binding and also that, (ii) EU has been progressive </w:t>
      </w:r>
      <w:r w:rsidR="00282605" w:rsidRPr="00282605">
        <w:rPr>
          <w:rFonts w:ascii="Times New Roman" w:hAnsi="Times New Roman"/>
          <w:sz w:val="24"/>
          <w:szCs w:val="24"/>
          <w:lang w:val="en-US"/>
        </w:rPr>
        <w:t>in developing common enforcement standards, on stocks shared by sovereign nations</w:t>
      </w:r>
      <w:r w:rsidR="00ED62BA">
        <w:rPr>
          <w:rFonts w:ascii="Times New Roman" w:hAnsi="Times New Roman"/>
          <w:sz w:val="24"/>
          <w:szCs w:val="24"/>
          <w:lang w:val="en-NZ"/>
        </w:rPr>
        <w:t>.</w:t>
      </w:r>
      <w:r w:rsidR="00282605" w:rsidRPr="00282605">
        <w:rPr>
          <w:rFonts w:ascii="Times New Roman" w:hAnsi="Times New Roman"/>
          <w:sz w:val="24"/>
          <w:szCs w:val="24"/>
          <w:lang w:val="en-US"/>
        </w:rPr>
        <w:t xml:space="preserve"> </w:t>
      </w:r>
      <w:r w:rsidRPr="00282605">
        <w:rPr>
          <w:rFonts w:ascii="Times New Roman" w:hAnsi="Times New Roman"/>
          <w:sz w:val="24"/>
          <w:szCs w:val="24"/>
          <w:lang w:val="en-NZ"/>
        </w:rPr>
        <w:t>The situation of EU fisheries has</w:t>
      </w:r>
      <w:r w:rsidR="00ED62BA">
        <w:rPr>
          <w:rFonts w:ascii="Times New Roman" w:hAnsi="Times New Roman"/>
          <w:sz w:val="24"/>
          <w:szCs w:val="24"/>
          <w:lang w:val="en-NZ"/>
        </w:rPr>
        <w:t xml:space="preserve"> </w:t>
      </w:r>
      <w:r w:rsidR="00DB7135" w:rsidRPr="00282605">
        <w:rPr>
          <w:rFonts w:ascii="Times New Roman" w:hAnsi="Times New Roman"/>
          <w:sz w:val="24"/>
          <w:szCs w:val="24"/>
          <w:lang w:val="en-NZ"/>
        </w:rPr>
        <w:t xml:space="preserve">substantially </w:t>
      </w:r>
      <w:r w:rsidRPr="00282605">
        <w:rPr>
          <w:rFonts w:ascii="Times New Roman" w:hAnsi="Times New Roman"/>
          <w:sz w:val="24"/>
          <w:szCs w:val="24"/>
          <w:lang w:val="en-NZ"/>
        </w:rPr>
        <w:t xml:space="preserve">improved </w:t>
      </w:r>
      <w:r w:rsidR="007E05BD">
        <w:rPr>
          <w:rFonts w:ascii="Times New Roman" w:hAnsi="Times New Roman"/>
          <w:sz w:val="24"/>
          <w:szCs w:val="24"/>
          <w:lang w:val="en-NZ"/>
        </w:rPr>
        <w:t>over the period</w:t>
      </w:r>
      <w:r w:rsidR="00DB7135" w:rsidRPr="00282605">
        <w:rPr>
          <w:rFonts w:ascii="Times New Roman" w:hAnsi="Times New Roman"/>
          <w:sz w:val="24"/>
          <w:szCs w:val="24"/>
          <w:lang w:val="en-NZ"/>
        </w:rPr>
        <w:t xml:space="preserve"> </w:t>
      </w:r>
      <w:r w:rsidR="007E05BD">
        <w:rPr>
          <w:rFonts w:ascii="Times New Roman" w:hAnsi="Times New Roman"/>
          <w:sz w:val="24"/>
          <w:szCs w:val="24"/>
          <w:lang w:val="en-NZ"/>
        </w:rPr>
        <w:t>2004-</w:t>
      </w:r>
      <w:r w:rsidR="00DB7135" w:rsidRPr="00282605">
        <w:rPr>
          <w:rFonts w:ascii="Times New Roman" w:hAnsi="Times New Roman"/>
          <w:sz w:val="24"/>
          <w:szCs w:val="24"/>
          <w:lang w:val="en-NZ"/>
        </w:rPr>
        <w:t>2013</w:t>
      </w:r>
      <w:r w:rsidR="007E05BD">
        <w:rPr>
          <w:rFonts w:ascii="Times New Roman" w:hAnsi="Times New Roman"/>
          <w:sz w:val="24"/>
          <w:szCs w:val="24"/>
          <w:lang w:val="en-NZ"/>
        </w:rPr>
        <w:t xml:space="preserve"> </w:t>
      </w:r>
      <w:r w:rsidRPr="00282605">
        <w:rPr>
          <w:rFonts w:ascii="Times New Roman" w:hAnsi="Times New Roman"/>
          <w:sz w:val="24"/>
          <w:szCs w:val="24"/>
          <w:lang w:val="en-NZ"/>
        </w:rPr>
        <w:t xml:space="preserve">in the Northeast Atlantic, </w:t>
      </w:r>
      <w:r w:rsidR="00292444">
        <w:rPr>
          <w:rFonts w:ascii="Times New Roman" w:hAnsi="Times New Roman"/>
          <w:sz w:val="24"/>
          <w:szCs w:val="24"/>
          <w:lang w:val="en-NZ"/>
        </w:rPr>
        <w:t xml:space="preserve">with fishery status getting close to that in the other jurisdictions, </w:t>
      </w:r>
      <w:r w:rsidR="00A0056D" w:rsidRPr="00282605">
        <w:rPr>
          <w:rFonts w:ascii="Times New Roman" w:hAnsi="Times New Roman"/>
          <w:sz w:val="24"/>
          <w:szCs w:val="24"/>
          <w:lang w:val="en-NZ"/>
        </w:rPr>
        <w:t xml:space="preserve">but </w:t>
      </w:r>
      <w:r w:rsidRPr="00282605">
        <w:rPr>
          <w:rFonts w:ascii="Times New Roman" w:hAnsi="Times New Roman"/>
          <w:sz w:val="24"/>
          <w:szCs w:val="24"/>
          <w:lang w:val="en-NZ"/>
        </w:rPr>
        <w:t xml:space="preserve">the lack of recovery </w:t>
      </w:r>
      <w:r w:rsidR="00A0056D" w:rsidRPr="00282605">
        <w:rPr>
          <w:rFonts w:ascii="Times New Roman" w:hAnsi="Times New Roman"/>
          <w:sz w:val="24"/>
          <w:szCs w:val="24"/>
          <w:lang w:val="en-NZ"/>
        </w:rPr>
        <w:t xml:space="preserve">for Mediterranean </w:t>
      </w:r>
      <w:r w:rsidRPr="00282605">
        <w:rPr>
          <w:rFonts w:ascii="Times New Roman" w:hAnsi="Times New Roman"/>
          <w:sz w:val="24"/>
          <w:szCs w:val="24"/>
          <w:lang w:val="en-NZ"/>
        </w:rPr>
        <w:t>fish stocks remains a concern.</w:t>
      </w:r>
    </w:p>
    <w:p w:rsidR="00DB7135" w:rsidRPr="00C0463E" w:rsidRDefault="00DB7135" w:rsidP="00AD58CE">
      <w:pPr>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rPr>
          <w:lang w:val="en-US"/>
        </w:rPr>
      </w:pPr>
      <w:r w:rsidRPr="00282605">
        <w:rPr>
          <w:lang w:val="en-US"/>
        </w:rPr>
        <w:t xml:space="preserve"> </w:t>
      </w:r>
    </w:p>
    <w:p w:rsidR="006D7C9C" w:rsidRDefault="00FB48CA" w:rsidP="00A51148">
      <w:pPr>
        <w:pStyle w:val="Overskrift6"/>
        <w:suppressLineNumbers w:val="0"/>
        <w:ind w:right="283"/>
      </w:pPr>
      <w:r>
        <w:t>Keywords</w:t>
      </w:r>
    </w:p>
    <w:p w:rsidR="00F6543B" w:rsidRDefault="00C30CC8" w:rsidP="00A51148">
      <w:pPr>
        <w:pStyle w:val="Brdtekst3"/>
        <w:spacing w:line="480" w:lineRule="auto"/>
        <w:ind w:right="283"/>
        <w:rPr>
          <w:lang w:val="en-NZ"/>
        </w:rPr>
      </w:pPr>
      <w:r>
        <w:rPr>
          <w:lang w:val="en-NZ"/>
        </w:rPr>
        <w:t xml:space="preserve">Fisheries management, </w:t>
      </w:r>
      <w:r w:rsidR="005439EA">
        <w:rPr>
          <w:lang w:val="en-NZ"/>
        </w:rPr>
        <w:t xml:space="preserve">Comparative review, </w:t>
      </w:r>
      <w:r>
        <w:rPr>
          <w:lang w:val="en-NZ"/>
        </w:rPr>
        <w:t>European Union</w:t>
      </w:r>
      <w:r w:rsidR="00117D40">
        <w:rPr>
          <w:lang w:val="en-NZ"/>
        </w:rPr>
        <w:t xml:space="preserve">, </w:t>
      </w:r>
      <w:r w:rsidR="005439EA">
        <w:rPr>
          <w:lang w:val="en-NZ"/>
        </w:rPr>
        <w:t>I</w:t>
      </w:r>
      <w:r w:rsidR="00117D40">
        <w:rPr>
          <w:lang w:val="en-NZ"/>
        </w:rPr>
        <w:t>celand</w:t>
      </w:r>
      <w:r>
        <w:rPr>
          <w:lang w:val="en-NZ"/>
        </w:rPr>
        <w:t xml:space="preserve">, </w:t>
      </w:r>
      <w:r w:rsidR="005439EA">
        <w:rPr>
          <w:lang w:val="en-NZ"/>
        </w:rPr>
        <w:t xml:space="preserve">Australia, </w:t>
      </w:r>
      <w:r>
        <w:rPr>
          <w:lang w:val="en-NZ"/>
        </w:rPr>
        <w:t>New Zealand</w:t>
      </w:r>
    </w:p>
    <w:p w:rsidR="00467706" w:rsidRPr="00C30CC8" w:rsidRDefault="00467706" w:rsidP="00A51148">
      <w:pPr>
        <w:pStyle w:val="Brdtekst3"/>
        <w:spacing w:line="480" w:lineRule="auto"/>
        <w:ind w:right="283"/>
        <w:rPr>
          <w:lang w:val="en-NZ"/>
        </w:rPr>
      </w:pPr>
    </w:p>
    <w:p w:rsidR="004801DD" w:rsidRDefault="004801DD" w:rsidP="00A51148">
      <w:pPr>
        <w:suppressLineNumbers w:val="0"/>
        <w:spacing w:line="480" w:lineRule="auto"/>
        <w:ind w:right="283"/>
        <w:rPr>
          <w:b/>
          <w:bCs/>
          <w:sz w:val="28"/>
          <w:lang w:val="en-NZ"/>
        </w:rPr>
      </w:pPr>
      <w:r>
        <w:rPr>
          <w:b/>
          <w:bCs/>
          <w:sz w:val="28"/>
          <w:lang w:val="en-NZ"/>
        </w:rPr>
        <w:t>Table of contents</w:t>
      </w:r>
    </w:p>
    <w:p w:rsidR="00B56AF8" w:rsidRDefault="00B56AF8" w:rsidP="00A51148">
      <w:pPr>
        <w:suppressLineNumbers w:val="0"/>
        <w:spacing w:line="480" w:lineRule="auto"/>
        <w:ind w:right="283"/>
        <w:rPr>
          <w:b/>
          <w:bCs/>
          <w:lang w:val="en-NZ"/>
        </w:rPr>
      </w:pPr>
      <w:r>
        <w:rPr>
          <w:b/>
          <w:bCs/>
          <w:lang w:val="en-NZ"/>
        </w:rPr>
        <w:lastRenderedPageBreak/>
        <w:t>Glossary</w:t>
      </w:r>
    </w:p>
    <w:p w:rsidR="004801DD" w:rsidRDefault="004801DD" w:rsidP="00A51148">
      <w:pPr>
        <w:suppressLineNumbers w:val="0"/>
        <w:spacing w:line="480" w:lineRule="auto"/>
        <w:ind w:right="283"/>
        <w:rPr>
          <w:b/>
          <w:bCs/>
          <w:lang w:val="en-NZ"/>
        </w:rPr>
      </w:pPr>
      <w:r w:rsidRPr="004801DD">
        <w:rPr>
          <w:b/>
          <w:bCs/>
          <w:lang w:val="en-NZ"/>
        </w:rPr>
        <w:t>Introduction</w:t>
      </w:r>
    </w:p>
    <w:p w:rsidR="004801DD" w:rsidRPr="004801DD" w:rsidRDefault="004801DD" w:rsidP="004801DD">
      <w:pPr>
        <w:suppressLineNumbers w:val="0"/>
        <w:spacing w:line="480" w:lineRule="auto"/>
        <w:ind w:right="283"/>
        <w:rPr>
          <w:b/>
          <w:bCs/>
          <w:color w:val="000000" w:themeColor="text1"/>
          <w:lang w:val="en-NZ"/>
        </w:rPr>
      </w:pPr>
      <w:r w:rsidRPr="004801DD">
        <w:rPr>
          <w:b/>
          <w:bCs/>
          <w:color w:val="000000" w:themeColor="text1"/>
          <w:lang w:val="en-NZ"/>
        </w:rPr>
        <w:t>Management processes</w:t>
      </w:r>
    </w:p>
    <w:p w:rsidR="004801DD" w:rsidRDefault="004801DD" w:rsidP="004801DD">
      <w:pPr>
        <w:suppressLineNumbers w:val="0"/>
        <w:spacing w:line="480" w:lineRule="auto"/>
        <w:ind w:right="283"/>
        <w:rPr>
          <w:bCs/>
          <w:i/>
          <w:color w:val="000000" w:themeColor="text1"/>
          <w:lang w:val="en-NZ"/>
        </w:rPr>
      </w:pPr>
      <w:r w:rsidRPr="00753453">
        <w:rPr>
          <w:bCs/>
          <w:i/>
          <w:color w:val="000000" w:themeColor="text1"/>
          <w:lang w:val="en-NZ"/>
        </w:rPr>
        <w:t>Decision-making</w:t>
      </w:r>
    </w:p>
    <w:p w:rsidR="00675D47" w:rsidRPr="00753453" w:rsidRDefault="00675D47" w:rsidP="004801DD">
      <w:pPr>
        <w:suppressLineNumbers w:val="0"/>
        <w:spacing w:line="480" w:lineRule="auto"/>
        <w:ind w:right="283"/>
        <w:rPr>
          <w:bCs/>
          <w:i/>
          <w:color w:val="000000" w:themeColor="text1"/>
          <w:lang w:val="en-NZ"/>
        </w:rPr>
      </w:pPr>
      <w:r>
        <w:rPr>
          <w:bCs/>
          <w:i/>
          <w:color w:val="000000" w:themeColor="text1"/>
          <w:lang w:val="en-NZ"/>
        </w:rPr>
        <w:t>Stakeholders’ involvement</w:t>
      </w:r>
    </w:p>
    <w:p w:rsidR="004801DD" w:rsidRPr="00753453" w:rsidRDefault="004801DD" w:rsidP="004801DD">
      <w:pPr>
        <w:suppressLineNumbers w:val="0"/>
        <w:spacing w:line="480" w:lineRule="auto"/>
        <w:rPr>
          <w:i/>
          <w:lang w:val="en-US"/>
        </w:rPr>
      </w:pPr>
      <w:r w:rsidRPr="00753453">
        <w:rPr>
          <w:i/>
          <w:lang w:val="en-US"/>
        </w:rPr>
        <w:t>Science</w:t>
      </w:r>
    </w:p>
    <w:p w:rsidR="004801DD" w:rsidRPr="004801DD" w:rsidRDefault="004801DD" w:rsidP="004801DD">
      <w:pPr>
        <w:pStyle w:val="Brdtekst3"/>
        <w:spacing w:line="480" w:lineRule="auto"/>
        <w:ind w:right="283"/>
        <w:rPr>
          <w:b/>
        </w:rPr>
      </w:pPr>
      <w:r w:rsidRPr="004801DD">
        <w:rPr>
          <w:b/>
        </w:rPr>
        <w:t>Mana</w:t>
      </w:r>
      <w:r w:rsidR="001002E2">
        <w:rPr>
          <w:b/>
        </w:rPr>
        <w:t>gement objectives</w:t>
      </w:r>
      <w:r w:rsidR="00675D47">
        <w:rPr>
          <w:b/>
        </w:rPr>
        <w:t xml:space="preserve"> and strategies</w:t>
      </w:r>
    </w:p>
    <w:p w:rsidR="004801DD" w:rsidRPr="004801DD" w:rsidRDefault="004801DD" w:rsidP="004801DD">
      <w:pPr>
        <w:pStyle w:val="Brdtekst3"/>
        <w:spacing w:line="480" w:lineRule="auto"/>
        <w:ind w:right="283"/>
        <w:rPr>
          <w:b/>
        </w:rPr>
      </w:pPr>
      <w:r w:rsidRPr="004801DD">
        <w:rPr>
          <w:b/>
        </w:rPr>
        <w:t>Management tools</w:t>
      </w:r>
    </w:p>
    <w:p w:rsidR="004801DD" w:rsidRPr="00753453" w:rsidRDefault="004801DD" w:rsidP="004801DD">
      <w:pPr>
        <w:pStyle w:val="Brdtekst3"/>
        <w:spacing w:line="480" w:lineRule="auto"/>
        <w:ind w:right="283"/>
        <w:rPr>
          <w:i/>
        </w:rPr>
      </w:pPr>
      <w:r w:rsidRPr="00753453">
        <w:rPr>
          <w:i/>
        </w:rPr>
        <w:t>Conservation measures</w:t>
      </w:r>
    </w:p>
    <w:p w:rsidR="004801DD" w:rsidRPr="00753453" w:rsidRDefault="004801DD" w:rsidP="004801DD">
      <w:pPr>
        <w:pStyle w:val="Brdtekst3"/>
        <w:spacing w:line="480" w:lineRule="auto"/>
        <w:ind w:right="283"/>
        <w:rPr>
          <w:i/>
        </w:rPr>
      </w:pPr>
      <w:r w:rsidRPr="00753453">
        <w:rPr>
          <w:i/>
        </w:rPr>
        <w:t>Access regulations</w:t>
      </w:r>
    </w:p>
    <w:p w:rsidR="004801DD" w:rsidRPr="00DE2626" w:rsidRDefault="004801DD" w:rsidP="004801DD">
      <w:pPr>
        <w:pStyle w:val="Brdtekst3"/>
        <w:spacing w:line="480" w:lineRule="auto"/>
        <w:ind w:right="283"/>
        <w:rPr>
          <w:b/>
        </w:rPr>
      </w:pPr>
      <w:r w:rsidRPr="00DE2626">
        <w:rPr>
          <w:b/>
        </w:rPr>
        <w:t>Management performances</w:t>
      </w:r>
    </w:p>
    <w:p w:rsidR="004801DD" w:rsidRPr="00753453" w:rsidRDefault="004801DD" w:rsidP="004801DD">
      <w:pPr>
        <w:pStyle w:val="Brdtekst3"/>
        <w:spacing w:line="480" w:lineRule="auto"/>
        <w:ind w:right="283"/>
        <w:rPr>
          <w:i/>
        </w:rPr>
      </w:pPr>
      <w:r w:rsidRPr="00753453">
        <w:rPr>
          <w:i/>
        </w:rPr>
        <w:t>Conservati</w:t>
      </w:r>
      <w:r w:rsidR="00704A76">
        <w:rPr>
          <w:i/>
        </w:rPr>
        <w:t>on</w:t>
      </w:r>
    </w:p>
    <w:p w:rsidR="00DE2626" w:rsidRPr="00753453" w:rsidRDefault="00DE2626" w:rsidP="00DE2626">
      <w:pPr>
        <w:pStyle w:val="Brdtekst3"/>
        <w:spacing w:line="480" w:lineRule="auto"/>
        <w:ind w:right="283"/>
        <w:rPr>
          <w:i/>
        </w:rPr>
      </w:pPr>
      <w:r w:rsidRPr="00753453">
        <w:rPr>
          <w:i/>
        </w:rPr>
        <w:t>Economics</w:t>
      </w:r>
    </w:p>
    <w:p w:rsidR="00DE2626" w:rsidRPr="00DE2626" w:rsidRDefault="00DE2626" w:rsidP="00DE2626">
      <w:pPr>
        <w:pStyle w:val="Brdtekst3"/>
        <w:spacing w:line="480" w:lineRule="auto"/>
        <w:ind w:right="283"/>
        <w:rPr>
          <w:b/>
        </w:rPr>
      </w:pPr>
      <w:r w:rsidRPr="00DE2626">
        <w:rPr>
          <w:b/>
        </w:rPr>
        <w:t>Conclusions</w:t>
      </w:r>
    </w:p>
    <w:p w:rsidR="00DE2626" w:rsidRDefault="00DE2626" w:rsidP="00DE2626">
      <w:pPr>
        <w:pStyle w:val="Brdtekst3"/>
        <w:spacing w:line="480" w:lineRule="auto"/>
        <w:ind w:right="283"/>
        <w:rPr>
          <w:b/>
        </w:rPr>
      </w:pPr>
      <w:r w:rsidRPr="00DE2626">
        <w:rPr>
          <w:b/>
        </w:rPr>
        <w:t>Acknowledgements</w:t>
      </w:r>
    </w:p>
    <w:p w:rsidR="00DE2626" w:rsidRPr="00DE2626" w:rsidRDefault="00DE2626" w:rsidP="00DE2626">
      <w:pPr>
        <w:pStyle w:val="Brdtekst3"/>
        <w:spacing w:line="480" w:lineRule="auto"/>
        <w:ind w:right="283"/>
        <w:rPr>
          <w:b/>
        </w:rPr>
      </w:pPr>
      <w:r w:rsidRPr="00DE2626">
        <w:rPr>
          <w:b/>
        </w:rPr>
        <w:t>References</w:t>
      </w:r>
    </w:p>
    <w:p w:rsidR="004801DD" w:rsidRDefault="004801DD" w:rsidP="00A51148">
      <w:pPr>
        <w:suppressLineNumbers w:val="0"/>
        <w:spacing w:line="480" w:lineRule="auto"/>
        <w:ind w:right="283"/>
        <w:rPr>
          <w:b/>
          <w:bCs/>
          <w:sz w:val="28"/>
          <w:lang w:val="en-NZ"/>
        </w:rPr>
      </w:pPr>
    </w:p>
    <w:p w:rsidR="00EF715E" w:rsidRPr="00EF715E" w:rsidRDefault="002F4BAF" w:rsidP="00A51148">
      <w:pPr>
        <w:suppressLineNumbers w:val="0"/>
        <w:spacing w:line="480" w:lineRule="auto"/>
        <w:ind w:right="283"/>
        <w:rPr>
          <w:b/>
          <w:bCs/>
          <w:sz w:val="28"/>
          <w:lang w:val="en-NZ"/>
        </w:rPr>
      </w:pPr>
      <w:r>
        <w:rPr>
          <w:b/>
          <w:bCs/>
          <w:sz w:val="28"/>
          <w:lang w:val="en-NZ"/>
        </w:rPr>
        <w:t>Glossary</w:t>
      </w:r>
    </w:p>
    <w:p w:rsidR="00BC5D29" w:rsidRDefault="00BC5D29" w:rsidP="00BC5D29">
      <w:pPr>
        <w:suppressLineNumbers w:val="0"/>
        <w:spacing w:line="480" w:lineRule="auto"/>
        <w:ind w:right="283"/>
        <w:rPr>
          <w:bCs/>
          <w:sz w:val="28"/>
          <w:lang w:val="en-NZ"/>
        </w:rPr>
      </w:pPr>
      <w:r>
        <w:rPr>
          <w:bCs/>
          <w:sz w:val="28"/>
          <w:lang w:val="en-NZ"/>
        </w:rPr>
        <w:t>AC:</w:t>
      </w:r>
      <w:r>
        <w:rPr>
          <w:bCs/>
          <w:sz w:val="28"/>
          <w:lang w:val="en-NZ"/>
        </w:rPr>
        <w:tab/>
      </w:r>
      <w:r>
        <w:rPr>
          <w:bCs/>
          <w:sz w:val="28"/>
          <w:lang w:val="en-NZ"/>
        </w:rPr>
        <w:tab/>
        <w:t>(EU) Advisory Committee</w:t>
      </w:r>
    </w:p>
    <w:p w:rsidR="00BC5D29" w:rsidRDefault="00BC5D29" w:rsidP="00A51148">
      <w:pPr>
        <w:suppressLineNumbers w:val="0"/>
        <w:spacing w:line="480" w:lineRule="auto"/>
        <w:ind w:right="283"/>
        <w:rPr>
          <w:bCs/>
          <w:sz w:val="28"/>
          <w:lang w:val="en-NZ"/>
        </w:rPr>
      </w:pPr>
      <w:r>
        <w:rPr>
          <w:bCs/>
          <w:sz w:val="28"/>
          <w:lang w:val="en-NZ"/>
        </w:rPr>
        <w:t>ACE:</w:t>
      </w:r>
      <w:r>
        <w:rPr>
          <w:bCs/>
          <w:sz w:val="28"/>
          <w:lang w:val="en-NZ"/>
        </w:rPr>
        <w:tab/>
      </w:r>
      <w:r>
        <w:rPr>
          <w:bCs/>
          <w:sz w:val="28"/>
          <w:lang w:val="en-NZ"/>
        </w:rPr>
        <w:tab/>
        <w:t>(New Zealand) Annual Catch Entitlement</w:t>
      </w:r>
    </w:p>
    <w:p w:rsidR="0030239C" w:rsidRDefault="0030239C" w:rsidP="00A51148">
      <w:pPr>
        <w:suppressLineNumbers w:val="0"/>
        <w:spacing w:line="480" w:lineRule="auto"/>
        <w:ind w:right="283"/>
        <w:rPr>
          <w:bCs/>
          <w:sz w:val="28"/>
          <w:lang w:val="en-NZ"/>
        </w:rPr>
      </w:pPr>
      <w:r>
        <w:rPr>
          <w:bCs/>
          <w:sz w:val="28"/>
          <w:lang w:val="en-NZ"/>
        </w:rPr>
        <w:t>AFMA:</w:t>
      </w:r>
      <w:r>
        <w:rPr>
          <w:bCs/>
          <w:sz w:val="28"/>
          <w:lang w:val="en-NZ"/>
        </w:rPr>
        <w:tab/>
        <w:t>Australian Fisheries Management Authority</w:t>
      </w:r>
    </w:p>
    <w:p w:rsidR="00800F21" w:rsidRDefault="00B03D34" w:rsidP="00A51148">
      <w:pPr>
        <w:suppressLineNumbers w:val="0"/>
        <w:spacing w:line="480" w:lineRule="auto"/>
        <w:ind w:right="283"/>
        <w:rPr>
          <w:bCs/>
          <w:sz w:val="28"/>
          <w:lang w:val="en-NZ"/>
        </w:rPr>
      </w:pPr>
      <w:r>
        <w:rPr>
          <w:bCs/>
          <w:sz w:val="28"/>
          <w:lang w:val="en-NZ"/>
        </w:rPr>
        <w:t>B:</w:t>
      </w:r>
      <w:r>
        <w:rPr>
          <w:bCs/>
          <w:sz w:val="28"/>
          <w:lang w:val="en-NZ"/>
        </w:rPr>
        <w:tab/>
      </w:r>
      <w:r>
        <w:rPr>
          <w:bCs/>
          <w:sz w:val="28"/>
          <w:lang w:val="en-NZ"/>
        </w:rPr>
        <w:tab/>
      </w:r>
      <w:r w:rsidR="00DB0F65">
        <w:rPr>
          <w:bCs/>
          <w:sz w:val="28"/>
          <w:lang w:val="en-NZ"/>
        </w:rPr>
        <w:t xml:space="preserve">(Fish/Shellfish) </w:t>
      </w:r>
      <w:r>
        <w:rPr>
          <w:bCs/>
          <w:sz w:val="28"/>
          <w:lang w:val="en-NZ"/>
        </w:rPr>
        <w:t>Biomass</w:t>
      </w:r>
    </w:p>
    <w:p w:rsidR="002F4BAF" w:rsidRDefault="00EF715E" w:rsidP="00A51148">
      <w:pPr>
        <w:suppressLineNumbers w:val="0"/>
        <w:spacing w:line="480" w:lineRule="auto"/>
        <w:ind w:right="283"/>
        <w:rPr>
          <w:bCs/>
          <w:sz w:val="28"/>
          <w:lang w:val="en-NZ"/>
        </w:rPr>
      </w:pPr>
      <w:r w:rsidRPr="00EF715E">
        <w:rPr>
          <w:bCs/>
          <w:sz w:val="28"/>
          <w:lang w:val="en-NZ"/>
        </w:rPr>
        <w:lastRenderedPageBreak/>
        <w:t>CF</w:t>
      </w:r>
      <w:r>
        <w:rPr>
          <w:bCs/>
          <w:sz w:val="28"/>
          <w:lang w:val="en-NZ"/>
        </w:rPr>
        <w:t>P:</w:t>
      </w:r>
      <w:r>
        <w:rPr>
          <w:bCs/>
          <w:sz w:val="28"/>
          <w:lang w:val="en-NZ"/>
        </w:rPr>
        <w:tab/>
      </w:r>
      <w:r>
        <w:rPr>
          <w:bCs/>
          <w:sz w:val="28"/>
          <w:lang w:val="en-NZ"/>
        </w:rPr>
        <w:tab/>
      </w:r>
      <w:r w:rsidR="00616FBD">
        <w:rPr>
          <w:bCs/>
          <w:sz w:val="28"/>
          <w:lang w:val="en-NZ"/>
        </w:rPr>
        <w:t xml:space="preserve">(European Union) </w:t>
      </w:r>
      <w:r>
        <w:rPr>
          <w:bCs/>
          <w:sz w:val="28"/>
          <w:lang w:val="en-NZ"/>
        </w:rPr>
        <w:t>Common Fisheries Policy</w:t>
      </w:r>
    </w:p>
    <w:p w:rsidR="000252F0" w:rsidRDefault="000252F0" w:rsidP="00A51148">
      <w:pPr>
        <w:suppressLineNumbers w:val="0"/>
        <w:spacing w:line="480" w:lineRule="auto"/>
        <w:ind w:right="283"/>
        <w:rPr>
          <w:bCs/>
          <w:sz w:val="28"/>
          <w:lang w:val="en-NZ"/>
        </w:rPr>
      </w:pPr>
      <w:r>
        <w:rPr>
          <w:bCs/>
          <w:sz w:val="28"/>
          <w:lang w:val="en-NZ"/>
        </w:rPr>
        <w:t>DLS:</w:t>
      </w:r>
      <w:r>
        <w:rPr>
          <w:bCs/>
          <w:sz w:val="28"/>
          <w:lang w:val="en-NZ"/>
        </w:rPr>
        <w:tab/>
      </w:r>
      <w:r>
        <w:rPr>
          <w:bCs/>
          <w:sz w:val="28"/>
          <w:lang w:val="en-NZ"/>
        </w:rPr>
        <w:tab/>
        <w:t>Data-Limited S</w:t>
      </w:r>
      <w:r w:rsidR="00CA21C0">
        <w:rPr>
          <w:bCs/>
          <w:sz w:val="28"/>
          <w:lang w:val="en-NZ"/>
        </w:rPr>
        <w:t>tock</w:t>
      </w:r>
      <w:r>
        <w:rPr>
          <w:bCs/>
          <w:sz w:val="28"/>
          <w:lang w:val="en-NZ"/>
        </w:rPr>
        <w:t>s</w:t>
      </w:r>
    </w:p>
    <w:p w:rsidR="009D23C0" w:rsidRDefault="009D23C0" w:rsidP="00A51148">
      <w:pPr>
        <w:suppressLineNumbers w:val="0"/>
        <w:spacing w:line="480" w:lineRule="auto"/>
        <w:ind w:right="283"/>
        <w:rPr>
          <w:bCs/>
          <w:sz w:val="28"/>
          <w:lang w:val="en-NZ"/>
        </w:rPr>
      </w:pPr>
      <w:r>
        <w:rPr>
          <w:bCs/>
          <w:sz w:val="28"/>
          <w:lang w:val="en-NZ"/>
        </w:rPr>
        <w:t>EEZ:</w:t>
      </w:r>
      <w:r>
        <w:rPr>
          <w:bCs/>
          <w:sz w:val="28"/>
          <w:lang w:val="en-NZ"/>
        </w:rPr>
        <w:tab/>
      </w:r>
      <w:r>
        <w:rPr>
          <w:bCs/>
          <w:sz w:val="28"/>
          <w:lang w:val="en-NZ"/>
        </w:rPr>
        <w:tab/>
        <w:t>Exclusive Economic Zone</w:t>
      </w:r>
    </w:p>
    <w:p w:rsidR="00EF715E" w:rsidRDefault="00EF715E" w:rsidP="00A51148">
      <w:pPr>
        <w:suppressLineNumbers w:val="0"/>
        <w:spacing w:line="480" w:lineRule="auto"/>
        <w:ind w:right="283"/>
        <w:rPr>
          <w:bCs/>
          <w:sz w:val="28"/>
          <w:lang w:val="en-NZ"/>
        </w:rPr>
      </w:pPr>
      <w:r>
        <w:rPr>
          <w:bCs/>
          <w:sz w:val="28"/>
          <w:lang w:val="en-NZ"/>
        </w:rPr>
        <w:t>EU:</w:t>
      </w:r>
      <w:r>
        <w:rPr>
          <w:bCs/>
          <w:sz w:val="28"/>
          <w:lang w:val="en-NZ"/>
        </w:rPr>
        <w:tab/>
      </w:r>
      <w:r>
        <w:rPr>
          <w:bCs/>
          <w:sz w:val="28"/>
          <w:lang w:val="en-NZ"/>
        </w:rPr>
        <w:tab/>
        <w:t>European Union</w:t>
      </w:r>
    </w:p>
    <w:p w:rsidR="00800F21" w:rsidRDefault="00800F21" w:rsidP="00A51148">
      <w:pPr>
        <w:suppressLineNumbers w:val="0"/>
        <w:spacing w:line="480" w:lineRule="auto"/>
        <w:ind w:right="283"/>
        <w:rPr>
          <w:bCs/>
          <w:sz w:val="28"/>
          <w:lang w:val="en-NZ"/>
        </w:rPr>
      </w:pPr>
      <w:r>
        <w:rPr>
          <w:bCs/>
          <w:sz w:val="28"/>
          <w:lang w:val="en-NZ"/>
        </w:rPr>
        <w:t>F:</w:t>
      </w:r>
      <w:r>
        <w:rPr>
          <w:bCs/>
          <w:sz w:val="28"/>
          <w:lang w:val="en-NZ"/>
        </w:rPr>
        <w:tab/>
      </w:r>
      <w:r>
        <w:rPr>
          <w:bCs/>
          <w:sz w:val="28"/>
          <w:lang w:val="en-NZ"/>
        </w:rPr>
        <w:tab/>
        <w:t>Fishing mortality</w:t>
      </w:r>
    </w:p>
    <w:p w:rsidR="00EF715E" w:rsidRDefault="00EF715E" w:rsidP="00A51148">
      <w:pPr>
        <w:suppressLineNumbers w:val="0"/>
        <w:spacing w:line="480" w:lineRule="auto"/>
        <w:ind w:right="283"/>
        <w:rPr>
          <w:bCs/>
          <w:sz w:val="28"/>
          <w:lang w:val="en-NZ"/>
        </w:rPr>
      </w:pPr>
      <w:r>
        <w:rPr>
          <w:bCs/>
          <w:sz w:val="28"/>
          <w:lang w:val="en-NZ"/>
        </w:rPr>
        <w:t>GFCM:</w:t>
      </w:r>
      <w:r>
        <w:rPr>
          <w:bCs/>
          <w:sz w:val="28"/>
          <w:lang w:val="en-NZ"/>
        </w:rPr>
        <w:tab/>
        <w:t>General Fisheries Committee for the Mediterranean Sea</w:t>
      </w:r>
    </w:p>
    <w:p w:rsidR="00376EC6" w:rsidRDefault="00376EC6" w:rsidP="00A51148">
      <w:pPr>
        <w:suppressLineNumbers w:val="0"/>
        <w:spacing w:line="480" w:lineRule="auto"/>
        <w:ind w:right="283"/>
        <w:rPr>
          <w:bCs/>
          <w:sz w:val="28"/>
          <w:lang w:val="en-NZ"/>
        </w:rPr>
      </w:pPr>
      <w:r>
        <w:rPr>
          <w:bCs/>
          <w:sz w:val="28"/>
          <w:lang w:val="en-NZ"/>
        </w:rPr>
        <w:t>GFT:</w:t>
      </w:r>
      <w:r>
        <w:rPr>
          <w:bCs/>
          <w:sz w:val="28"/>
          <w:lang w:val="en-NZ"/>
        </w:rPr>
        <w:tab/>
      </w:r>
      <w:r>
        <w:rPr>
          <w:bCs/>
          <w:sz w:val="28"/>
          <w:lang w:val="en-NZ"/>
        </w:rPr>
        <w:tab/>
        <w:t>Government Financial Transfer</w:t>
      </w:r>
    </w:p>
    <w:p w:rsidR="00616FBD" w:rsidRDefault="00616FBD" w:rsidP="00A51148">
      <w:pPr>
        <w:suppressLineNumbers w:val="0"/>
        <w:spacing w:line="480" w:lineRule="auto"/>
        <w:ind w:right="283"/>
        <w:rPr>
          <w:bCs/>
          <w:sz w:val="28"/>
          <w:lang w:val="en-NZ"/>
        </w:rPr>
      </w:pPr>
      <w:r>
        <w:rPr>
          <w:bCs/>
          <w:sz w:val="28"/>
          <w:lang w:val="en-NZ"/>
        </w:rPr>
        <w:t>HCR:</w:t>
      </w:r>
      <w:r>
        <w:rPr>
          <w:bCs/>
          <w:sz w:val="28"/>
          <w:lang w:val="en-NZ"/>
        </w:rPr>
        <w:tab/>
      </w:r>
      <w:r>
        <w:rPr>
          <w:bCs/>
          <w:sz w:val="28"/>
          <w:lang w:val="en-NZ"/>
        </w:rPr>
        <w:tab/>
        <w:t>Harvest Control Rule</w:t>
      </w:r>
    </w:p>
    <w:p w:rsidR="00675D47" w:rsidRDefault="00675D47" w:rsidP="00A51148">
      <w:pPr>
        <w:suppressLineNumbers w:val="0"/>
        <w:spacing w:line="480" w:lineRule="auto"/>
        <w:ind w:right="283"/>
        <w:rPr>
          <w:bCs/>
          <w:sz w:val="28"/>
          <w:lang w:val="en-NZ"/>
        </w:rPr>
      </w:pPr>
      <w:r>
        <w:rPr>
          <w:bCs/>
          <w:sz w:val="28"/>
          <w:lang w:val="en-NZ"/>
        </w:rPr>
        <w:t>HSP:</w:t>
      </w:r>
      <w:r>
        <w:rPr>
          <w:bCs/>
          <w:sz w:val="28"/>
          <w:lang w:val="en-NZ"/>
        </w:rPr>
        <w:tab/>
      </w:r>
      <w:r>
        <w:rPr>
          <w:bCs/>
          <w:sz w:val="28"/>
          <w:lang w:val="en-NZ"/>
        </w:rPr>
        <w:tab/>
        <w:t>(Australian) Harvest Strategy Policy</w:t>
      </w:r>
    </w:p>
    <w:p w:rsidR="00675D47" w:rsidRDefault="00675D47" w:rsidP="00A51148">
      <w:pPr>
        <w:suppressLineNumbers w:val="0"/>
        <w:spacing w:line="480" w:lineRule="auto"/>
        <w:ind w:right="283"/>
        <w:rPr>
          <w:bCs/>
          <w:sz w:val="28"/>
          <w:lang w:val="en-NZ"/>
        </w:rPr>
      </w:pPr>
      <w:r>
        <w:rPr>
          <w:bCs/>
          <w:sz w:val="28"/>
          <w:lang w:val="en-NZ"/>
        </w:rPr>
        <w:t>HSS:</w:t>
      </w:r>
      <w:r>
        <w:rPr>
          <w:bCs/>
          <w:sz w:val="28"/>
          <w:lang w:val="en-NZ"/>
        </w:rPr>
        <w:tab/>
      </w:r>
      <w:r>
        <w:rPr>
          <w:bCs/>
          <w:sz w:val="28"/>
          <w:lang w:val="en-NZ"/>
        </w:rPr>
        <w:tab/>
        <w:t>(New Zealand) Harvest Strategy Standards</w:t>
      </w:r>
    </w:p>
    <w:p w:rsidR="00EF715E" w:rsidRDefault="00EF715E" w:rsidP="00A51148">
      <w:pPr>
        <w:suppressLineNumbers w:val="0"/>
        <w:spacing w:line="480" w:lineRule="auto"/>
        <w:ind w:right="283"/>
        <w:rPr>
          <w:bCs/>
          <w:sz w:val="28"/>
          <w:lang w:val="en-NZ"/>
        </w:rPr>
      </w:pPr>
      <w:r>
        <w:rPr>
          <w:bCs/>
          <w:sz w:val="28"/>
          <w:lang w:val="en-NZ"/>
        </w:rPr>
        <w:t>IC-NZ-AU:</w:t>
      </w:r>
      <w:r>
        <w:rPr>
          <w:bCs/>
          <w:sz w:val="28"/>
          <w:lang w:val="en-NZ"/>
        </w:rPr>
        <w:tab/>
        <w:t>Iceland, New Zealand and Australia</w:t>
      </w:r>
    </w:p>
    <w:p w:rsidR="00EF715E" w:rsidRDefault="00EF715E" w:rsidP="00A51148">
      <w:pPr>
        <w:suppressLineNumbers w:val="0"/>
        <w:spacing w:line="480" w:lineRule="auto"/>
        <w:ind w:right="283"/>
        <w:rPr>
          <w:bCs/>
          <w:sz w:val="28"/>
          <w:lang w:val="en-NZ"/>
        </w:rPr>
      </w:pPr>
      <w:r>
        <w:rPr>
          <w:bCs/>
          <w:sz w:val="28"/>
          <w:lang w:val="en-NZ"/>
        </w:rPr>
        <w:t>ICES:</w:t>
      </w:r>
      <w:r>
        <w:rPr>
          <w:bCs/>
          <w:sz w:val="28"/>
          <w:lang w:val="en-NZ"/>
        </w:rPr>
        <w:tab/>
      </w:r>
      <w:r>
        <w:rPr>
          <w:bCs/>
          <w:sz w:val="28"/>
          <w:lang w:val="en-NZ"/>
        </w:rPr>
        <w:tab/>
        <w:t>International Council for the Exploration of the Sea</w:t>
      </w:r>
    </w:p>
    <w:p w:rsidR="00D15999" w:rsidRPr="00D17A75" w:rsidRDefault="00D15999" w:rsidP="00A51148">
      <w:pPr>
        <w:suppressLineNumbers w:val="0"/>
        <w:spacing w:line="480" w:lineRule="auto"/>
        <w:ind w:right="283"/>
        <w:rPr>
          <w:bCs/>
          <w:sz w:val="28"/>
        </w:rPr>
      </w:pPr>
      <w:r w:rsidRPr="00F70E9C">
        <w:rPr>
          <w:bCs/>
          <w:sz w:val="28"/>
        </w:rPr>
        <w:t>IQ:</w:t>
      </w:r>
      <w:r w:rsidRPr="00F70E9C">
        <w:rPr>
          <w:bCs/>
          <w:sz w:val="28"/>
        </w:rPr>
        <w:tab/>
      </w:r>
      <w:r w:rsidRPr="00F70E9C">
        <w:rPr>
          <w:bCs/>
          <w:sz w:val="28"/>
        </w:rPr>
        <w:tab/>
        <w:t>Individual Q</w:t>
      </w:r>
      <w:r w:rsidRPr="00D17A75">
        <w:rPr>
          <w:bCs/>
          <w:sz w:val="28"/>
        </w:rPr>
        <w:t>uota</w:t>
      </w:r>
    </w:p>
    <w:p w:rsidR="00D15999" w:rsidRPr="00D17A75" w:rsidRDefault="00D15999" w:rsidP="00A51148">
      <w:pPr>
        <w:suppressLineNumbers w:val="0"/>
        <w:spacing w:line="480" w:lineRule="auto"/>
        <w:ind w:right="283"/>
        <w:rPr>
          <w:bCs/>
          <w:sz w:val="28"/>
        </w:rPr>
      </w:pPr>
      <w:r w:rsidRPr="00D17A75">
        <w:rPr>
          <w:bCs/>
          <w:sz w:val="28"/>
        </w:rPr>
        <w:t>ITQ:</w:t>
      </w:r>
      <w:r w:rsidRPr="00D17A75">
        <w:rPr>
          <w:bCs/>
          <w:sz w:val="28"/>
        </w:rPr>
        <w:tab/>
      </w:r>
      <w:r w:rsidRPr="00D17A75">
        <w:rPr>
          <w:bCs/>
          <w:sz w:val="28"/>
        </w:rPr>
        <w:tab/>
        <w:t>Individual Transferable Quota</w:t>
      </w:r>
    </w:p>
    <w:p w:rsidR="00D15999" w:rsidRDefault="00D15999" w:rsidP="00A51148">
      <w:pPr>
        <w:suppressLineNumbers w:val="0"/>
        <w:spacing w:line="480" w:lineRule="auto"/>
        <w:ind w:right="283"/>
        <w:rPr>
          <w:bCs/>
          <w:sz w:val="28"/>
          <w:lang w:val="en-NZ"/>
        </w:rPr>
      </w:pPr>
      <w:r>
        <w:rPr>
          <w:bCs/>
          <w:sz w:val="28"/>
          <w:lang w:val="en-NZ"/>
        </w:rPr>
        <w:t>MAC:</w:t>
      </w:r>
      <w:r>
        <w:rPr>
          <w:bCs/>
          <w:sz w:val="28"/>
          <w:lang w:val="en-NZ"/>
        </w:rPr>
        <w:tab/>
        <w:t>(Australian) Management Advisory Committee</w:t>
      </w:r>
    </w:p>
    <w:p w:rsidR="00376EC6" w:rsidRDefault="00376EC6" w:rsidP="00A51148">
      <w:pPr>
        <w:suppressLineNumbers w:val="0"/>
        <w:spacing w:line="480" w:lineRule="auto"/>
        <w:ind w:right="283"/>
        <w:rPr>
          <w:bCs/>
          <w:sz w:val="28"/>
          <w:lang w:val="en-NZ"/>
        </w:rPr>
      </w:pPr>
      <w:r>
        <w:rPr>
          <w:bCs/>
          <w:sz w:val="28"/>
          <w:lang w:val="en-NZ"/>
        </w:rPr>
        <w:t>MCS:</w:t>
      </w:r>
      <w:r>
        <w:rPr>
          <w:bCs/>
          <w:sz w:val="28"/>
          <w:lang w:val="en-NZ"/>
        </w:rPr>
        <w:tab/>
      </w:r>
      <w:r>
        <w:rPr>
          <w:bCs/>
          <w:sz w:val="28"/>
          <w:lang w:val="en-NZ"/>
        </w:rPr>
        <w:tab/>
        <w:t>Minimum Catch Size</w:t>
      </w:r>
    </w:p>
    <w:p w:rsidR="00675D47" w:rsidRDefault="00675D47" w:rsidP="00A51148">
      <w:pPr>
        <w:suppressLineNumbers w:val="0"/>
        <w:spacing w:line="480" w:lineRule="auto"/>
        <w:ind w:right="283"/>
        <w:rPr>
          <w:bCs/>
          <w:sz w:val="28"/>
          <w:lang w:val="en-NZ"/>
        </w:rPr>
      </w:pPr>
      <w:r>
        <w:rPr>
          <w:bCs/>
          <w:sz w:val="28"/>
          <w:lang w:val="en-NZ"/>
        </w:rPr>
        <w:t xml:space="preserve">MEY: </w:t>
      </w:r>
      <w:r>
        <w:rPr>
          <w:bCs/>
          <w:sz w:val="28"/>
          <w:lang w:val="en-NZ"/>
        </w:rPr>
        <w:tab/>
        <w:t>Maximum Economic Yield</w:t>
      </w:r>
    </w:p>
    <w:p w:rsidR="00376EC6" w:rsidRDefault="00376EC6" w:rsidP="00A51148">
      <w:pPr>
        <w:suppressLineNumbers w:val="0"/>
        <w:spacing w:line="480" w:lineRule="auto"/>
        <w:ind w:right="283"/>
        <w:rPr>
          <w:bCs/>
          <w:sz w:val="28"/>
          <w:lang w:val="en-NZ"/>
        </w:rPr>
      </w:pPr>
      <w:r>
        <w:rPr>
          <w:bCs/>
          <w:sz w:val="28"/>
          <w:lang w:val="en-NZ"/>
        </w:rPr>
        <w:t>MLS:</w:t>
      </w:r>
      <w:r>
        <w:rPr>
          <w:bCs/>
          <w:sz w:val="28"/>
          <w:lang w:val="en-NZ"/>
        </w:rPr>
        <w:tab/>
      </w:r>
      <w:r>
        <w:rPr>
          <w:bCs/>
          <w:sz w:val="28"/>
          <w:lang w:val="en-NZ"/>
        </w:rPr>
        <w:tab/>
        <w:t>Minimum Landing Size</w:t>
      </w:r>
    </w:p>
    <w:p w:rsidR="00800F21" w:rsidRDefault="00800F21" w:rsidP="00A51148">
      <w:pPr>
        <w:suppressLineNumbers w:val="0"/>
        <w:spacing w:line="480" w:lineRule="auto"/>
        <w:ind w:right="283"/>
        <w:rPr>
          <w:bCs/>
          <w:sz w:val="28"/>
          <w:lang w:val="en-NZ"/>
        </w:rPr>
      </w:pPr>
      <w:r>
        <w:rPr>
          <w:bCs/>
          <w:sz w:val="28"/>
          <w:lang w:val="en-NZ"/>
        </w:rPr>
        <w:lastRenderedPageBreak/>
        <w:t>MSY:</w:t>
      </w:r>
      <w:r>
        <w:rPr>
          <w:bCs/>
          <w:sz w:val="28"/>
          <w:lang w:val="en-NZ"/>
        </w:rPr>
        <w:tab/>
      </w:r>
      <w:r>
        <w:rPr>
          <w:bCs/>
          <w:sz w:val="28"/>
          <w:lang w:val="en-NZ"/>
        </w:rPr>
        <w:tab/>
        <w:t>Maximum Sustainable Yield</w:t>
      </w:r>
    </w:p>
    <w:p w:rsidR="007471DB" w:rsidRDefault="007471DB" w:rsidP="00A51148">
      <w:pPr>
        <w:suppressLineNumbers w:val="0"/>
        <w:spacing w:line="480" w:lineRule="auto"/>
        <w:ind w:right="283"/>
        <w:rPr>
          <w:bCs/>
          <w:sz w:val="28"/>
          <w:lang w:val="en-NZ"/>
        </w:rPr>
      </w:pPr>
      <w:r>
        <w:rPr>
          <w:bCs/>
          <w:sz w:val="28"/>
          <w:lang w:val="en-NZ"/>
        </w:rPr>
        <w:t>NMP:</w:t>
      </w:r>
      <w:r>
        <w:rPr>
          <w:bCs/>
          <w:sz w:val="28"/>
          <w:lang w:val="en-NZ"/>
        </w:rPr>
        <w:tab/>
      </w:r>
      <w:r>
        <w:rPr>
          <w:bCs/>
          <w:sz w:val="28"/>
          <w:lang w:val="en-NZ"/>
        </w:rPr>
        <w:tab/>
        <w:t>(Mediterranean) National Management Plan</w:t>
      </w:r>
    </w:p>
    <w:p w:rsidR="00800F21" w:rsidRDefault="00800F21" w:rsidP="00A51148">
      <w:pPr>
        <w:suppressLineNumbers w:val="0"/>
        <w:spacing w:line="480" w:lineRule="auto"/>
        <w:ind w:right="283"/>
        <w:rPr>
          <w:bCs/>
          <w:sz w:val="28"/>
          <w:lang w:val="en-NZ"/>
        </w:rPr>
      </w:pPr>
      <w:r>
        <w:rPr>
          <w:bCs/>
          <w:sz w:val="28"/>
          <w:lang w:val="en-NZ"/>
        </w:rPr>
        <w:t>PA:</w:t>
      </w:r>
      <w:r>
        <w:rPr>
          <w:bCs/>
          <w:sz w:val="28"/>
          <w:lang w:val="en-NZ"/>
        </w:rPr>
        <w:tab/>
      </w:r>
      <w:r>
        <w:rPr>
          <w:bCs/>
          <w:sz w:val="28"/>
          <w:lang w:val="en-NZ"/>
        </w:rPr>
        <w:tab/>
        <w:t>Precautionary Approach</w:t>
      </w:r>
    </w:p>
    <w:p w:rsidR="0080560C" w:rsidRDefault="0080560C" w:rsidP="00A51148">
      <w:pPr>
        <w:suppressLineNumbers w:val="0"/>
        <w:spacing w:line="480" w:lineRule="auto"/>
        <w:ind w:right="283"/>
        <w:rPr>
          <w:bCs/>
          <w:sz w:val="28"/>
          <w:lang w:val="en-NZ"/>
        </w:rPr>
      </w:pPr>
      <w:r>
        <w:rPr>
          <w:bCs/>
          <w:sz w:val="28"/>
          <w:lang w:val="en-NZ"/>
        </w:rPr>
        <w:t>PO:</w:t>
      </w:r>
      <w:r>
        <w:rPr>
          <w:bCs/>
          <w:sz w:val="28"/>
          <w:lang w:val="en-NZ"/>
        </w:rPr>
        <w:tab/>
      </w:r>
      <w:r>
        <w:rPr>
          <w:bCs/>
          <w:sz w:val="28"/>
          <w:lang w:val="en-NZ"/>
        </w:rPr>
        <w:tab/>
        <w:t>Producer Organisation</w:t>
      </w:r>
    </w:p>
    <w:p w:rsidR="00DE6AB7" w:rsidRDefault="00DE6AB7" w:rsidP="00A51148">
      <w:pPr>
        <w:suppressLineNumbers w:val="0"/>
        <w:spacing w:line="480" w:lineRule="auto"/>
        <w:ind w:right="283"/>
        <w:rPr>
          <w:bCs/>
          <w:sz w:val="28"/>
          <w:lang w:val="en-NZ"/>
        </w:rPr>
      </w:pPr>
      <w:r>
        <w:rPr>
          <w:bCs/>
          <w:sz w:val="28"/>
          <w:lang w:val="en-NZ"/>
        </w:rPr>
        <w:t>QMS:</w:t>
      </w:r>
      <w:r>
        <w:rPr>
          <w:bCs/>
          <w:sz w:val="28"/>
          <w:lang w:val="en-NZ"/>
        </w:rPr>
        <w:tab/>
      </w:r>
      <w:r>
        <w:rPr>
          <w:bCs/>
          <w:sz w:val="28"/>
          <w:lang w:val="en-NZ"/>
        </w:rPr>
        <w:tab/>
        <w:t>(New Zealand) Quota Management System</w:t>
      </w:r>
    </w:p>
    <w:p w:rsidR="00D15999" w:rsidRDefault="00D15999" w:rsidP="00A51148">
      <w:pPr>
        <w:suppressLineNumbers w:val="0"/>
        <w:spacing w:line="480" w:lineRule="auto"/>
        <w:ind w:right="283"/>
        <w:rPr>
          <w:bCs/>
          <w:sz w:val="28"/>
          <w:lang w:val="en-NZ"/>
        </w:rPr>
      </w:pPr>
      <w:r>
        <w:rPr>
          <w:bCs/>
          <w:sz w:val="28"/>
          <w:lang w:val="en-NZ"/>
        </w:rPr>
        <w:t xml:space="preserve">RAG: </w:t>
      </w:r>
      <w:r w:rsidR="00800F21">
        <w:rPr>
          <w:bCs/>
          <w:sz w:val="28"/>
          <w:lang w:val="en-NZ"/>
        </w:rPr>
        <w:tab/>
        <w:t>(Australian) Resource Assessment Group</w:t>
      </w:r>
    </w:p>
    <w:p w:rsidR="00800F21" w:rsidRDefault="00800F21" w:rsidP="00A51148">
      <w:pPr>
        <w:suppressLineNumbers w:val="0"/>
        <w:spacing w:line="480" w:lineRule="auto"/>
        <w:ind w:right="283"/>
        <w:rPr>
          <w:bCs/>
          <w:sz w:val="28"/>
          <w:lang w:val="en-NZ"/>
        </w:rPr>
      </w:pPr>
      <w:r>
        <w:rPr>
          <w:bCs/>
          <w:sz w:val="28"/>
          <w:lang w:val="en-NZ"/>
        </w:rPr>
        <w:t>SSB:</w:t>
      </w:r>
      <w:r>
        <w:rPr>
          <w:bCs/>
          <w:sz w:val="28"/>
          <w:lang w:val="en-NZ"/>
        </w:rPr>
        <w:tab/>
      </w:r>
      <w:r>
        <w:rPr>
          <w:bCs/>
          <w:sz w:val="28"/>
          <w:lang w:val="en-NZ"/>
        </w:rPr>
        <w:tab/>
        <w:t>Spawning Stock Biomass</w:t>
      </w:r>
    </w:p>
    <w:p w:rsidR="00EF715E" w:rsidRDefault="00EF715E" w:rsidP="00FC44FE">
      <w:pPr>
        <w:suppressLineNumbers w:val="0"/>
        <w:spacing w:line="480" w:lineRule="auto"/>
        <w:ind w:left="1418" w:right="283" w:hanging="1418"/>
        <w:rPr>
          <w:bCs/>
          <w:sz w:val="28"/>
          <w:lang w:val="en-NZ"/>
        </w:rPr>
      </w:pPr>
      <w:r>
        <w:rPr>
          <w:bCs/>
          <w:sz w:val="28"/>
          <w:lang w:val="en-NZ"/>
        </w:rPr>
        <w:t>STECF:</w:t>
      </w:r>
      <w:r>
        <w:rPr>
          <w:bCs/>
          <w:sz w:val="28"/>
          <w:lang w:val="en-NZ"/>
        </w:rPr>
        <w:tab/>
      </w:r>
      <w:r w:rsidR="00FC44FE">
        <w:rPr>
          <w:bCs/>
          <w:sz w:val="28"/>
          <w:lang w:val="en-NZ"/>
        </w:rPr>
        <w:t xml:space="preserve">(European Union) </w:t>
      </w:r>
      <w:r>
        <w:rPr>
          <w:bCs/>
          <w:sz w:val="28"/>
          <w:lang w:val="en-NZ"/>
        </w:rPr>
        <w:t>Scientific, Technical and Economic Committee for Fisheries</w:t>
      </w:r>
    </w:p>
    <w:p w:rsidR="00EF715E" w:rsidRDefault="00DE6AB7" w:rsidP="00A51148">
      <w:pPr>
        <w:suppressLineNumbers w:val="0"/>
        <w:spacing w:line="480" w:lineRule="auto"/>
        <w:ind w:right="283"/>
        <w:rPr>
          <w:bCs/>
          <w:sz w:val="28"/>
          <w:lang w:val="en-NZ"/>
        </w:rPr>
      </w:pPr>
      <w:r>
        <w:rPr>
          <w:bCs/>
          <w:sz w:val="28"/>
          <w:lang w:val="en-NZ"/>
        </w:rPr>
        <w:t>TAC:</w:t>
      </w:r>
      <w:r>
        <w:rPr>
          <w:bCs/>
          <w:sz w:val="28"/>
          <w:lang w:val="en-NZ"/>
        </w:rPr>
        <w:tab/>
      </w:r>
      <w:r>
        <w:rPr>
          <w:bCs/>
          <w:sz w:val="28"/>
          <w:lang w:val="en-NZ"/>
        </w:rPr>
        <w:tab/>
        <w:t>Total Allowable Catch</w:t>
      </w:r>
    </w:p>
    <w:p w:rsidR="00DE6AB7" w:rsidRDefault="00DE6AB7" w:rsidP="00A51148">
      <w:pPr>
        <w:suppressLineNumbers w:val="0"/>
        <w:spacing w:line="480" w:lineRule="auto"/>
        <w:ind w:right="283"/>
        <w:rPr>
          <w:bCs/>
          <w:sz w:val="28"/>
          <w:lang w:val="en-NZ"/>
        </w:rPr>
      </w:pPr>
      <w:r>
        <w:rPr>
          <w:bCs/>
          <w:sz w:val="28"/>
          <w:lang w:val="en-NZ"/>
        </w:rPr>
        <w:t>TACC:</w:t>
      </w:r>
      <w:r>
        <w:rPr>
          <w:bCs/>
          <w:sz w:val="28"/>
          <w:lang w:val="en-NZ"/>
        </w:rPr>
        <w:tab/>
        <w:t>(New Zealand) Total Allowable Commercial Catch</w:t>
      </w:r>
    </w:p>
    <w:p w:rsidR="00EF715E" w:rsidRPr="00EF715E" w:rsidRDefault="00EF715E" w:rsidP="00A51148">
      <w:pPr>
        <w:suppressLineNumbers w:val="0"/>
        <w:spacing w:line="480" w:lineRule="auto"/>
        <w:ind w:right="283"/>
        <w:rPr>
          <w:bCs/>
          <w:sz w:val="28"/>
          <w:lang w:val="en-NZ"/>
        </w:rPr>
      </w:pPr>
    </w:p>
    <w:p w:rsidR="00FB48CA" w:rsidRDefault="00FB48CA" w:rsidP="00A51148">
      <w:pPr>
        <w:suppressLineNumbers w:val="0"/>
        <w:spacing w:line="480" w:lineRule="auto"/>
        <w:ind w:right="283"/>
        <w:rPr>
          <w:b/>
          <w:bCs/>
          <w:sz w:val="28"/>
          <w:lang w:val="en-NZ"/>
        </w:rPr>
      </w:pPr>
      <w:r>
        <w:rPr>
          <w:b/>
          <w:bCs/>
          <w:sz w:val="28"/>
          <w:lang w:val="en-NZ"/>
        </w:rPr>
        <w:t>Introduction</w:t>
      </w:r>
    </w:p>
    <w:p w:rsidR="00467706" w:rsidRDefault="00467706" w:rsidP="00A51148">
      <w:pPr>
        <w:suppressLineNumbers w:val="0"/>
        <w:spacing w:line="480" w:lineRule="auto"/>
        <w:rPr>
          <w:lang w:val="en-NZ"/>
        </w:rPr>
      </w:pPr>
      <w:r>
        <w:rPr>
          <w:lang w:val="en-NZ"/>
        </w:rPr>
        <w:t>Fisheries management in developed countries worldwide has follow</w:t>
      </w:r>
      <w:r w:rsidR="00CC1AE6">
        <w:rPr>
          <w:lang w:val="en-NZ"/>
        </w:rPr>
        <w:t>ed</w:t>
      </w:r>
      <w:r>
        <w:rPr>
          <w:lang w:val="en-NZ"/>
        </w:rPr>
        <w:t xml:space="preserve"> different paths, despite generally similar management principles. These management principles have been broadly agreed during </w:t>
      </w:r>
      <w:r w:rsidR="005A22D0">
        <w:rPr>
          <w:lang w:val="en-NZ"/>
        </w:rPr>
        <w:t>i</w:t>
      </w:r>
      <w:r>
        <w:rPr>
          <w:lang w:val="en-NZ"/>
        </w:rPr>
        <w:t xml:space="preserve">nternational </w:t>
      </w:r>
      <w:r w:rsidR="005A22D0">
        <w:rPr>
          <w:lang w:val="en-NZ"/>
        </w:rPr>
        <w:t>c</w:t>
      </w:r>
      <w:r>
        <w:rPr>
          <w:lang w:val="en-NZ"/>
        </w:rPr>
        <w:t>onferences</w:t>
      </w:r>
      <w:r w:rsidR="0031726C">
        <w:rPr>
          <w:lang w:val="en-NZ"/>
        </w:rPr>
        <w:t>,</w:t>
      </w:r>
      <w:r>
        <w:rPr>
          <w:lang w:val="en-NZ"/>
        </w:rPr>
        <w:t xml:space="preserve"> but introduced at national levels to varying degrees. The first of these worldwide conferences was the United Nations Conference on the Human Environment that was held in Stockholm in 1972. The Stockholm Declaration resulted in 26 principles concerning the environment and development, and put forward in particular the link between ecological management, economic development and social welfare (UN 1972). Twenty years later, the 1992 Rio Declaration on Environment and Development introduced the concept of sustainable development </w:t>
      </w:r>
      <w:r>
        <w:rPr>
          <w:lang w:val="en-NZ"/>
        </w:rPr>
        <w:lastRenderedPageBreak/>
        <w:t>and the precautionary principle (UN 1992). The 2002 Johannesburg World Summit on Sustainable Development called for a stronger implementation of the general sustainable development principles that were brought forward in Stockholm and Rio (UN 2002). A major outcome of the 2002 World Summit was a Plan of Implementation</w:t>
      </w:r>
      <w:r w:rsidR="0031726C">
        <w:rPr>
          <w:lang w:val="en-NZ"/>
        </w:rPr>
        <w:t>,</w:t>
      </w:r>
      <w:r>
        <w:rPr>
          <w:lang w:val="en-NZ"/>
        </w:rPr>
        <w:t xml:space="preserve"> establishing some binding deadlines for achieving goals related to oceans and coasts that were endorsed by the sign</w:t>
      </w:r>
      <w:r w:rsidR="003B3CD8">
        <w:rPr>
          <w:lang w:val="en-NZ"/>
        </w:rPr>
        <w:t>ator</w:t>
      </w:r>
      <w:r>
        <w:rPr>
          <w:lang w:val="en-NZ"/>
        </w:rPr>
        <w:t xml:space="preserve">ies. Of particular relevance to fisheries management was the implementation of the ecosystem approach to fisheries by 2010, a significant reduction of the rate of biodiversity impairment by 2010, the establishment of a </w:t>
      </w:r>
      <w:r w:rsidR="005C355D">
        <w:rPr>
          <w:lang w:val="en-NZ"/>
        </w:rPr>
        <w:t xml:space="preserve">network of </w:t>
      </w:r>
      <w:r>
        <w:rPr>
          <w:lang w:val="en-NZ"/>
        </w:rPr>
        <w:t>marine protected areas by 2012, and the achievement of the Maximum Sustainable Yield (MSY), wherever possible, by 2015. Finally, the political commitment engaged during previous Earth Summits was reaffirmed during the 2012 Rio Conference on Sustainable Development (UN 2012).</w:t>
      </w:r>
    </w:p>
    <w:p w:rsidR="00D939B9" w:rsidRDefault="00467706" w:rsidP="00A51148">
      <w:pPr>
        <w:suppressLineNumbers w:val="0"/>
        <w:spacing w:line="480" w:lineRule="auto"/>
        <w:rPr>
          <w:lang w:val="en-NZ"/>
        </w:rPr>
      </w:pPr>
      <w:r>
        <w:rPr>
          <w:lang w:val="en-NZ"/>
        </w:rPr>
        <w:t>The degree and extent to which these principles and objectives were implemented at national or supra-national level by management agencies worldwide has been variable. The experience of EU fisheries management is unique in its scope and ambition, in that it represents the only example of reconciling the concerns of a variety of coastal countries and eco-regions with diverse, if not divergent, interests into a Common Fisheries Policy, the CF</w:t>
      </w:r>
      <w:r w:rsidR="0031726C">
        <w:rPr>
          <w:lang w:val="en-NZ"/>
        </w:rPr>
        <w:t>P. The EU CFP w</w:t>
      </w:r>
      <w:r>
        <w:rPr>
          <w:lang w:val="en-NZ"/>
        </w:rPr>
        <w:t xml:space="preserve">as </w:t>
      </w:r>
      <w:r w:rsidR="003F46FA">
        <w:rPr>
          <w:lang w:val="en-NZ"/>
        </w:rPr>
        <w:t>first</w:t>
      </w:r>
      <w:r>
        <w:rPr>
          <w:lang w:val="en-NZ"/>
        </w:rPr>
        <w:t xml:space="preserve"> in</w:t>
      </w:r>
      <w:r w:rsidR="0031726C">
        <w:rPr>
          <w:lang w:val="en-NZ"/>
        </w:rPr>
        <w:t>troduc</w:t>
      </w:r>
      <w:r>
        <w:rPr>
          <w:lang w:val="en-NZ"/>
        </w:rPr>
        <w:t xml:space="preserve">ed in </w:t>
      </w:r>
      <w:r w:rsidR="00C104D7" w:rsidRPr="00256FA8">
        <w:rPr>
          <w:lang w:val="en-NZ"/>
        </w:rPr>
        <w:t xml:space="preserve">1970, completed with the adoption of its conservation pillar in </w:t>
      </w:r>
      <w:r w:rsidRPr="00256FA8">
        <w:rPr>
          <w:lang w:val="en-NZ"/>
        </w:rPr>
        <w:t>1983</w:t>
      </w:r>
      <w:r w:rsidR="004F7457" w:rsidRPr="00256FA8">
        <w:rPr>
          <w:lang w:val="en-NZ"/>
        </w:rPr>
        <w:t xml:space="preserve"> [Council Regulation (EEC) No. 170/83]</w:t>
      </w:r>
      <w:r w:rsidRPr="00256FA8">
        <w:rPr>
          <w:lang w:val="en-NZ"/>
        </w:rPr>
        <w:t>, and subsequently revised in 199</w:t>
      </w:r>
      <w:r w:rsidR="004F7457" w:rsidRPr="00256FA8">
        <w:rPr>
          <w:lang w:val="en-NZ"/>
        </w:rPr>
        <w:t>2 [Council Regulation (EEC) No. 3760/92]</w:t>
      </w:r>
      <w:r w:rsidR="00131C6E" w:rsidRPr="00256FA8">
        <w:rPr>
          <w:lang w:val="en-NZ"/>
        </w:rPr>
        <w:t>,</w:t>
      </w:r>
      <w:r w:rsidRPr="00256FA8">
        <w:rPr>
          <w:lang w:val="en-NZ"/>
        </w:rPr>
        <w:t xml:space="preserve"> 200</w:t>
      </w:r>
      <w:r w:rsidR="004F7457" w:rsidRPr="00256FA8">
        <w:rPr>
          <w:lang w:val="en-NZ"/>
        </w:rPr>
        <w:t>2</w:t>
      </w:r>
      <w:r w:rsidR="00131C6E" w:rsidRPr="00256FA8">
        <w:rPr>
          <w:lang w:val="en-NZ"/>
        </w:rPr>
        <w:t xml:space="preserve"> </w:t>
      </w:r>
      <w:r w:rsidR="004F7457" w:rsidRPr="00256FA8">
        <w:rPr>
          <w:lang w:val="en-NZ"/>
        </w:rPr>
        <w:t xml:space="preserve">[Council Regulation (EC) No. 2371/2002] </w:t>
      </w:r>
      <w:r w:rsidR="00131C6E" w:rsidRPr="00256FA8">
        <w:rPr>
          <w:lang w:val="en-NZ"/>
        </w:rPr>
        <w:t xml:space="preserve">and </w:t>
      </w:r>
      <w:r w:rsidR="0086412C">
        <w:rPr>
          <w:lang w:val="en-NZ"/>
        </w:rPr>
        <w:t xml:space="preserve">finally in </w:t>
      </w:r>
      <w:r w:rsidR="00131C6E" w:rsidRPr="00256FA8">
        <w:rPr>
          <w:lang w:val="en-NZ"/>
        </w:rPr>
        <w:t>201</w:t>
      </w:r>
      <w:r w:rsidR="004F7457" w:rsidRPr="00256FA8">
        <w:rPr>
          <w:lang w:val="en-NZ"/>
        </w:rPr>
        <w:t>3</w:t>
      </w:r>
      <w:r w:rsidR="00256FA8" w:rsidRPr="00256FA8">
        <w:rPr>
          <w:lang w:val="en-NZ"/>
        </w:rPr>
        <w:t xml:space="preserve"> [Regulation (EU) No. 1380/2013]</w:t>
      </w:r>
      <w:r w:rsidR="0086412C">
        <w:rPr>
          <w:lang w:val="en-NZ"/>
        </w:rPr>
        <w:t>. The last revision of the CFP is referred to as the 2013 CFP throughout the document.</w:t>
      </w:r>
      <w:r w:rsidRPr="00256FA8">
        <w:rPr>
          <w:lang w:val="en-NZ"/>
        </w:rPr>
        <w:t xml:space="preserve"> It is notable that</w:t>
      </w:r>
      <w:r>
        <w:rPr>
          <w:lang w:val="en-NZ"/>
        </w:rPr>
        <w:t xml:space="preserve"> experiences drawn from other countries’ fisheries management </w:t>
      </w:r>
      <w:r w:rsidR="00DE4BA8">
        <w:rPr>
          <w:lang w:val="en-NZ"/>
        </w:rPr>
        <w:t xml:space="preserve">have been </w:t>
      </w:r>
      <w:r>
        <w:rPr>
          <w:lang w:val="en-NZ"/>
        </w:rPr>
        <w:t xml:space="preserve">considered to shape the </w:t>
      </w:r>
      <w:r w:rsidR="00DE4BA8" w:rsidRPr="00256FA8">
        <w:rPr>
          <w:lang w:val="en-NZ"/>
        </w:rPr>
        <w:t xml:space="preserve">2013 </w:t>
      </w:r>
      <w:r w:rsidRPr="00256FA8">
        <w:rPr>
          <w:lang w:val="en-NZ"/>
        </w:rPr>
        <w:t>CFP</w:t>
      </w:r>
      <w:r w:rsidR="00DE2C6C" w:rsidRPr="00256FA8">
        <w:rPr>
          <w:lang w:val="en-NZ"/>
        </w:rPr>
        <w:t xml:space="preserve"> (van Ho</w:t>
      </w:r>
      <w:r w:rsidR="00C104D7" w:rsidRPr="00256FA8">
        <w:rPr>
          <w:lang w:val="en-NZ"/>
        </w:rPr>
        <w:t>o</w:t>
      </w:r>
      <w:r w:rsidR="00DE2C6C" w:rsidRPr="00256FA8">
        <w:rPr>
          <w:lang w:val="en-NZ"/>
        </w:rPr>
        <w:t>f 2010)</w:t>
      </w:r>
      <w:r w:rsidR="00DE4BA8" w:rsidRPr="00256FA8">
        <w:rPr>
          <w:lang w:val="en-NZ"/>
        </w:rPr>
        <w:t xml:space="preserve">, and </w:t>
      </w:r>
      <w:r w:rsidR="003F46FA" w:rsidRPr="00256FA8">
        <w:rPr>
          <w:lang w:val="en-NZ"/>
        </w:rPr>
        <w:t xml:space="preserve">these </w:t>
      </w:r>
      <w:r w:rsidR="00DE4BA8" w:rsidRPr="00256FA8">
        <w:rPr>
          <w:lang w:val="en-NZ"/>
        </w:rPr>
        <w:t xml:space="preserve">will </w:t>
      </w:r>
      <w:r w:rsidR="00DE2C6C" w:rsidRPr="00256FA8">
        <w:rPr>
          <w:lang w:val="en-NZ"/>
        </w:rPr>
        <w:t>likely</w:t>
      </w:r>
      <w:r w:rsidR="00DE4BA8" w:rsidRPr="00256FA8">
        <w:rPr>
          <w:lang w:val="en-NZ"/>
        </w:rPr>
        <w:t xml:space="preserve"> be accounted for </w:t>
      </w:r>
      <w:r w:rsidR="009D4017" w:rsidRPr="00256FA8">
        <w:rPr>
          <w:lang w:val="en-NZ"/>
        </w:rPr>
        <w:t>in</w:t>
      </w:r>
      <w:r w:rsidR="00DE4BA8" w:rsidRPr="00256FA8">
        <w:rPr>
          <w:lang w:val="en-NZ"/>
        </w:rPr>
        <w:t xml:space="preserve"> review</w:t>
      </w:r>
      <w:r w:rsidR="009D4017" w:rsidRPr="00256FA8">
        <w:rPr>
          <w:lang w:val="en-NZ"/>
        </w:rPr>
        <w:t>ing</w:t>
      </w:r>
      <w:r w:rsidR="00DE4BA8" w:rsidRPr="00256FA8">
        <w:rPr>
          <w:lang w:val="en-NZ"/>
        </w:rPr>
        <w:t xml:space="preserve"> future performance</w:t>
      </w:r>
      <w:r w:rsidRPr="00256FA8">
        <w:rPr>
          <w:lang w:val="en-NZ"/>
        </w:rPr>
        <w:t>.</w:t>
      </w:r>
      <w:r>
        <w:rPr>
          <w:lang w:val="en-NZ"/>
        </w:rPr>
        <w:t xml:space="preserve"> Comparing the back</w:t>
      </w:r>
      <w:r w:rsidR="009D4017">
        <w:rPr>
          <w:lang w:val="en-NZ"/>
        </w:rPr>
        <w:t>ground, context and performance</w:t>
      </w:r>
      <w:r>
        <w:rPr>
          <w:lang w:val="en-NZ"/>
        </w:rPr>
        <w:t xml:space="preserve"> of management systems worldwide is particularly enlightening to inform EU fisheries managers</w:t>
      </w:r>
      <w:r w:rsidR="003F46FA">
        <w:rPr>
          <w:lang w:val="en-NZ"/>
        </w:rPr>
        <w:t xml:space="preserve">. </w:t>
      </w:r>
      <w:r>
        <w:rPr>
          <w:lang w:val="en-NZ"/>
        </w:rPr>
        <w:t>In the recent past, there ha</w:t>
      </w:r>
      <w:r w:rsidR="008B1DC9">
        <w:rPr>
          <w:lang w:val="en-NZ"/>
        </w:rPr>
        <w:t>s</w:t>
      </w:r>
      <w:r>
        <w:rPr>
          <w:lang w:val="en-NZ"/>
        </w:rPr>
        <w:t xml:space="preserve"> been</w:t>
      </w:r>
      <w:r w:rsidR="008B1DC9">
        <w:rPr>
          <w:lang w:val="en-NZ"/>
        </w:rPr>
        <w:t xml:space="preserve"> only a limited number of</w:t>
      </w:r>
      <w:r>
        <w:rPr>
          <w:lang w:val="en-NZ"/>
        </w:rPr>
        <w:t xml:space="preserve"> reviews that compared specific fisheries management i</w:t>
      </w:r>
      <w:r w:rsidR="00C87C85">
        <w:rPr>
          <w:lang w:val="en-NZ"/>
        </w:rPr>
        <w:t>ssue</w:t>
      </w:r>
      <w:r>
        <w:rPr>
          <w:lang w:val="en-NZ"/>
        </w:rPr>
        <w:t>s across a range of countries (Sanchirico et al. 2006), or compared fisheries management in a broader sense</w:t>
      </w:r>
      <w:r w:rsidR="00C87C85">
        <w:rPr>
          <w:lang w:val="en-NZ"/>
        </w:rPr>
        <w:t>,</w:t>
      </w:r>
      <w:r>
        <w:rPr>
          <w:lang w:val="en-NZ"/>
        </w:rPr>
        <w:t xml:space="preserve"> but across a </w:t>
      </w:r>
      <w:r>
        <w:rPr>
          <w:lang w:val="en-NZ"/>
        </w:rPr>
        <w:lastRenderedPageBreak/>
        <w:t>r</w:t>
      </w:r>
      <w:r w:rsidR="00F70E9C">
        <w:rPr>
          <w:lang w:val="en-NZ"/>
        </w:rPr>
        <w:t xml:space="preserve">elatively limited number of </w:t>
      </w:r>
      <w:r>
        <w:rPr>
          <w:lang w:val="en-NZ"/>
        </w:rPr>
        <w:t>regions and/or fisheries (Marchal et al. 2009; Large et al. 2013</w:t>
      </w:r>
      <w:r w:rsidR="000B25D2">
        <w:rPr>
          <w:lang w:val="en-NZ"/>
        </w:rPr>
        <w:t>; Nielsen et al. 2013</w:t>
      </w:r>
      <w:r>
        <w:rPr>
          <w:lang w:val="en-NZ"/>
        </w:rPr>
        <w:t xml:space="preserve">). </w:t>
      </w:r>
      <w:r w:rsidR="00DA2359">
        <w:rPr>
          <w:lang w:val="en-NZ"/>
        </w:rPr>
        <w:t>Gascuel et al.</w:t>
      </w:r>
      <w:r>
        <w:rPr>
          <w:lang w:val="en-NZ"/>
        </w:rPr>
        <w:t xml:space="preserve"> (201</w:t>
      </w:r>
      <w:r w:rsidR="00DA2359">
        <w:rPr>
          <w:lang w:val="en-NZ"/>
        </w:rPr>
        <w:t>4</w:t>
      </w:r>
      <w:r>
        <w:rPr>
          <w:lang w:val="en-NZ"/>
        </w:rPr>
        <w:t>) ha</w:t>
      </w:r>
      <w:r w:rsidR="00DA2359">
        <w:rPr>
          <w:lang w:val="en-NZ"/>
        </w:rPr>
        <w:t>ve</w:t>
      </w:r>
      <w:r>
        <w:rPr>
          <w:lang w:val="en-NZ"/>
        </w:rPr>
        <w:t xml:space="preserve"> reviewed and compared management performance, in terms of ecosystem conservation, for a</w:t>
      </w:r>
      <w:r w:rsidR="00D939B9">
        <w:rPr>
          <w:lang w:val="en-NZ"/>
        </w:rPr>
        <w:t xml:space="preserve"> broad range of EU regions.</w:t>
      </w:r>
    </w:p>
    <w:p w:rsidR="00467706" w:rsidRDefault="00467706" w:rsidP="00A51148">
      <w:pPr>
        <w:suppressLineNumbers w:val="0"/>
        <w:spacing w:line="480" w:lineRule="auto"/>
        <w:rPr>
          <w:lang w:val="en-NZ"/>
        </w:rPr>
      </w:pPr>
      <w:r>
        <w:rPr>
          <w:lang w:val="en-NZ"/>
        </w:rPr>
        <w:t>In this study, we will investigate and co</w:t>
      </w:r>
      <w:r w:rsidR="004143B4">
        <w:rPr>
          <w:lang w:val="en-NZ"/>
        </w:rPr>
        <w:t>mpare</w:t>
      </w:r>
      <w:r>
        <w:rPr>
          <w:lang w:val="en-NZ"/>
        </w:rPr>
        <w:t xml:space="preserve"> EU fisheries management applicable to </w:t>
      </w:r>
      <w:r w:rsidR="004143B4">
        <w:rPr>
          <w:lang w:val="en-NZ"/>
        </w:rPr>
        <w:t>the Northeast Atlantic</w:t>
      </w:r>
      <w:r>
        <w:rPr>
          <w:lang w:val="en-NZ"/>
        </w:rPr>
        <w:t xml:space="preserve"> </w:t>
      </w:r>
      <w:r w:rsidR="00C87C85">
        <w:rPr>
          <w:lang w:val="en-NZ"/>
        </w:rPr>
        <w:t>and</w:t>
      </w:r>
      <w:r>
        <w:rPr>
          <w:lang w:val="en-NZ"/>
        </w:rPr>
        <w:t xml:space="preserve"> the Mediterranean </w:t>
      </w:r>
      <w:r w:rsidR="00A645B1">
        <w:rPr>
          <w:lang w:val="en-NZ"/>
        </w:rPr>
        <w:t>with</w:t>
      </w:r>
      <w:r>
        <w:rPr>
          <w:lang w:val="en-NZ"/>
        </w:rPr>
        <w:t xml:space="preserve"> experiences drawn from </w:t>
      </w:r>
      <w:r w:rsidR="00AC5FA5">
        <w:rPr>
          <w:lang w:val="en-NZ"/>
        </w:rPr>
        <w:t>several</w:t>
      </w:r>
      <w:r>
        <w:rPr>
          <w:lang w:val="en-NZ"/>
        </w:rPr>
        <w:t xml:space="preserve"> contrasted non-EU countries where </w:t>
      </w:r>
      <w:r w:rsidR="002D2EBE">
        <w:rPr>
          <w:lang w:val="en-NZ"/>
        </w:rPr>
        <w:t xml:space="preserve">we consider </w:t>
      </w:r>
      <w:r>
        <w:rPr>
          <w:lang w:val="en-NZ"/>
        </w:rPr>
        <w:t xml:space="preserve">fisheries management </w:t>
      </w:r>
      <w:r w:rsidR="002D2EBE">
        <w:rPr>
          <w:lang w:val="en-NZ"/>
        </w:rPr>
        <w:t xml:space="preserve">to </w:t>
      </w:r>
      <w:r w:rsidR="008D0DD0">
        <w:rPr>
          <w:lang w:val="en-NZ"/>
        </w:rPr>
        <w:t>ha</w:t>
      </w:r>
      <w:r w:rsidR="002D2EBE">
        <w:rPr>
          <w:lang w:val="en-NZ"/>
        </w:rPr>
        <w:t>ve</w:t>
      </w:r>
      <w:r w:rsidR="008D0DD0">
        <w:rPr>
          <w:lang w:val="en-NZ"/>
        </w:rPr>
        <w:t xml:space="preserve"> been </w:t>
      </w:r>
      <w:r w:rsidR="00C8427D">
        <w:rPr>
          <w:lang w:val="en-NZ"/>
        </w:rPr>
        <w:t>innovat</w:t>
      </w:r>
      <w:r w:rsidR="008D0DD0">
        <w:rPr>
          <w:lang w:val="en-NZ"/>
        </w:rPr>
        <w:t>ive</w:t>
      </w:r>
      <w:r w:rsidR="00AC5FA5">
        <w:rPr>
          <w:lang w:val="en-NZ"/>
        </w:rPr>
        <w:t xml:space="preserve">. Several such countries could have been considered, e.g., </w:t>
      </w:r>
      <w:r>
        <w:rPr>
          <w:lang w:val="en-NZ"/>
        </w:rPr>
        <w:t>Iceland, Australia</w:t>
      </w:r>
      <w:r w:rsidR="00AC5FA5">
        <w:rPr>
          <w:lang w:val="en-NZ"/>
        </w:rPr>
        <w:t>,</w:t>
      </w:r>
      <w:r>
        <w:rPr>
          <w:lang w:val="en-NZ"/>
        </w:rPr>
        <w:t xml:space="preserve"> New Zealand</w:t>
      </w:r>
      <w:r w:rsidR="00AC5FA5">
        <w:rPr>
          <w:lang w:val="en-NZ"/>
        </w:rPr>
        <w:t>, USA, Canada, Norway</w:t>
      </w:r>
      <w:r w:rsidR="00D70184">
        <w:rPr>
          <w:lang w:val="en-NZ"/>
        </w:rPr>
        <w:t xml:space="preserve"> and</w:t>
      </w:r>
      <w:r w:rsidR="00AC5FA5">
        <w:rPr>
          <w:lang w:val="en-NZ"/>
        </w:rPr>
        <w:t xml:space="preserve"> South Africa</w:t>
      </w:r>
      <w:r>
        <w:rPr>
          <w:lang w:val="en-NZ"/>
        </w:rPr>
        <w:t>.</w:t>
      </w:r>
      <w:r w:rsidR="00AC5FA5">
        <w:rPr>
          <w:lang w:val="en-NZ"/>
        </w:rPr>
        <w:t xml:space="preserve"> To keep our review </w:t>
      </w:r>
      <w:r w:rsidR="00D70184">
        <w:rPr>
          <w:lang w:val="en-NZ"/>
        </w:rPr>
        <w:t>to</w:t>
      </w:r>
      <w:r w:rsidR="00AC5FA5">
        <w:rPr>
          <w:lang w:val="en-NZ"/>
        </w:rPr>
        <w:t xml:space="preserve"> tractable size</w:t>
      </w:r>
      <w:r w:rsidR="00FC598C">
        <w:rPr>
          <w:lang w:val="en-NZ"/>
        </w:rPr>
        <w:t xml:space="preserve"> and in line with the authors’ domain of expertise</w:t>
      </w:r>
      <w:r w:rsidR="00AC5FA5">
        <w:rPr>
          <w:lang w:val="en-NZ"/>
        </w:rPr>
        <w:t>,</w:t>
      </w:r>
      <w:r w:rsidR="00FC598C">
        <w:rPr>
          <w:lang w:val="en-NZ"/>
        </w:rPr>
        <w:t xml:space="preserve"> </w:t>
      </w:r>
      <w:r w:rsidR="00AC5FA5">
        <w:rPr>
          <w:lang w:val="en-NZ"/>
        </w:rPr>
        <w:t>we selected three countries from that list: Iceland, Australia and New Zealand</w:t>
      </w:r>
      <w:r w:rsidR="004C5A69">
        <w:rPr>
          <w:lang w:val="en-NZ"/>
        </w:rPr>
        <w:t xml:space="preserve">, which have been pointed out for their well-functioning </w:t>
      </w:r>
      <w:r w:rsidR="00EF6971">
        <w:rPr>
          <w:lang w:val="en-NZ"/>
        </w:rPr>
        <w:t xml:space="preserve">fisheries </w:t>
      </w:r>
      <w:r w:rsidR="004C5A69">
        <w:rPr>
          <w:lang w:val="en-NZ"/>
        </w:rPr>
        <w:t>management (Motos and Wilson 2006</w:t>
      </w:r>
      <w:r w:rsidR="00B725D9">
        <w:rPr>
          <w:lang w:val="en-NZ"/>
        </w:rPr>
        <w:t>; Hauge and Wilson 2009</w:t>
      </w:r>
      <w:r w:rsidR="004C5A69">
        <w:rPr>
          <w:lang w:val="en-NZ"/>
        </w:rPr>
        <w:t>)</w:t>
      </w:r>
      <w:r w:rsidR="00FC598C">
        <w:rPr>
          <w:lang w:val="en-NZ"/>
        </w:rPr>
        <w:t>.</w:t>
      </w:r>
    </w:p>
    <w:p w:rsidR="00A74220" w:rsidRDefault="00A74220" w:rsidP="00A74220">
      <w:pPr>
        <w:suppressLineNumbers w:val="0"/>
        <w:spacing w:line="480" w:lineRule="auto"/>
        <w:rPr>
          <w:lang w:val="en-GB"/>
        </w:rPr>
      </w:pPr>
      <w:r>
        <w:rPr>
          <w:lang w:val="en-GB"/>
        </w:rPr>
        <w:t>F</w:t>
      </w:r>
      <w:r w:rsidRPr="00AE606D">
        <w:rPr>
          <w:lang w:val="en-GB"/>
        </w:rPr>
        <w:t xml:space="preserve">isheries in the EU, New Zealand, Australia and Iceland are managed </w:t>
      </w:r>
      <w:r w:rsidR="007A70E6">
        <w:rPr>
          <w:lang w:val="en-GB"/>
        </w:rPr>
        <w:t xml:space="preserve">essentially </w:t>
      </w:r>
      <w:r w:rsidR="00755F86">
        <w:rPr>
          <w:lang w:val="en-GB"/>
        </w:rPr>
        <w:t xml:space="preserve">using a </w:t>
      </w:r>
      <w:r w:rsidR="008114FC">
        <w:rPr>
          <w:lang w:val="en-GB"/>
        </w:rPr>
        <w:t xml:space="preserve">similar </w:t>
      </w:r>
      <w:r w:rsidR="00755F86">
        <w:rPr>
          <w:lang w:val="en-GB"/>
        </w:rPr>
        <w:t>set of</w:t>
      </w:r>
      <w:r w:rsidR="008114FC">
        <w:rPr>
          <w:lang w:val="en-GB"/>
        </w:rPr>
        <w:t xml:space="preserve"> standard</w:t>
      </w:r>
      <w:r w:rsidR="00755F86">
        <w:rPr>
          <w:lang w:val="en-GB"/>
        </w:rPr>
        <w:t xml:space="preserve"> tools</w:t>
      </w:r>
      <w:r w:rsidRPr="00AE606D">
        <w:rPr>
          <w:lang w:val="en-GB"/>
        </w:rPr>
        <w:t xml:space="preserve">: commercial fishing vessels are licensed, key stocks (historically the most economically valuable and therefore most targeted) are assessed, and limitations are placed on the catch of those stocks through input controls (e.g. restricting </w:t>
      </w:r>
      <w:r w:rsidR="00115A77">
        <w:rPr>
          <w:lang w:val="en-GB"/>
        </w:rPr>
        <w:t>capacity/</w:t>
      </w:r>
      <w:r w:rsidRPr="00AE606D">
        <w:rPr>
          <w:lang w:val="en-GB"/>
        </w:rPr>
        <w:t>effort</w:t>
      </w:r>
      <w:r w:rsidR="007A70E6">
        <w:rPr>
          <w:lang w:val="en-GB"/>
        </w:rPr>
        <w:t xml:space="preserve"> or regulating gears</w:t>
      </w:r>
      <w:r w:rsidRPr="00AE606D">
        <w:rPr>
          <w:lang w:val="en-GB"/>
        </w:rPr>
        <w:t xml:space="preserve">) </w:t>
      </w:r>
      <w:r w:rsidR="00582CFB">
        <w:rPr>
          <w:lang w:val="en-GB"/>
        </w:rPr>
        <w:t>and/</w:t>
      </w:r>
      <w:r w:rsidRPr="00AE606D">
        <w:rPr>
          <w:lang w:val="en-GB"/>
        </w:rPr>
        <w:t>or output controls (e.g. restricting landings or catch)</w:t>
      </w:r>
      <w:r w:rsidR="00115A77">
        <w:rPr>
          <w:lang w:val="en-GB"/>
        </w:rPr>
        <w:t xml:space="preserve"> (Motos and Wilson 2006; Sanchirico et al. 2006; Marchal et al. 2009)</w:t>
      </w:r>
      <w:r w:rsidRPr="00AE606D">
        <w:rPr>
          <w:lang w:val="en-GB"/>
        </w:rPr>
        <w:t xml:space="preserve">. </w:t>
      </w:r>
      <w:r w:rsidR="00931CD4">
        <w:rPr>
          <w:lang w:val="en-GB"/>
        </w:rPr>
        <w:t>F</w:t>
      </w:r>
      <w:r w:rsidRPr="00AE606D">
        <w:rPr>
          <w:lang w:val="en-GB"/>
        </w:rPr>
        <w:t xml:space="preserve">isheries management </w:t>
      </w:r>
      <w:r w:rsidR="007A70E6">
        <w:rPr>
          <w:lang w:val="en-GB"/>
        </w:rPr>
        <w:t xml:space="preserve">uses these </w:t>
      </w:r>
      <w:r w:rsidR="00755F86">
        <w:rPr>
          <w:lang w:val="en-GB"/>
        </w:rPr>
        <w:t>tools, embedded within a wider management system,</w:t>
      </w:r>
      <w:r w:rsidR="007A70E6">
        <w:rPr>
          <w:lang w:val="en-GB"/>
        </w:rPr>
        <w:t xml:space="preserve"> to meet stock </w:t>
      </w:r>
      <w:r w:rsidR="00755F86">
        <w:rPr>
          <w:lang w:val="en-GB"/>
        </w:rPr>
        <w:t>conservation</w:t>
      </w:r>
      <w:r w:rsidRPr="00AE606D">
        <w:rPr>
          <w:lang w:val="en-GB"/>
        </w:rPr>
        <w:t xml:space="preserve"> </w:t>
      </w:r>
      <w:r w:rsidR="007A70E6">
        <w:rPr>
          <w:lang w:val="en-GB"/>
        </w:rPr>
        <w:t xml:space="preserve">objectives </w:t>
      </w:r>
      <w:r w:rsidRPr="00AE606D">
        <w:rPr>
          <w:lang w:val="en-GB"/>
        </w:rPr>
        <w:t>but also provide</w:t>
      </w:r>
      <w:r w:rsidR="00931CD4">
        <w:rPr>
          <w:lang w:val="en-GB"/>
        </w:rPr>
        <w:t>s</w:t>
      </w:r>
      <w:r w:rsidRPr="00AE606D">
        <w:rPr>
          <w:lang w:val="en-GB"/>
        </w:rPr>
        <w:t xml:space="preserve"> for obje</w:t>
      </w:r>
      <w:r>
        <w:rPr>
          <w:lang w:val="en-GB"/>
        </w:rPr>
        <w:t>c</w:t>
      </w:r>
      <w:r w:rsidRPr="00AE606D">
        <w:rPr>
          <w:lang w:val="en-GB"/>
        </w:rPr>
        <w:t>tives relating to the wi</w:t>
      </w:r>
      <w:r>
        <w:rPr>
          <w:lang w:val="en-GB"/>
        </w:rPr>
        <w:t>der economy and ecosystem. The success</w:t>
      </w:r>
      <w:r w:rsidRPr="00AE606D">
        <w:rPr>
          <w:lang w:val="en-GB"/>
        </w:rPr>
        <w:t xml:space="preserve"> of fisheries management is </w:t>
      </w:r>
      <w:r w:rsidR="0096131A">
        <w:rPr>
          <w:lang w:val="en-GB"/>
        </w:rPr>
        <w:t>evaluat</w:t>
      </w:r>
      <w:r w:rsidRPr="00AE606D">
        <w:rPr>
          <w:lang w:val="en-GB"/>
        </w:rPr>
        <w:t xml:space="preserve">ed against the targets placed on these objectives, but </w:t>
      </w:r>
      <w:r w:rsidR="007A70E6">
        <w:rPr>
          <w:lang w:val="en-GB"/>
        </w:rPr>
        <w:t xml:space="preserve">is judged </w:t>
      </w:r>
      <w:r w:rsidR="006B1F7B">
        <w:rPr>
          <w:lang w:val="en-GB"/>
        </w:rPr>
        <w:t xml:space="preserve">almost solely </w:t>
      </w:r>
      <w:r w:rsidRPr="00AE606D">
        <w:rPr>
          <w:lang w:val="en-GB"/>
        </w:rPr>
        <w:t xml:space="preserve">by the </w:t>
      </w:r>
      <w:r w:rsidR="00755F86">
        <w:rPr>
          <w:lang w:val="en-GB"/>
        </w:rPr>
        <w:t xml:space="preserve">conservation </w:t>
      </w:r>
      <w:r w:rsidR="007A70E6">
        <w:rPr>
          <w:lang w:val="en-GB"/>
        </w:rPr>
        <w:t>status</w:t>
      </w:r>
      <w:r w:rsidRPr="00AE606D">
        <w:rPr>
          <w:lang w:val="en-GB"/>
        </w:rPr>
        <w:t xml:space="preserve"> of the key stocks.  The complexities of management reflect how these objectives fit into the decision making process. The difficulty of managing fish</w:t>
      </w:r>
      <w:r w:rsidR="00516B69">
        <w:rPr>
          <w:lang w:val="en-GB"/>
        </w:rPr>
        <w:t>eries</w:t>
      </w:r>
      <w:r w:rsidRPr="00AE606D">
        <w:rPr>
          <w:lang w:val="en-GB"/>
        </w:rPr>
        <w:t xml:space="preserve"> is </w:t>
      </w:r>
      <w:r w:rsidR="00516B69">
        <w:rPr>
          <w:lang w:val="en-GB"/>
        </w:rPr>
        <w:t xml:space="preserve">particularly </w:t>
      </w:r>
      <w:r w:rsidRPr="00AE606D">
        <w:rPr>
          <w:lang w:val="en-GB"/>
        </w:rPr>
        <w:t xml:space="preserve">reflected in the targets assigned to </w:t>
      </w:r>
      <w:r w:rsidR="00CB0056">
        <w:rPr>
          <w:lang w:val="en-GB"/>
        </w:rPr>
        <w:t>conservation</w:t>
      </w:r>
      <w:r w:rsidRPr="00AE606D">
        <w:rPr>
          <w:lang w:val="en-GB"/>
        </w:rPr>
        <w:t xml:space="preserve"> objectives and how </w:t>
      </w:r>
      <w:r w:rsidR="00516B69">
        <w:rPr>
          <w:lang w:val="en-GB"/>
        </w:rPr>
        <w:t xml:space="preserve">management actions are taken </w:t>
      </w:r>
      <w:r w:rsidRPr="00AE606D">
        <w:rPr>
          <w:lang w:val="en-GB"/>
        </w:rPr>
        <w:t>to meet the</w:t>
      </w:r>
      <w:r w:rsidR="00CB0056">
        <w:rPr>
          <w:lang w:val="en-GB"/>
        </w:rPr>
        <w:t>se</w:t>
      </w:r>
      <w:r w:rsidRPr="00AE606D">
        <w:rPr>
          <w:lang w:val="en-GB"/>
        </w:rPr>
        <w:t xml:space="preserve"> objectives in the short-medium term through to</w:t>
      </w:r>
      <w:r w:rsidR="007748AB">
        <w:rPr>
          <w:lang w:val="en-GB"/>
        </w:rPr>
        <w:t xml:space="preserve"> the</w:t>
      </w:r>
      <w:r w:rsidRPr="00AE606D">
        <w:rPr>
          <w:lang w:val="en-GB"/>
        </w:rPr>
        <w:t xml:space="preserve"> long term. However, it is typical of political systems that the short term view is prioritised over the long term</w:t>
      </w:r>
      <w:r w:rsidR="0096131A">
        <w:rPr>
          <w:lang w:val="en-GB"/>
        </w:rPr>
        <w:t xml:space="preserve"> (Holden 1994)</w:t>
      </w:r>
      <w:r w:rsidRPr="00AE606D">
        <w:rPr>
          <w:lang w:val="en-GB"/>
        </w:rPr>
        <w:t>.</w:t>
      </w:r>
      <w:r w:rsidR="008A1F8B">
        <w:rPr>
          <w:lang w:val="en-GB"/>
        </w:rPr>
        <w:t xml:space="preserve"> Despite </w:t>
      </w:r>
      <w:r w:rsidR="00AA151D">
        <w:rPr>
          <w:lang w:val="en-GB"/>
        </w:rPr>
        <w:t xml:space="preserve">using </w:t>
      </w:r>
      <w:r w:rsidR="008A1F8B">
        <w:rPr>
          <w:lang w:val="en-GB"/>
        </w:rPr>
        <w:t xml:space="preserve">common </w:t>
      </w:r>
      <w:r w:rsidR="00AA151D">
        <w:rPr>
          <w:lang w:val="en-GB"/>
        </w:rPr>
        <w:t>approaches</w:t>
      </w:r>
      <w:r w:rsidR="008A1F8B">
        <w:rPr>
          <w:lang w:val="en-GB"/>
        </w:rPr>
        <w:t xml:space="preserve">, </w:t>
      </w:r>
      <w:r w:rsidR="007748AB">
        <w:rPr>
          <w:lang w:val="en-GB"/>
        </w:rPr>
        <w:t xml:space="preserve">there is considerable contrast between </w:t>
      </w:r>
      <w:r w:rsidR="008A1F8B">
        <w:rPr>
          <w:lang w:val="en-GB"/>
        </w:rPr>
        <w:t xml:space="preserve">the fisheries management </w:t>
      </w:r>
      <w:r w:rsidR="00E37EE1">
        <w:rPr>
          <w:lang w:val="en-GB"/>
        </w:rPr>
        <w:t xml:space="preserve">systems </w:t>
      </w:r>
      <w:r w:rsidR="008A1F8B">
        <w:rPr>
          <w:lang w:val="en-GB"/>
        </w:rPr>
        <w:t xml:space="preserve">of the European </w:t>
      </w:r>
      <w:r w:rsidR="00E37EE1">
        <w:rPr>
          <w:lang w:val="en-GB"/>
        </w:rPr>
        <w:t xml:space="preserve">Union and of the </w:t>
      </w:r>
      <w:r w:rsidR="00E37EE1">
        <w:rPr>
          <w:lang w:val="en-GB"/>
        </w:rPr>
        <w:lastRenderedPageBreak/>
        <w:t>other countries investigated.</w:t>
      </w:r>
    </w:p>
    <w:p w:rsidR="008465A7" w:rsidRDefault="008A1F8B" w:rsidP="008465A7">
      <w:pPr>
        <w:suppressLineNumbers w:val="0"/>
        <w:spacing w:line="480" w:lineRule="auto"/>
        <w:rPr>
          <w:lang w:val="en-GB"/>
        </w:rPr>
      </w:pPr>
      <w:r>
        <w:rPr>
          <w:lang w:val="en-GB"/>
        </w:rPr>
        <w:t xml:space="preserve">The most </w:t>
      </w:r>
      <w:r w:rsidR="00E37EE1">
        <w:rPr>
          <w:lang w:val="en-GB"/>
        </w:rPr>
        <w:t xml:space="preserve">obvious difference </w:t>
      </w:r>
      <w:r w:rsidR="008465A7">
        <w:rPr>
          <w:lang w:val="en-GB"/>
        </w:rPr>
        <w:t>is that the EU consists of a variety of member states</w:t>
      </w:r>
      <w:r w:rsidR="00E23C55">
        <w:rPr>
          <w:lang w:val="en-GB"/>
        </w:rPr>
        <w:t xml:space="preserve"> bound together with several supra-national institutions</w:t>
      </w:r>
      <w:r w:rsidR="008465A7">
        <w:rPr>
          <w:lang w:val="en-GB"/>
        </w:rPr>
        <w:t xml:space="preserve">, while Iceland, New Zealand and Australia are sovereign countries. </w:t>
      </w:r>
      <w:r w:rsidR="00E601D8" w:rsidRPr="00AE606D">
        <w:rPr>
          <w:lang w:val="en-GB"/>
        </w:rPr>
        <w:t xml:space="preserve"> </w:t>
      </w:r>
      <w:r w:rsidR="00BB0EDD">
        <w:rPr>
          <w:lang w:val="en-GB"/>
        </w:rPr>
        <w:t xml:space="preserve">Total Allowable Catches (TACs) </w:t>
      </w:r>
      <w:r w:rsidR="00E601D8" w:rsidRPr="00AE606D">
        <w:rPr>
          <w:lang w:val="en-GB"/>
        </w:rPr>
        <w:t xml:space="preserve">for the key EU stocks are agreed </w:t>
      </w:r>
      <w:r w:rsidR="00E601D8">
        <w:rPr>
          <w:lang w:val="en-GB"/>
        </w:rPr>
        <w:t>o</w:t>
      </w:r>
      <w:r w:rsidR="00E601D8" w:rsidRPr="00AE606D">
        <w:rPr>
          <w:lang w:val="en-GB"/>
        </w:rPr>
        <w:t xml:space="preserve">n a yearly basis, with each member state representing </w:t>
      </w:r>
      <w:r w:rsidR="00E601D8">
        <w:rPr>
          <w:lang w:val="en-GB"/>
        </w:rPr>
        <w:t>its</w:t>
      </w:r>
      <w:r w:rsidR="00E601D8" w:rsidRPr="00AE606D">
        <w:rPr>
          <w:lang w:val="en-GB"/>
        </w:rPr>
        <w:t xml:space="preserve"> own interests</w:t>
      </w:r>
      <w:r w:rsidR="00E601D8">
        <w:rPr>
          <w:lang w:val="en-GB"/>
        </w:rPr>
        <w:t xml:space="preserve"> cognisant of allocation im</w:t>
      </w:r>
      <w:r w:rsidR="006B1F7B">
        <w:rPr>
          <w:lang w:val="en-GB"/>
        </w:rPr>
        <w:t>p</w:t>
      </w:r>
      <w:r w:rsidR="00E601D8">
        <w:rPr>
          <w:lang w:val="en-GB"/>
        </w:rPr>
        <w:t>lications</w:t>
      </w:r>
      <w:r w:rsidR="00E601D8" w:rsidRPr="00AE606D">
        <w:rPr>
          <w:lang w:val="en-GB"/>
        </w:rPr>
        <w:t xml:space="preserve">. </w:t>
      </w:r>
      <w:r w:rsidR="00CC0C34">
        <w:rPr>
          <w:lang w:val="en-GB"/>
        </w:rPr>
        <w:t>A major principle</w:t>
      </w:r>
      <w:r w:rsidR="008465A7" w:rsidRPr="00AE606D">
        <w:rPr>
          <w:lang w:val="en-GB"/>
        </w:rPr>
        <w:t xml:space="preserve"> of the </w:t>
      </w:r>
      <w:r w:rsidR="008465A7">
        <w:rPr>
          <w:lang w:val="en-GB"/>
        </w:rPr>
        <w:t xml:space="preserve">EU </w:t>
      </w:r>
      <w:r w:rsidR="008465A7" w:rsidRPr="00AE606D">
        <w:rPr>
          <w:lang w:val="en-GB"/>
        </w:rPr>
        <w:t xml:space="preserve">CFP is </w:t>
      </w:r>
      <w:r w:rsidR="00582CFB">
        <w:rPr>
          <w:lang w:val="en-GB"/>
        </w:rPr>
        <w:t xml:space="preserve">the </w:t>
      </w:r>
      <w:r w:rsidR="008465A7" w:rsidRPr="00AE606D">
        <w:rPr>
          <w:lang w:val="en-GB"/>
        </w:rPr>
        <w:t xml:space="preserve">relative stability, essentially ensuring that </w:t>
      </w:r>
      <w:r w:rsidR="00CC0C34">
        <w:rPr>
          <w:lang w:val="en-GB"/>
        </w:rPr>
        <w:t xml:space="preserve">each Member State </w:t>
      </w:r>
      <w:r w:rsidR="006C5BA3">
        <w:rPr>
          <w:lang w:val="en-GB"/>
        </w:rPr>
        <w:t>is</w:t>
      </w:r>
      <w:r w:rsidR="00CC0C34">
        <w:rPr>
          <w:lang w:val="en-GB"/>
        </w:rPr>
        <w:t xml:space="preserve"> guaranteed a specified </w:t>
      </w:r>
      <w:r w:rsidR="008465A7" w:rsidRPr="00AE606D">
        <w:rPr>
          <w:lang w:val="en-GB"/>
        </w:rPr>
        <w:t>proportion of</w:t>
      </w:r>
      <w:r w:rsidR="00CC0C34">
        <w:rPr>
          <w:lang w:val="en-GB"/>
        </w:rPr>
        <w:t xml:space="preserve"> the</w:t>
      </w:r>
      <w:r w:rsidR="008465A7" w:rsidRPr="00AE606D">
        <w:rPr>
          <w:lang w:val="en-GB"/>
        </w:rPr>
        <w:t xml:space="preserve"> key stocks</w:t>
      </w:r>
      <w:r w:rsidR="008465A7">
        <w:rPr>
          <w:lang w:val="en-GB"/>
        </w:rPr>
        <w:t>’</w:t>
      </w:r>
      <w:r w:rsidR="008465A7" w:rsidRPr="00AE606D">
        <w:rPr>
          <w:lang w:val="en-GB"/>
        </w:rPr>
        <w:t xml:space="preserve"> </w:t>
      </w:r>
      <w:r w:rsidR="00BB0EDD">
        <w:rPr>
          <w:lang w:val="en-GB"/>
        </w:rPr>
        <w:t>TACs</w:t>
      </w:r>
      <w:r w:rsidR="008465A7" w:rsidRPr="00AE606D">
        <w:rPr>
          <w:lang w:val="en-GB"/>
        </w:rPr>
        <w:t xml:space="preserve">.  The administrative complexity of the EU system is highlighted here as agreement must be reached </w:t>
      </w:r>
      <w:r w:rsidR="006C5BA3">
        <w:rPr>
          <w:lang w:val="en-GB"/>
        </w:rPr>
        <w:t>between the national</w:t>
      </w:r>
      <w:r w:rsidR="008465A7" w:rsidRPr="00AE606D">
        <w:rPr>
          <w:lang w:val="en-GB"/>
        </w:rPr>
        <w:t xml:space="preserve"> </w:t>
      </w:r>
      <w:r w:rsidR="006C5BA3">
        <w:rPr>
          <w:lang w:val="en-GB"/>
        </w:rPr>
        <w:t>g</w:t>
      </w:r>
      <w:r w:rsidR="008465A7" w:rsidRPr="00AE606D">
        <w:rPr>
          <w:lang w:val="en-GB"/>
        </w:rPr>
        <w:t xml:space="preserve">overnments </w:t>
      </w:r>
      <w:r w:rsidR="006C5BA3">
        <w:rPr>
          <w:lang w:val="en-GB"/>
        </w:rPr>
        <w:t>represented at the Council of Ministers</w:t>
      </w:r>
      <w:r w:rsidR="001604CD">
        <w:rPr>
          <w:lang w:val="en-GB"/>
        </w:rPr>
        <w:t xml:space="preserve">. The negotiation strategy of the different governmental delegations is </w:t>
      </w:r>
      <w:r w:rsidR="00855D58">
        <w:rPr>
          <w:lang w:val="en-GB"/>
        </w:rPr>
        <w:t>inform</w:t>
      </w:r>
      <w:r w:rsidR="001604CD">
        <w:rPr>
          <w:lang w:val="en-GB"/>
        </w:rPr>
        <w:t xml:space="preserve">ed by scientific advice, but it is </w:t>
      </w:r>
      <w:r w:rsidR="00C27542">
        <w:rPr>
          <w:lang w:val="en-GB"/>
        </w:rPr>
        <w:t xml:space="preserve">also often influenced by discussions </w:t>
      </w:r>
      <w:r w:rsidR="00691E83">
        <w:rPr>
          <w:lang w:val="en-GB"/>
        </w:rPr>
        <w:t>with a great</w:t>
      </w:r>
      <w:r w:rsidR="00C27542">
        <w:rPr>
          <w:lang w:val="en-GB"/>
        </w:rPr>
        <w:t xml:space="preserve"> variety of </w:t>
      </w:r>
      <w:r w:rsidR="00BB0EDD">
        <w:rPr>
          <w:lang w:val="en-GB"/>
        </w:rPr>
        <w:t>stakeholder</w:t>
      </w:r>
      <w:r w:rsidR="00BB0EDD" w:rsidRPr="00AE606D">
        <w:rPr>
          <w:lang w:val="en-GB"/>
        </w:rPr>
        <w:t xml:space="preserve"> </w:t>
      </w:r>
      <w:r w:rsidR="008465A7" w:rsidRPr="00AE606D">
        <w:rPr>
          <w:lang w:val="en-GB"/>
        </w:rPr>
        <w:t xml:space="preserve">groups arguing </w:t>
      </w:r>
      <w:r w:rsidR="00BB0EDD">
        <w:rPr>
          <w:lang w:val="en-GB"/>
        </w:rPr>
        <w:t>on behalf of their constituents</w:t>
      </w:r>
      <w:r w:rsidR="008465A7">
        <w:rPr>
          <w:lang w:val="en-GB"/>
        </w:rPr>
        <w:t>. In I</w:t>
      </w:r>
      <w:r>
        <w:rPr>
          <w:lang w:val="en-GB"/>
        </w:rPr>
        <w:t>celand, New Zealand and Australia</w:t>
      </w:r>
      <w:r w:rsidR="008465A7">
        <w:rPr>
          <w:lang w:val="en-GB"/>
        </w:rPr>
        <w:t>,</w:t>
      </w:r>
      <w:r w:rsidR="008465A7" w:rsidRPr="00AE606D">
        <w:rPr>
          <w:lang w:val="en-GB"/>
        </w:rPr>
        <w:t xml:space="preserve"> with only one country involved</w:t>
      </w:r>
      <w:r w:rsidR="008465A7">
        <w:rPr>
          <w:lang w:val="en-GB"/>
        </w:rPr>
        <w:t xml:space="preserve"> in each</w:t>
      </w:r>
      <w:r w:rsidR="008465A7" w:rsidRPr="00AE606D">
        <w:rPr>
          <w:lang w:val="en-GB"/>
        </w:rPr>
        <w:t>, this process is far less complicated even though the same issues are addressed</w:t>
      </w:r>
      <w:r w:rsidR="00BB0EDD">
        <w:rPr>
          <w:lang w:val="en-GB"/>
        </w:rPr>
        <w:t xml:space="preserve"> and multiple stakeholders </w:t>
      </w:r>
      <w:r w:rsidR="009A1BE2">
        <w:rPr>
          <w:lang w:val="en-GB"/>
        </w:rPr>
        <w:t xml:space="preserve">(and States in Australia) </w:t>
      </w:r>
      <w:r w:rsidR="00BB0EDD">
        <w:rPr>
          <w:lang w:val="en-GB"/>
        </w:rPr>
        <w:t>may be involved</w:t>
      </w:r>
      <w:r w:rsidR="008465A7" w:rsidRPr="00AE606D">
        <w:rPr>
          <w:lang w:val="en-GB"/>
        </w:rPr>
        <w:t>.</w:t>
      </w:r>
    </w:p>
    <w:p w:rsidR="00A74220" w:rsidRPr="00594EBE" w:rsidRDefault="00A74220" w:rsidP="00A74220">
      <w:pPr>
        <w:suppressLineNumbers w:val="0"/>
        <w:spacing w:line="480" w:lineRule="auto"/>
        <w:rPr>
          <w:lang w:val="en-GB"/>
        </w:rPr>
      </w:pPr>
      <w:r w:rsidRPr="00AE606D">
        <w:rPr>
          <w:lang w:val="en-GB"/>
        </w:rPr>
        <w:t xml:space="preserve">Some simple </w:t>
      </w:r>
      <w:r>
        <w:rPr>
          <w:lang w:val="en-GB"/>
        </w:rPr>
        <w:t xml:space="preserve">average </w:t>
      </w:r>
      <w:r w:rsidRPr="00AE606D">
        <w:rPr>
          <w:lang w:val="en-GB"/>
        </w:rPr>
        <w:t xml:space="preserve">indicators of the size of the EU system versus Iceland, New Zealand and Australia are presented in </w:t>
      </w:r>
      <w:r>
        <w:rPr>
          <w:lang w:val="en-GB"/>
        </w:rPr>
        <w:t>T</w:t>
      </w:r>
      <w:r w:rsidRPr="00AE606D">
        <w:rPr>
          <w:lang w:val="en-GB"/>
        </w:rPr>
        <w:t xml:space="preserve">able 1. For example, </w:t>
      </w:r>
      <w:r>
        <w:rPr>
          <w:lang w:val="en-GB"/>
        </w:rPr>
        <w:t>I</w:t>
      </w:r>
      <w:r w:rsidR="00061A85">
        <w:rPr>
          <w:lang w:val="en-GB"/>
        </w:rPr>
        <w:t>celand, New Zealand and Australia</w:t>
      </w:r>
      <w:r w:rsidRPr="00AE606D">
        <w:rPr>
          <w:lang w:val="en-GB"/>
        </w:rPr>
        <w:t xml:space="preserve"> </w:t>
      </w:r>
      <w:r w:rsidR="00061A85">
        <w:rPr>
          <w:lang w:val="en-GB"/>
        </w:rPr>
        <w:t xml:space="preserve">(IC-NZ-AU) </w:t>
      </w:r>
      <w:r w:rsidRPr="00AE606D">
        <w:rPr>
          <w:lang w:val="en-GB"/>
        </w:rPr>
        <w:t>ha</w:t>
      </w:r>
      <w:r w:rsidR="004B37D6">
        <w:rPr>
          <w:lang w:val="en-GB"/>
        </w:rPr>
        <w:t>ve</w:t>
      </w:r>
      <w:r w:rsidRPr="00AE606D">
        <w:rPr>
          <w:lang w:val="en-GB"/>
        </w:rPr>
        <w:t xml:space="preserve"> </w:t>
      </w:r>
      <w:r>
        <w:rPr>
          <w:lang w:val="en-GB"/>
        </w:rPr>
        <w:t>(on aggregate) 4</w:t>
      </w:r>
      <w:r w:rsidRPr="00AE606D">
        <w:rPr>
          <w:lang w:val="en-GB"/>
        </w:rPr>
        <w:t>% the number of vessels</w:t>
      </w:r>
      <w:r>
        <w:rPr>
          <w:lang w:val="en-GB"/>
        </w:rPr>
        <w:t>,</w:t>
      </w:r>
      <w:r w:rsidRPr="00AE606D">
        <w:rPr>
          <w:lang w:val="en-GB"/>
        </w:rPr>
        <w:t xml:space="preserve"> </w:t>
      </w:r>
      <w:r>
        <w:rPr>
          <w:lang w:val="en-GB"/>
        </w:rPr>
        <w:t>11</w:t>
      </w:r>
      <w:r w:rsidRPr="00AE606D">
        <w:rPr>
          <w:lang w:val="en-GB"/>
        </w:rPr>
        <w:t>% the employment in the harvest sector</w:t>
      </w:r>
      <w:r>
        <w:rPr>
          <w:lang w:val="en-GB"/>
        </w:rPr>
        <w:t xml:space="preserve"> and 32</w:t>
      </w:r>
      <w:r w:rsidRPr="00AE606D">
        <w:rPr>
          <w:lang w:val="en-GB"/>
        </w:rPr>
        <w:t>%</w:t>
      </w:r>
      <w:r w:rsidR="004B37D6">
        <w:rPr>
          <w:lang w:val="en-GB"/>
        </w:rPr>
        <w:t xml:space="preserve"> </w:t>
      </w:r>
      <w:r w:rsidRPr="00AE606D">
        <w:rPr>
          <w:lang w:val="en-GB"/>
        </w:rPr>
        <w:t>the land</w:t>
      </w:r>
      <w:r w:rsidR="006933C2">
        <w:rPr>
          <w:lang w:val="en-GB"/>
        </w:rPr>
        <w:t>ed</w:t>
      </w:r>
      <w:r w:rsidRPr="00AE606D">
        <w:rPr>
          <w:lang w:val="en-GB"/>
        </w:rPr>
        <w:t xml:space="preserve"> value of the EU</w:t>
      </w:r>
      <w:r>
        <w:rPr>
          <w:lang w:val="en-GB"/>
        </w:rPr>
        <w:t>. I</w:t>
      </w:r>
      <w:r w:rsidRPr="00AE606D">
        <w:rPr>
          <w:lang w:val="en-GB"/>
        </w:rPr>
        <w:t>nternal market demand (including imports) approximates US$27</w:t>
      </w:r>
      <w:r w:rsidR="00D333F6">
        <w:rPr>
          <w:lang w:val="en-GB"/>
        </w:rPr>
        <w:t xml:space="preserve"> </w:t>
      </w:r>
      <w:r w:rsidRPr="00AE606D">
        <w:rPr>
          <w:lang w:val="en-GB"/>
        </w:rPr>
        <w:t xml:space="preserve">billion in the EU versus </w:t>
      </w:r>
      <w:r>
        <w:rPr>
          <w:lang w:val="en-GB"/>
        </w:rPr>
        <w:t xml:space="preserve">less than </w:t>
      </w:r>
      <w:r w:rsidRPr="00AE606D">
        <w:rPr>
          <w:lang w:val="en-GB"/>
        </w:rPr>
        <w:t xml:space="preserve">US$1billion in </w:t>
      </w:r>
      <w:r>
        <w:rPr>
          <w:lang w:val="en-GB"/>
        </w:rPr>
        <w:t>IC-NZ-AU</w:t>
      </w:r>
      <w:r w:rsidRPr="00AE606D">
        <w:rPr>
          <w:lang w:val="en-GB"/>
        </w:rPr>
        <w:t xml:space="preserve">. This is in contrast to the total size of the </w:t>
      </w:r>
      <w:r w:rsidR="004D5256">
        <w:rPr>
          <w:lang w:val="en-GB"/>
        </w:rPr>
        <w:t>Exclusive Economic Zones (</w:t>
      </w:r>
      <w:r w:rsidRPr="00AE606D">
        <w:rPr>
          <w:lang w:val="en-GB"/>
        </w:rPr>
        <w:t>EEZs</w:t>
      </w:r>
      <w:r w:rsidR="004D5256">
        <w:rPr>
          <w:lang w:val="en-GB"/>
        </w:rPr>
        <w:t>)</w:t>
      </w:r>
      <w:r w:rsidRPr="00AE606D">
        <w:rPr>
          <w:lang w:val="en-GB"/>
        </w:rPr>
        <w:t xml:space="preserve"> where the EU is only 1.5 times the size of IC-NZ-AU. The pressures on EU fisheries </w:t>
      </w:r>
      <w:r w:rsidR="004B37D6">
        <w:rPr>
          <w:lang w:val="en-GB"/>
        </w:rPr>
        <w:t>are</w:t>
      </w:r>
      <w:r w:rsidRPr="00AE606D">
        <w:rPr>
          <w:lang w:val="en-GB"/>
        </w:rPr>
        <w:t xml:space="preserve"> therefore massively greater than </w:t>
      </w:r>
      <w:r>
        <w:rPr>
          <w:lang w:val="en-GB"/>
        </w:rPr>
        <w:t xml:space="preserve">in </w:t>
      </w:r>
      <w:r w:rsidRPr="00AE606D">
        <w:rPr>
          <w:lang w:val="en-GB"/>
        </w:rPr>
        <w:t>IC-NZ-AU</w:t>
      </w:r>
      <w:r>
        <w:rPr>
          <w:lang w:val="en-GB"/>
        </w:rPr>
        <w:t>, e</w:t>
      </w:r>
      <w:r w:rsidRPr="00594EBE">
        <w:rPr>
          <w:lang w:val="en-GB"/>
        </w:rPr>
        <w:t xml:space="preserve">ven </w:t>
      </w:r>
      <w:r w:rsidR="004B37D6">
        <w:rPr>
          <w:lang w:val="en-GB"/>
        </w:rPr>
        <w:t>when</w:t>
      </w:r>
      <w:r w:rsidRPr="00594EBE">
        <w:rPr>
          <w:lang w:val="en-GB"/>
        </w:rPr>
        <w:t xml:space="preserve"> 84% of the</w:t>
      </w:r>
      <w:r w:rsidR="004B37D6">
        <w:rPr>
          <w:lang w:val="en-GB"/>
        </w:rPr>
        <w:t xml:space="preserve"> EU</w:t>
      </w:r>
      <w:r w:rsidRPr="00594EBE">
        <w:rPr>
          <w:lang w:val="en-GB"/>
        </w:rPr>
        <w:t xml:space="preserve"> fleet can be considered as small scale (Guyader et al. 2013)</w:t>
      </w:r>
      <w:r>
        <w:rPr>
          <w:lang w:val="en-GB"/>
        </w:rPr>
        <w:t>.</w:t>
      </w:r>
    </w:p>
    <w:p w:rsidR="00C85080" w:rsidRPr="001020EB" w:rsidRDefault="001020EB" w:rsidP="009F4632">
      <w:pPr>
        <w:suppressLineNumbers w:val="0"/>
        <w:spacing w:line="480" w:lineRule="auto"/>
        <w:rPr>
          <w:rFonts w:ascii="Times-Roman" w:hAnsi="Times-Roman" w:cs="Times-Roman"/>
          <w:color w:val="1B1C20"/>
          <w:lang w:val="en-US"/>
        </w:rPr>
      </w:pPr>
      <w:r>
        <w:rPr>
          <w:rFonts w:ascii="Times-Roman" w:hAnsi="Times-Roman" w:cs="Times-Roman"/>
          <w:color w:val="1B1C20"/>
          <w:lang w:val="en-US"/>
        </w:rPr>
        <w:t xml:space="preserve">This paper </w:t>
      </w:r>
      <w:r w:rsidR="006460E4">
        <w:rPr>
          <w:rFonts w:ascii="Times-Roman" w:hAnsi="Times-Roman" w:cs="Times-Roman"/>
          <w:color w:val="1B1C20"/>
          <w:lang w:val="en-US"/>
        </w:rPr>
        <w:t>presents</w:t>
      </w:r>
      <w:r>
        <w:rPr>
          <w:rFonts w:ascii="Times-Roman" w:hAnsi="Times-Roman" w:cs="Times-Roman"/>
          <w:color w:val="1B1C20"/>
          <w:lang w:val="en-US"/>
        </w:rPr>
        <w:t xml:space="preserve"> a comparative review of the </w:t>
      </w:r>
      <w:r w:rsidR="00DC3E7A">
        <w:rPr>
          <w:rFonts w:ascii="Times-Roman" w:hAnsi="Times-Roman" w:cs="Times-Roman"/>
          <w:color w:val="1B1C20"/>
          <w:lang w:val="en-US"/>
        </w:rPr>
        <w:t xml:space="preserve">fisheries management </w:t>
      </w:r>
      <w:r>
        <w:rPr>
          <w:rFonts w:ascii="Times-Roman" w:hAnsi="Times-Roman" w:cs="Times-Roman"/>
          <w:color w:val="1B1C20"/>
          <w:lang w:val="en-US"/>
        </w:rPr>
        <w:t>institutions</w:t>
      </w:r>
      <w:r w:rsidR="00DC3E7A">
        <w:rPr>
          <w:rFonts w:ascii="Times-Roman" w:hAnsi="Times-Roman" w:cs="Times-Roman"/>
          <w:color w:val="1B1C20"/>
          <w:lang w:val="en-US"/>
        </w:rPr>
        <w:t xml:space="preserve"> and</w:t>
      </w:r>
      <w:r>
        <w:rPr>
          <w:rFonts w:ascii="Times-Roman" w:hAnsi="Times-Roman" w:cs="Times-Roman"/>
          <w:color w:val="1B1C20"/>
          <w:lang w:val="en-US"/>
        </w:rPr>
        <w:t xml:space="preserve"> processes, objectives, strategies, and tools across the EU, Iceland, Australia and New Zealand. The relative performance of these different fisheries management systems will then be contrasted and discussed based on conservation</w:t>
      </w:r>
      <w:r w:rsidR="00FB5BC0">
        <w:rPr>
          <w:rFonts w:ascii="Times-Roman" w:hAnsi="Times-Roman" w:cs="Times-Roman"/>
          <w:color w:val="1B1C20"/>
          <w:lang w:val="en-US"/>
        </w:rPr>
        <w:t xml:space="preserve"> and</w:t>
      </w:r>
      <w:r>
        <w:rPr>
          <w:rFonts w:ascii="Times-Roman" w:hAnsi="Times-Roman" w:cs="Times-Roman"/>
          <w:color w:val="1B1C20"/>
          <w:lang w:val="en-US"/>
        </w:rPr>
        <w:t xml:space="preserve"> economic criteria.</w:t>
      </w:r>
      <w:r w:rsidR="00467706">
        <w:rPr>
          <w:lang w:val="en-NZ"/>
        </w:rPr>
        <w:t xml:space="preserve"> </w:t>
      </w:r>
      <w:r w:rsidR="00BB0EDD">
        <w:rPr>
          <w:lang w:val="en-NZ"/>
        </w:rPr>
        <w:t>F</w:t>
      </w:r>
      <w:r w:rsidR="00467706">
        <w:rPr>
          <w:lang w:val="en-NZ"/>
        </w:rPr>
        <w:t xml:space="preserve">or the purpose of easing comparisons, the </w:t>
      </w:r>
      <w:r w:rsidR="00467706" w:rsidRPr="0055570F">
        <w:rPr>
          <w:lang w:val="en-US"/>
        </w:rPr>
        <w:t xml:space="preserve">focus </w:t>
      </w:r>
      <w:r w:rsidR="00BB0EDD">
        <w:rPr>
          <w:lang w:val="en-US"/>
        </w:rPr>
        <w:t xml:space="preserve">is </w:t>
      </w:r>
      <w:r w:rsidR="00467706" w:rsidRPr="0055570F">
        <w:rPr>
          <w:lang w:val="en-US"/>
        </w:rPr>
        <w:t xml:space="preserve">on </w:t>
      </w:r>
      <w:r w:rsidR="00467706" w:rsidRPr="0055570F">
        <w:rPr>
          <w:lang w:val="en-US"/>
        </w:rPr>
        <w:lastRenderedPageBreak/>
        <w:t>fleets targeting fish and shellfish species harvested either exclusively in EU waters or shared with a limited number of countries</w:t>
      </w:r>
      <w:r w:rsidR="00CE26AB">
        <w:rPr>
          <w:lang w:val="en-US"/>
        </w:rPr>
        <w:t>, where a multilateral management agreement exists</w:t>
      </w:r>
      <w:r w:rsidR="009738AE">
        <w:rPr>
          <w:lang w:val="en-US"/>
        </w:rPr>
        <w:t xml:space="preserve"> (hereby referred to as domestic species and fisheries)</w:t>
      </w:r>
      <w:r w:rsidR="00467706" w:rsidRPr="0055570F">
        <w:rPr>
          <w:lang w:val="en-US"/>
        </w:rPr>
        <w:t xml:space="preserve">. Therefore, </w:t>
      </w:r>
      <w:r w:rsidR="00CE26AB">
        <w:rPr>
          <w:lang w:val="en-US"/>
        </w:rPr>
        <w:t xml:space="preserve">highly migratory </w:t>
      </w:r>
      <w:r w:rsidR="00467706" w:rsidRPr="0055570F">
        <w:rPr>
          <w:lang w:val="en-US"/>
        </w:rPr>
        <w:t>species such as tunas, which are managed by specific Regional Fisheries Management Organizations</w:t>
      </w:r>
      <w:r w:rsidR="005D7196">
        <w:rPr>
          <w:lang w:val="en-US"/>
        </w:rPr>
        <w:t>,</w:t>
      </w:r>
      <w:r w:rsidR="00467706" w:rsidRPr="0055570F">
        <w:rPr>
          <w:lang w:val="en-US"/>
        </w:rPr>
        <w:t xml:space="preserve"> </w:t>
      </w:r>
      <w:r w:rsidR="00CE26AB">
        <w:rPr>
          <w:lang w:val="en-US"/>
        </w:rPr>
        <w:t xml:space="preserve">or Northeast Atlantic mackerel, for which no management agreement exists, </w:t>
      </w:r>
      <w:r w:rsidR="00467706" w:rsidRPr="0055570F">
        <w:rPr>
          <w:lang w:val="en-US"/>
        </w:rPr>
        <w:t xml:space="preserve">are </w:t>
      </w:r>
      <w:r w:rsidR="00BB0EDD">
        <w:rPr>
          <w:lang w:val="en-US"/>
        </w:rPr>
        <w:t>not considered</w:t>
      </w:r>
      <w:r w:rsidR="00467706" w:rsidRPr="0055570F">
        <w:rPr>
          <w:lang w:val="en-US"/>
        </w:rPr>
        <w:t>.</w:t>
      </w:r>
      <w:r w:rsidR="009F4632">
        <w:rPr>
          <w:lang w:val="en-US"/>
        </w:rPr>
        <w:t xml:space="preserve"> </w:t>
      </w:r>
      <w:r w:rsidR="009F4632" w:rsidRPr="009F4632">
        <w:rPr>
          <w:rFonts w:ascii="Times-Roman" w:hAnsi="Times-Roman" w:cs="Times-Roman"/>
          <w:color w:val="1B1C20"/>
          <w:lang w:val="en-US"/>
        </w:rPr>
        <w:t xml:space="preserve">Also, </w:t>
      </w:r>
      <w:r w:rsidR="007471DB">
        <w:rPr>
          <w:rFonts w:ascii="Times-Roman" w:hAnsi="Times-Roman" w:cs="Times-Roman"/>
          <w:color w:val="1B1C20"/>
          <w:lang w:val="en-US"/>
        </w:rPr>
        <w:t xml:space="preserve">this review generally </w:t>
      </w:r>
      <w:r w:rsidR="00BB0EDD">
        <w:rPr>
          <w:rFonts w:ascii="Times-Roman" w:hAnsi="Times-Roman" w:cs="Times-Roman"/>
          <w:color w:val="1B1C20"/>
          <w:lang w:val="en-US"/>
        </w:rPr>
        <w:t xml:space="preserve">does </w:t>
      </w:r>
      <w:r w:rsidR="007471DB">
        <w:rPr>
          <w:rFonts w:ascii="Times-Roman" w:hAnsi="Times-Roman" w:cs="Times-Roman"/>
          <w:color w:val="1B1C20"/>
          <w:lang w:val="en-US"/>
        </w:rPr>
        <w:t xml:space="preserve">not address local management delivered by, e.g., individual EU member states (except in the Mediterranean Sea where it is prominent), or Australian states, within their waters of jurisdiction. Finally, </w:t>
      </w:r>
      <w:r w:rsidR="009F4632" w:rsidRPr="009F4632">
        <w:rPr>
          <w:rFonts w:ascii="Times-Roman" w:hAnsi="Times-Roman" w:cs="Times-Roman"/>
          <w:color w:val="1B1C20"/>
          <w:lang w:val="en-US"/>
        </w:rPr>
        <w:t xml:space="preserve">to </w:t>
      </w:r>
      <w:r w:rsidR="009F4632">
        <w:rPr>
          <w:rFonts w:ascii="Times-Roman" w:hAnsi="Times-Roman" w:cs="Times-Roman"/>
          <w:color w:val="1B1C20"/>
          <w:lang w:val="en-US"/>
        </w:rPr>
        <w:t xml:space="preserve">make </w:t>
      </w:r>
      <w:r w:rsidR="009F4632" w:rsidRPr="009F4632">
        <w:rPr>
          <w:rFonts w:ascii="Times-Roman" w:hAnsi="Times-Roman" w:cs="Times-Roman"/>
          <w:color w:val="1B1C20"/>
          <w:lang w:val="en-US"/>
        </w:rPr>
        <w:t xml:space="preserve">our </w:t>
      </w:r>
      <w:r w:rsidR="009F4632">
        <w:rPr>
          <w:rFonts w:ascii="Times-Roman" w:hAnsi="Times-Roman" w:cs="Times-Roman"/>
          <w:color w:val="1B1C20"/>
          <w:lang w:val="en-US"/>
        </w:rPr>
        <w:t>review more focused</w:t>
      </w:r>
      <w:r w:rsidR="00A56CED">
        <w:rPr>
          <w:rFonts w:ascii="Times-Roman" w:hAnsi="Times-Roman" w:cs="Times-Roman"/>
          <w:color w:val="1B1C20"/>
          <w:lang w:val="en-US"/>
        </w:rPr>
        <w:t xml:space="preserve">, </w:t>
      </w:r>
      <w:r w:rsidR="009F4632" w:rsidRPr="009F4632">
        <w:rPr>
          <w:rFonts w:ascii="Times-Roman" w:hAnsi="Times-Roman" w:cs="Times-Roman"/>
          <w:color w:val="1B1C20"/>
          <w:lang w:val="en-US"/>
        </w:rPr>
        <w:t xml:space="preserve">we have </w:t>
      </w:r>
      <w:r w:rsidR="00A56CED">
        <w:rPr>
          <w:rFonts w:ascii="Times-Roman" w:hAnsi="Times-Roman" w:cs="Times-Roman"/>
          <w:color w:val="1B1C20"/>
          <w:lang w:val="en-US"/>
        </w:rPr>
        <w:t>restricted</w:t>
      </w:r>
      <w:r w:rsidR="0013343E">
        <w:rPr>
          <w:rFonts w:ascii="Times-Roman" w:hAnsi="Times-Roman" w:cs="Times-Roman"/>
          <w:color w:val="1B1C20"/>
          <w:lang w:val="en-US"/>
        </w:rPr>
        <w:t xml:space="preserve"> its</w:t>
      </w:r>
      <w:r w:rsidR="00EA6284">
        <w:rPr>
          <w:rFonts w:ascii="Times-Roman" w:hAnsi="Times-Roman" w:cs="Times-Roman"/>
          <w:color w:val="1B1C20"/>
          <w:lang w:val="en-US"/>
        </w:rPr>
        <w:t xml:space="preserve"> scope to a comparison of fisheries resource</w:t>
      </w:r>
      <w:r w:rsidR="00A56CED">
        <w:rPr>
          <w:rFonts w:ascii="Times-Roman" w:hAnsi="Times-Roman" w:cs="Times-Roman"/>
          <w:color w:val="1B1C20"/>
          <w:lang w:val="en-US"/>
        </w:rPr>
        <w:t xml:space="preserve"> management </w:t>
      </w:r>
      <w:r w:rsidR="00EA6284">
        <w:rPr>
          <w:rFonts w:ascii="Times-Roman" w:hAnsi="Times-Roman" w:cs="Times-Roman"/>
          <w:color w:val="1B1C20"/>
          <w:lang w:val="en-US"/>
        </w:rPr>
        <w:t xml:space="preserve">across the different </w:t>
      </w:r>
      <w:r w:rsidR="009738AE">
        <w:rPr>
          <w:rFonts w:ascii="Times-Roman" w:hAnsi="Times-Roman" w:cs="Times-Roman"/>
          <w:color w:val="1B1C20"/>
          <w:lang w:val="en-US"/>
        </w:rPr>
        <w:t>jurisdictions</w:t>
      </w:r>
      <w:r w:rsidR="00EA6284">
        <w:rPr>
          <w:rFonts w:ascii="Times-Roman" w:hAnsi="Times-Roman" w:cs="Times-Roman"/>
          <w:color w:val="1B1C20"/>
          <w:lang w:val="en-US"/>
        </w:rPr>
        <w:t xml:space="preserve">, and we have not addressed </w:t>
      </w:r>
      <w:r w:rsidR="0013343E">
        <w:rPr>
          <w:rFonts w:ascii="Times-Roman" w:hAnsi="Times-Roman" w:cs="Times-Roman"/>
          <w:color w:val="1B1C20"/>
          <w:lang w:val="en-US"/>
        </w:rPr>
        <w:t xml:space="preserve">broader </w:t>
      </w:r>
      <w:r w:rsidR="00EA6284">
        <w:rPr>
          <w:rFonts w:ascii="Times-Roman" w:hAnsi="Times-Roman" w:cs="Times-Roman"/>
          <w:color w:val="1B1C20"/>
          <w:lang w:val="en-US"/>
        </w:rPr>
        <w:t>e</w:t>
      </w:r>
      <w:r w:rsidR="00A56CED">
        <w:rPr>
          <w:rFonts w:ascii="Times-Roman" w:hAnsi="Times-Roman" w:cs="Times-Roman"/>
          <w:color w:val="1B1C20"/>
          <w:lang w:val="en-US"/>
        </w:rPr>
        <w:t>cosystem management aspects</w:t>
      </w:r>
      <w:r w:rsidR="004C5C25">
        <w:rPr>
          <w:rFonts w:ascii="Times-Roman" w:hAnsi="Times-Roman" w:cs="Times-Roman"/>
          <w:color w:val="1B1C20"/>
          <w:lang w:val="en-US"/>
        </w:rPr>
        <w:t xml:space="preserve"> (e.g., impact of fishing activities on benthic invertebrates, seabirds, </w:t>
      </w:r>
      <w:r w:rsidR="005D7196">
        <w:rPr>
          <w:rFonts w:ascii="Times-Roman" w:hAnsi="Times-Roman" w:cs="Times-Roman"/>
          <w:color w:val="1B1C20"/>
          <w:lang w:val="en-US"/>
        </w:rPr>
        <w:t xml:space="preserve">or </w:t>
      </w:r>
      <w:r w:rsidR="004C5C25">
        <w:rPr>
          <w:rFonts w:ascii="Times-Roman" w:hAnsi="Times-Roman" w:cs="Times-Roman"/>
          <w:color w:val="1B1C20"/>
          <w:lang w:val="en-US"/>
        </w:rPr>
        <w:t>sea mammals)</w:t>
      </w:r>
      <w:r w:rsidR="00A56CED">
        <w:rPr>
          <w:rFonts w:ascii="Times-Roman" w:hAnsi="Times-Roman" w:cs="Times-Roman"/>
          <w:color w:val="1B1C20"/>
          <w:lang w:val="en-US"/>
        </w:rPr>
        <w:t>.</w:t>
      </w:r>
      <w:r w:rsidR="009529E0" w:rsidRPr="009529E0">
        <w:rPr>
          <w:lang w:val="en-US"/>
        </w:rPr>
        <w:t xml:space="preserve"> </w:t>
      </w:r>
      <w:r w:rsidR="009529E0">
        <w:rPr>
          <w:lang w:val="en-US"/>
        </w:rPr>
        <w:t>Consideration will be given in the Conclusions section to the consequences of limiting the scope of this review to domestic fisheries, and also to ecosystem-based management</w:t>
      </w:r>
      <w:r w:rsidR="002D6D9B">
        <w:rPr>
          <w:lang w:val="en-US"/>
        </w:rPr>
        <w:t xml:space="preserve"> prospects</w:t>
      </w:r>
      <w:r w:rsidR="009529E0">
        <w:rPr>
          <w:lang w:val="en-US"/>
        </w:rPr>
        <w:t>.</w:t>
      </w:r>
    </w:p>
    <w:p w:rsidR="00866D97" w:rsidRPr="0013343E" w:rsidRDefault="00866D97" w:rsidP="00A51148">
      <w:pPr>
        <w:pStyle w:val="Brdtekst3"/>
        <w:spacing w:line="480" w:lineRule="auto"/>
        <w:ind w:right="283"/>
      </w:pPr>
    </w:p>
    <w:p w:rsidR="0093788A" w:rsidRPr="00631657" w:rsidRDefault="0093788A" w:rsidP="00A51148">
      <w:pPr>
        <w:suppressLineNumbers w:val="0"/>
        <w:spacing w:line="480" w:lineRule="auto"/>
        <w:ind w:right="283"/>
        <w:rPr>
          <w:b/>
          <w:bCs/>
          <w:color w:val="000000" w:themeColor="text1"/>
          <w:sz w:val="28"/>
          <w:lang w:val="en-NZ"/>
        </w:rPr>
      </w:pPr>
      <w:r>
        <w:rPr>
          <w:b/>
          <w:bCs/>
          <w:color w:val="000000" w:themeColor="text1"/>
          <w:sz w:val="28"/>
          <w:lang w:val="en-NZ"/>
        </w:rPr>
        <w:t>Management processes</w:t>
      </w:r>
    </w:p>
    <w:p w:rsidR="00B36823" w:rsidRDefault="00B36823" w:rsidP="00A51148">
      <w:pPr>
        <w:suppressLineNumbers w:val="0"/>
        <w:spacing w:line="480" w:lineRule="auto"/>
        <w:ind w:right="283"/>
        <w:rPr>
          <w:b/>
          <w:bCs/>
          <w:color w:val="000000" w:themeColor="text1"/>
          <w:lang w:val="en-NZ"/>
        </w:rPr>
      </w:pPr>
      <w:r>
        <w:rPr>
          <w:b/>
          <w:bCs/>
          <w:color w:val="000000" w:themeColor="text1"/>
          <w:lang w:val="en-NZ"/>
        </w:rPr>
        <w:t>Decision-making</w:t>
      </w:r>
    </w:p>
    <w:p w:rsidR="00C4538F" w:rsidRDefault="00C4538F" w:rsidP="00A51148">
      <w:pPr>
        <w:suppressLineNumbers w:val="0"/>
        <w:spacing w:line="480" w:lineRule="auto"/>
        <w:rPr>
          <w:lang w:val="en-US"/>
        </w:rPr>
      </w:pPr>
      <w:r>
        <w:rPr>
          <w:lang w:val="en-US"/>
        </w:rPr>
        <w:t xml:space="preserve">Unlike Iceland, New Zealand and Australia, which are sovereign countries, the EU is a supra-national entity, where decision-making results from a negotiation between the Member States. </w:t>
      </w:r>
    </w:p>
    <w:p w:rsidR="0075102C" w:rsidRDefault="005A012A" w:rsidP="00A51148">
      <w:pPr>
        <w:suppressLineNumbers w:val="0"/>
        <w:spacing w:line="480" w:lineRule="auto"/>
        <w:rPr>
          <w:lang w:val="en-US"/>
        </w:rPr>
      </w:pPr>
      <w:r>
        <w:rPr>
          <w:lang w:val="en-US"/>
        </w:rPr>
        <w:t>In t</w:t>
      </w:r>
      <w:r w:rsidR="00AC789F">
        <w:rPr>
          <w:lang w:val="en-US"/>
        </w:rPr>
        <w:t>he EU</w:t>
      </w:r>
      <w:r>
        <w:rPr>
          <w:lang w:val="en-US"/>
        </w:rPr>
        <w:t>, decision-making involves</w:t>
      </w:r>
      <w:r w:rsidR="00AC789F">
        <w:rPr>
          <w:lang w:val="en-US"/>
        </w:rPr>
        <w:t xml:space="preserve"> </w:t>
      </w:r>
      <w:r>
        <w:rPr>
          <w:lang w:val="en-US"/>
        </w:rPr>
        <w:t>three</w:t>
      </w:r>
      <w:r w:rsidR="00AC789F">
        <w:rPr>
          <w:lang w:val="en-US"/>
        </w:rPr>
        <w:t xml:space="preserve"> institutions: the Commission</w:t>
      </w:r>
      <w:r w:rsidR="00B93728">
        <w:rPr>
          <w:lang w:val="en-US"/>
        </w:rPr>
        <w:t>, which</w:t>
      </w:r>
      <w:r w:rsidR="00AC789F">
        <w:rPr>
          <w:lang w:val="en-US"/>
        </w:rPr>
        <w:t xml:space="preserve"> primarily </w:t>
      </w:r>
      <w:r w:rsidR="00B93728">
        <w:rPr>
          <w:lang w:val="en-US"/>
        </w:rPr>
        <w:t xml:space="preserve">initiates proposals for legislation; the Council, composed of representatives of the Member States in their area of competence, such as the Ministers of Fisheries, which decides upon the adoption of proposals from the Commission; </w:t>
      </w:r>
      <w:r w:rsidR="00B93728" w:rsidRPr="0086412C">
        <w:rPr>
          <w:lang w:val="en-US"/>
        </w:rPr>
        <w:t xml:space="preserve">and the Parliament, which has a </w:t>
      </w:r>
      <w:r w:rsidR="00E23C55">
        <w:rPr>
          <w:lang w:val="en-US"/>
        </w:rPr>
        <w:t>legislative</w:t>
      </w:r>
      <w:r w:rsidR="00B93728" w:rsidRPr="0086412C">
        <w:rPr>
          <w:lang w:val="en-US"/>
        </w:rPr>
        <w:t xml:space="preserve"> function. </w:t>
      </w:r>
      <w:r w:rsidR="00795851">
        <w:rPr>
          <w:lang w:val="en-US"/>
        </w:rPr>
        <w:t>Until 2009, t</w:t>
      </w:r>
      <w:r w:rsidR="00757E96">
        <w:rPr>
          <w:lang w:val="en-US"/>
        </w:rPr>
        <w:t>he Council</w:t>
      </w:r>
      <w:r w:rsidR="0075102C">
        <w:rPr>
          <w:lang w:val="en-US"/>
        </w:rPr>
        <w:t xml:space="preserve"> </w:t>
      </w:r>
      <w:r w:rsidR="00795851">
        <w:rPr>
          <w:lang w:val="en-US"/>
        </w:rPr>
        <w:t>had</w:t>
      </w:r>
      <w:r w:rsidR="00757E96">
        <w:rPr>
          <w:lang w:val="en-US"/>
        </w:rPr>
        <w:t xml:space="preserve"> sole</w:t>
      </w:r>
      <w:r w:rsidR="0075102C">
        <w:rPr>
          <w:lang w:val="en-US"/>
        </w:rPr>
        <w:t xml:space="preserve"> responsibility to take decisions on TACs and national quotas, technical measures and fishing effort restrictions, for most of the fisheries shared by several Member states. </w:t>
      </w:r>
      <w:r w:rsidR="00757E96">
        <w:rPr>
          <w:lang w:val="en-US"/>
        </w:rPr>
        <w:t xml:space="preserve">Since </w:t>
      </w:r>
      <w:r w:rsidR="00A80DD3">
        <w:rPr>
          <w:lang w:val="en-US"/>
        </w:rPr>
        <w:t xml:space="preserve">the </w:t>
      </w:r>
      <w:r w:rsidR="00757E96">
        <w:rPr>
          <w:lang w:val="en-US"/>
        </w:rPr>
        <w:t>2009</w:t>
      </w:r>
      <w:r w:rsidR="00A80DD3">
        <w:rPr>
          <w:lang w:val="en-US"/>
        </w:rPr>
        <w:t xml:space="preserve"> Treaty of </w:t>
      </w:r>
      <w:r w:rsidR="00A80DD3">
        <w:rPr>
          <w:lang w:val="en-US"/>
        </w:rPr>
        <w:lastRenderedPageBreak/>
        <w:t>Lisbon</w:t>
      </w:r>
      <w:r w:rsidR="0075102C">
        <w:rPr>
          <w:lang w:val="en-US"/>
        </w:rPr>
        <w:t xml:space="preserve">, however, </w:t>
      </w:r>
      <w:r w:rsidR="00757E96">
        <w:rPr>
          <w:lang w:val="en-US"/>
        </w:rPr>
        <w:t xml:space="preserve">the system </w:t>
      </w:r>
      <w:r w:rsidR="004211D1">
        <w:rPr>
          <w:lang w:val="en-US"/>
        </w:rPr>
        <w:t xml:space="preserve">has moved </w:t>
      </w:r>
      <w:r w:rsidR="0075102C">
        <w:rPr>
          <w:lang w:val="en-US"/>
        </w:rPr>
        <w:t>towards a greater involvement of the Parliament and of the Commission in the decision-making process</w:t>
      </w:r>
      <w:r w:rsidR="00795851">
        <w:rPr>
          <w:lang w:val="en-US"/>
        </w:rPr>
        <w:t xml:space="preserve">. </w:t>
      </w:r>
      <w:r w:rsidR="00B20432">
        <w:rPr>
          <w:lang w:val="en-US"/>
        </w:rPr>
        <w:t xml:space="preserve">In practice, however, this has created a new layer of complexity, which has rendered </w:t>
      </w:r>
      <w:r w:rsidR="00795851">
        <w:rPr>
          <w:lang w:val="en-US"/>
        </w:rPr>
        <w:t>agree</w:t>
      </w:r>
      <w:r w:rsidR="00B20432">
        <w:rPr>
          <w:lang w:val="en-US"/>
        </w:rPr>
        <w:t>ment</w:t>
      </w:r>
      <w:r w:rsidR="00795851">
        <w:rPr>
          <w:lang w:val="en-US"/>
        </w:rPr>
        <w:t xml:space="preserve"> </w:t>
      </w:r>
      <w:r w:rsidR="00B20432">
        <w:rPr>
          <w:lang w:val="en-US"/>
        </w:rPr>
        <w:t xml:space="preserve">on </w:t>
      </w:r>
      <w:r w:rsidR="00795851">
        <w:rPr>
          <w:lang w:val="en-US"/>
        </w:rPr>
        <w:t>co-decision procedures</w:t>
      </w:r>
      <w:r w:rsidR="00B20432">
        <w:rPr>
          <w:lang w:val="en-US"/>
        </w:rPr>
        <w:t xml:space="preserve"> difficult, thereby</w:t>
      </w:r>
      <w:r w:rsidR="00795851">
        <w:rPr>
          <w:lang w:val="en-US"/>
        </w:rPr>
        <w:t xml:space="preserve"> </w:t>
      </w:r>
      <w:r w:rsidR="00AD56B3">
        <w:rPr>
          <w:lang w:val="en-US"/>
        </w:rPr>
        <w:t>delay</w:t>
      </w:r>
      <w:r w:rsidR="00B20432">
        <w:rPr>
          <w:lang w:val="en-US"/>
        </w:rPr>
        <w:t>ing</w:t>
      </w:r>
      <w:r w:rsidR="00795851">
        <w:rPr>
          <w:lang w:val="en-US"/>
        </w:rPr>
        <w:t xml:space="preserve"> the establishment of new fisheries management plans </w:t>
      </w:r>
      <w:r w:rsidR="00B20432">
        <w:rPr>
          <w:lang w:val="en-US"/>
        </w:rPr>
        <w:t>since 2009</w:t>
      </w:r>
      <w:r w:rsidR="00086838">
        <w:rPr>
          <w:lang w:val="en-US"/>
        </w:rPr>
        <w:t>.</w:t>
      </w:r>
      <w:r w:rsidR="00BD00E0">
        <w:rPr>
          <w:lang w:val="en-US"/>
        </w:rPr>
        <w:t xml:space="preserve"> </w:t>
      </w:r>
      <w:r w:rsidR="0075102C">
        <w:rPr>
          <w:lang w:val="en-US"/>
        </w:rPr>
        <w:t xml:space="preserve">With regard to North-East Atlantic fish stocks, </w:t>
      </w:r>
      <w:r w:rsidR="0075102C" w:rsidRPr="004551C9">
        <w:rPr>
          <w:lang w:val="en-US"/>
        </w:rPr>
        <w:t xml:space="preserve">TAC decisions have typically been based on scientific advice, mainly delivered by </w:t>
      </w:r>
      <w:r w:rsidR="00E445CB">
        <w:rPr>
          <w:lang w:val="en-US"/>
        </w:rPr>
        <w:t>the International Council for the Exploration of the Sea (</w:t>
      </w:r>
      <w:r w:rsidR="0075102C" w:rsidRPr="004551C9">
        <w:rPr>
          <w:lang w:val="en-US"/>
        </w:rPr>
        <w:t>ICES</w:t>
      </w:r>
      <w:r w:rsidR="00E445CB">
        <w:rPr>
          <w:lang w:val="en-US"/>
        </w:rPr>
        <w:t>)</w:t>
      </w:r>
      <w:r w:rsidR="0075102C" w:rsidRPr="004551C9">
        <w:rPr>
          <w:lang w:val="en-US"/>
        </w:rPr>
        <w:t xml:space="preserve">, but also </w:t>
      </w:r>
      <w:r w:rsidR="004C2EDC">
        <w:rPr>
          <w:lang w:val="en-US"/>
        </w:rPr>
        <w:t>taking account of</w:t>
      </w:r>
      <w:r w:rsidR="0075102C" w:rsidRPr="004551C9">
        <w:rPr>
          <w:lang w:val="en-US"/>
        </w:rPr>
        <w:t xml:space="preserve"> short-term socio-economic concerns</w:t>
      </w:r>
      <w:r w:rsidR="0075102C">
        <w:rPr>
          <w:lang w:val="en-US"/>
        </w:rPr>
        <w:t xml:space="preserve"> </w:t>
      </w:r>
      <w:r w:rsidR="004C2EDC">
        <w:rPr>
          <w:lang w:val="en-US"/>
        </w:rPr>
        <w:t xml:space="preserve">of </w:t>
      </w:r>
      <w:r w:rsidR="0075102C">
        <w:rPr>
          <w:lang w:val="en-US"/>
        </w:rPr>
        <w:t>the industry</w:t>
      </w:r>
      <w:r w:rsidR="0075102C" w:rsidRPr="004551C9">
        <w:rPr>
          <w:lang w:val="en-US"/>
        </w:rPr>
        <w:t xml:space="preserve">. </w:t>
      </w:r>
      <w:r w:rsidR="0075102C">
        <w:rPr>
          <w:lang w:val="en-US"/>
        </w:rPr>
        <w:t xml:space="preserve">The overall agreed TAC is then divided between member states based on </w:t>
      </w:r>
      <w:r w:rsidR="00515151">
        <w:rPr>
          <w:lang w:val="en-US"/>
        </w:rPr>
        <w:t>a fixed allocation key</w:t>
      </w:r>
      <w:r w:rsidR="0075102C">
        <w:rPr>
          <w:lang w:val="en-US"/>
        </w:rPr>
        <w:t xml:space="preserve"> </w:t>
      </w:r>
      <w:r w:rsidR="00440FE6">
        <w:rPr>
          <w:lang w:val="en-US"/>
        </w:rPr>
        <w:t>(Holden, 1994).</w:t>
      </w:r>
      <w:r w:rsidR="00BD00E0">
        <w:rPr>
          <w:lang w:val="en-US"/>
        </w:rPr>
        <w:t xml:space="preserve"> </w:t>
      </w:r>
      <w:r w:rsidR="002F1584">
        <w:rPr>
          <w:lang w:val="en-US"/>
        </w:rPr>
        <w:t>Q</w:t>
      </w:r>
      <w:r w:rsidR="009C22CF">
        <w:rPr>
          <w:lang w:val="en-US"/>
        </w:rPr>
        <w:t xml:space="preserve">uota swaps between member states </w:t>
      </w:r>
      <w:r w:rsidR="006A5A4A">
        <w:rPr>
          <w:lang w:val="en-US"/>
        </w:rPr>
        <w:t xml:space="preserve">are possible, and </w:t>
      </w:r>
      <w:r w:rsidR="009C22CF">
        <w:rPr>
          <w:lang w:val="en-US"/>
        </w:rPr>
        <w:t xml:space="preserve">maintain some flexibility in the TAC system after the allocation is made. </w:t>
      </w:r>
      <w:r w:rsidR="000F08E4">
        <w:rPr>
          <w:lang w:val="en-US"/>
        </w:rPr>
        <w:t>With regard to</w:t>
      </w:r>
      <w:r w:rsidR="000840FB">
        <w:rPr>
          <w:lang w:val="en-US"/>
        </w:rPr>
        <w:t xml:space="preserve"> Mediterranean</w:t>
      </w:r>
      <w:r w:rsidR="000F08E4">
        <w:rPr>
          <w:lang w:val="en-US"/>
        </w:rPr>
        <w:t xml:space="preserve"> demersal and small pelagic fisheries</w:t>
      </w:r>
      <w:r w:rsidR="000840FB">
        <w:rPr>
          <w:lang w:val="en-US"/>
        </w:rPr>
        <w:t>, the GFCM, the EU (as contracting party of the GFCM)</w:t>
      </w:r>
      <w:r w:rsidR="000F08E4">
        <w:rPr>
          <w:lang w:val="en-US"/>
        </w:rPr>
        <w:t xml:space="preserve"> and national states share decision-making responsibilities. </w:t>
      </w:r>
      <w:r w:rsidR="00DE0F57">
        <w:rPr>
          <w:lang w:val="en-NZ"/>
        </w:rPr>
        <w:t>EU R</w:t>
      </w:r>
      <w:r w:rsidR="00DE0F57">
        <w:rPr>
          <w:lang w:val="en-US"/>
        </w:rPr>
        <w:t>egulation 1967/2</w:t>
      </w:r>
      <w:r w:rsidR="007905F0">
        <w:rPr>
          <w:lang w:val="en-US"/>
        </w:rPr>
        <w:t>006 that entered into force in</w:t>
      </w:r>
      <w:r w:rsidR="00DE0F57">
        <w:rPr>
          <w:lang w:val="en-US"/>
        </w:rPr>
        <w:t xml:space="preserve"> 2007, has </w:t>
      </w:r>
      <w:r w:rsidR="00DE0F57" w:rsidRPr="00D764B5">
        <w:rPr>
          <w:lang w:val="en-US"/>
        </w:rPr>
        <w:t>promot</w:t>
      </w:r>
      <w:r w:rsidR="00DE0F57">
        <w:rPr>
          <w:lang w:val="en-US"/>
        </w:rPr>
        <w:t>ed</w:t>
      </w:r>
      <w:r w:rsidR="00DE0F57" w:rsidRPr="00D764B5">
        <w:rPr>
          <w:lang w:val="en-US"/>
        </w:rPr>
        <w:t xml:space="preserve"> a different approach to fisheries management based on decentralized decision-making</w:t>
      </w:r>
      <w:r w:rsidR="00DE0F57">
        <w:rPr>
          <w:lang w:val="en-US"/>
        </w:rPr>
        <w:t>,</w:t>
      </w:r>
      <w:r w:rsidR="00DE0F57" w:rsidRPr="00D764B5">
        <w:rPr>
          <w:lang w:val="en-US"/>
        </w:rPr>
        <w:t xml:space="preserve"> both at national and community level</w:t>
      </w:r>
      <w:r w:rsidR="00C92A72">
        <w:rPr>
          <w:lang w:val="en-US"/>
        </w:rPr>
        <w:t>s.</w:t>
      </w:r>
    </w:p>
    <w:p w:rsidR="005A012A" w:rsidRDefault="005A012A" w:rsidP="005A012A">
      <w:pPr>
        <w:suppressLineNumbers w:val="0"/>
        <w:spacing w:line="480" w:lineRule="auto"/>
        <w:rPr>
          <w:lang w:val="en-US"/>
        </w:rPr>
      </w:pPr>
      <w:r w:rsidRPr="007F62A5">
        <w:rPr>
          <w:lang w:val="en-NZ"/>
        </w:rPr>
        <w:t xml:space="preserve">In Iceland, most decisions regarding fisheries </w:t>
      </w:r>
      <w:r>
        <w:rPr>
          <w:lang w:val="en-NZ"/>
        </w:rPr>
        <w:t xml:space="preserve">operational </w:t>
      </w:r>
      <w:r w:rsidRPr="007F62A5">
        <w:rPr>
          <w:lang w:val="en-NZ"/>
        </w:rPr>
        <w:t>managemen</w:t>
      </w:r>
      <w:r>
        <w:rPr>
          <w:lang w:val="en-NZ"/>
        </w:rPr>
        <w:t>t, including TAC-setting, are taken by the Ministry of F</w:t>
      </w:r>
      <w:r w:rsidRPr="007F62A5">
        <w:rPr>
          <w:lang w:val="en-NZ"/>
        </w:rPr>
        <w:t>isheries</w:t>
      </w:r>
      <w:r>
        <w:rPr>
          <w:lang w:val="en-NZ"/>
        </w:rPr>
        <w:t xml:space="preserve"> and Agriculture, </w:t>
      </w:r>
      <w:r w:rsidRPr="007F62A5">
        <w:rPr>
          <w:lang w:val="en-NZ"/>
        </w:rPr>
        <w:t>based on scientific recommendations from</w:t>
      </w:r>
      <w:r w:rsidR="00526F55">
        <w:rPr>
          <w:lang w:val="en-NZ"/>
        </w:rPr>
        <w:t xml:space="preserve"> the Marine Research Institute (MRI).</w:t>
      </w:r>
    </w:p>
    <w:p w:rsidR="005A012A" w:rsidRDefault="005A012A" w:rsidP="00A51148">
      <w:pPr>
        <w:suppressLineNumbers w:val="0"/>
        <w:spacing w:line="480" w:lineRule="auto"/>
        <w:rPr>
          <w:lang w:val="en-US"/>
        </w:rPr>
      </w:pPr>
      <w:r w:rsidRPr="00DB52FF">
        <w:rPr>
          <w:lang w:val="en-US"/>
        </w:rPr>
        <w:t xml:space="preserve">In </w:t>
      </w:r>
      <w:r w:rsidRPr="00ED11DC">
        <w:rPr>
          <w:lang w:val="en-US"/>
        </w:rPr>
        <w:t xml:space="preserve">New Zealand, </w:t>
      </w:r>
      <w:r>
        <w:rPr>
          <w:lang w:val="en-US"/>
        </w:rPr>
        <w:t xml:space="preserve">final </w:t>
      </w:r>
      <w:r w:rsidRPr="00ED11DC">
        <w:rPr>
          <w:lang w:val="en-US"/>
        </w:rPr>
        <w:t>decisions on</w:t>
      </w:r>
      <w:r>
        <w:rPr>
          <w:lang w:val="en-US"/>
        </w:rPr>
        <w:t xml:space="preserve"> </w:t>
      </w:r>
      <w:r w:rsidRPr="00ED11DC">
        <w:rPr>
          <w:lang w:val="en-US"/>
        </w:rPr>
        <w:t>the majority of Regulations</w:t>
      </w:r>
      <w:r>
        <w:rPr>
          <w:lang w:val="en-US"/>
        </w:rPr>
        <w:t>, all</w:t>
      </w:r>
      <w:r w:rsidRPr="00ED11DC">
        <w:rPr>
          <w:lang w:val="en-US"/>
        </w:rPr>
        <w:t xml:space="preserve"> TAC</w:t>
      </w:r>
      <w:r>
        <w:rPr>
          <w:lang w:val="en-US"/>
        </w:rPr>
        <w:t xml:space="preserve"> </w:t>
      </w:r>
      <w:r w:rsidRPr="00ED11DC">
        <w:rPr>
          <w:lang w:val="en-US"/>
        </w:rPr>
        <w:t>s</w:t>
      </w:r>
      <w:r>
        <w:rPr>
          <w:lang w:val="en-US"/>
        </w:rPr>
        <w:t>etting and</w:t>
      </w:r>
      <w:r w:rsidRPr="00ED11DC">
        <w:rPr>
          <w:lang w:val="en-US"/>
        </w:rPr>
        <w:t xml:space="preserve"> allocation, are made by the Minister</w:t>
      </w:r>
      <w:r>
        <w:rPr>
          <w:lang w:val="en-US"/>
        </w:rPr>
        <w:t xml:space="preserve"> for Primary Industries</w:t>
      </w:r>
      <w:r w:rsidRPr="00ED11DC">
        <w:rPr>
          <w:lang w:val="en-US"/>
        </w:rPr>
        <w:t xml:space="preserve">. </w:t>
      </w:r>
      <w:r>
        <w:rPr>
          <w:lang w:val="en-US"/>
        </w:rPr>
        <w:t xml:space="preserve">In setting the TAC, the Minister must make allowances </w:t>
      </w:r>
      <w:r w:rsidRPr="00ED11DC">
        <w:rPr>
          <w:lang w:val="en-US"/>
        </w:rPr>
        <w:t>for customary (Maori)</w:t>
      </w:r>
      <w:r>
        <w:rPr>
          <w:lang w:val="en-US"/>
        </w:rPr>
        <w:t xml:space="preserve"> use</w:t>
      </w:r>
      <w:r w:rsidRPr="00ED11DC">
        <w:rPr>
          <w:lang w:val="en-US"/>
        </w:rPr>
        <w:t xml:space="preserve">, recreational </w:t>
      </w:r>
      <w:r>
        <w:rPr>
          <w:lang w:val="en-US"/>
        </w:rPr>
        <w:t>take</w:t>
      </w:r>
      <w:r w:rsidRPr="00ED11DC">
        <w:rPr>
          <w:lang w:val="en-US"/>
        </w:rPr>
        <w:t xml:space="preserve"> and other sources of fishing mortality</w:t>
      </w:r>
      <w:r>
        <w:rPr>
          <w:lang w:val="en-US"/>
        </w:rPr>
        <w:t>. The Total Allowable Commercial Catch (TACC) is the TAC less allowances</w:t>
      </w:r>
      <w:r w:rsidRPr="00ED11DC">
        <w:rPr>
          <w:lang w:val="en-US"/>
        </w:rPr>
        <w:t xml:space="preserve">. </w:t>
      </w:r>
      <w:r>
        <w:rPr>
          <w:lang w:val="en-US"/>
        </w:rPr>
        <w:t>Most but not all stocks are in the QMS. As of May 2014 there are 638 stocks (from 100 species or species groupings) in the QMS.</w:t>
      </w:r>
      <w:r w:rsidRPr="007362BD">
        <w:rPr>
          <w:lang w:val="en-US"/>
        </w:rPr>
        <w:t xml:space="preserve"> </w:t>
      </w:r>
      <w:r>
        <w:rPr>
          <w:lang w:val="en-US"/>
        </w:rPr>
        <w:t>TAC setting for QMS stocks is guided by the harvest strategy standard with fishery specific objectives detailed in National Fisheries Plans (</w:t>
      </w:r>
      <w:r w:rsidRPr="00A626FE">
        <w:rPr>
          <w:lang w:val="en-US"/>
        </w:rPr>
        <w:t>http://www.fish.govt.nz/en-nz/Fisheries+Planning/default.htm</w:t>
      </w:r>
      <w:r>
        <w:rPr>
          <w:lang w:val="en-US"/>
        </w:rPr>
        <w:t>) consistent with overarching government fisheries policy (New Zealand Ministry of Fisheries 2009).</w:t>
      </w:r>
    </w:p>
    <w:p w:rsidR="008675BA" w:rsidRDefault="008675BA" w:rsidP="008675BA">
      <w:pPr>
        <w:suppressLineNumbers w:val="0"/>
        <w:spacing w:line="480" w:lineRule="auto"/>
        <w:rPr>
          <w:lang w:val="en-GB"/>
        </w:rPr>
      </w:pPr>
      <w:r>
        <w:rPr>
          <w:lang w:val="en-US"/>
        </w:rPr>
        <w:lastRenderedPageBreak/>
        <w:t xml:space="preserve">In Australia, the management of fisheries is shared between Commonwealth (Federal) and State governments. State fisheries management operates up to 3 nautical miles off the Australian coast, while Commonwealth fisheries management, which we focus on in this investigation, is applicable between the 3 nautical miles and the Australian EEZ boundaries. </w:t>
      </w:r>
      <w:r w:rsidRPr="0058293D">
        <w:rPr>
          <w:lang w:val="en-US"/>
        </w:rPr>
        <w:t xml:space="preserve">The Australian Fisheries Management Authority (AFMA) manages </w:t>
      </w:r>
      <w:r>
        <w:rPr>
          <w:lang w:val="en-US"/>
        </w:rPr>
        <w:t xml:space="preserve">sixteen </w:t>
      </w:r>
      <w:r w:rsidRPr="0058293D">
        <w:rPr>
          <w:lang w:val="en-US"/>
        </w:rPr>
        <w:t>Commonwealth commercial fisheries</w:t>
      </w:r>
      <w:r>
        <w:rPr>
          <w:lang w:val="en-US"/>
        </w:rPr>
        <w:t>, defined based on species targeted, area fished and/or gear used</w:t>
      </w:r>
      <w:r w:rsidRPr="0058293D">
        <w:rPr>
          <w:lang w:val="en-US"/>
        </w:rPr>
        <w:t xml:space="preserve">. </w:t>
      </w:r>
      <w:r w:rsidRPr="00E240C5">
        <w:rPr>
          <w:lang w:val="en-GB"/>
        </w:rPr>
        <w:t>Overall guidance and direction is provided by the 1991 Fisheries Management Act (Anon. 2009) and Fisheries Administration Act (Anon. 2008).</w:t>
      </w:r>
      <w:r>
        <w:rPr>
          <w:lang w:val="en-GB"/>
        </w:rPr>
        <w:t xml:space="preserve"> The latter established AFMA at arm’s length from government, with its own independent Board empowered to make management decisions such as setting TACs.</w:t>
      </w:r>
      <w:r w:rsidR="00D326E1">
        <w:rPr>
          <w:lang w:val="en-GB"/>
        </w:rPr>
        <w:t xml:space="preserve"> </w:t>
      </w:r>
      <w:r w:rsidR="00061D6E">
        <w:rPr>
          <w:lang w:val="en-GB"/>
        </w:rPr>
        <w:t>Oversight of AFMA’s performance does occur through the federal department of fisheries, and the minister of fisheries can over-ride AFMA Board decisions, though this occurs very rarely. There is also general oversight of fishery management performance by the federal department of environment.</w:t>
      </w:r>
    </w:p>
    <w:p w:rsidR="005A012A" w:rsidRDefault="005A012A" w:rsidP="00A51148">
      <w:pPr>
        <w:suppressLineNumbers w:val="0"/>
        <w:spacing w:line="480" w:lineRule="auto"/>
        <w:rPr>
          <w:lang w:val="en-GB"/>
        </w:rPr>
      </w:pPr>
    </w:p>
    <w:p w:rsidR="00F1410D" w:rsidRPr="00B36823" w:rsidRDefault="00F1410D" w:rsidP="00F1410D">
      <w:pPr>
        <w:suppressLineNumbers w:val="0"/>
        <w:spacing w:line="480" w:lineRule="auto"/>
        <w:rPr>
          <w:b/>
          <w:lang w:val="en-US"/>
        </w:rPr>
      </w:pPr>
      <w:r w:rsidRPr="00B36823">
        <w:rPr>
          <w:b/>
          <w:lang w:val="en-US"/>
        </w:rPr>
        <w:t>Science</w:t>
      </w:r>
    </w:p>
    <w:p w:rsidR="00F1410D" w:rsidRDefault="00F1410D" w:rsidP="00F1410D">
      <w:pPr>
        <w:suppressLineNumbers w:val="0"/>
        <w:spacing w:line="480" w:lineRule="auto"/>
        <w:rPr>
          <w:lang w:val="en-US"/>
        </w:rPr>
      </w:pPr>
      <w:r>
        <w:rPr>
          <w:lang w:val="en-US"/>
        </w:rPr>
        <w:t>The main advisory body for EU fisheries management in the North-East Atlantic is ICES. ICES working groups are attended by scientists (mainly from national research institutes). The ICES advisory basis to TAC setting has historically been founded on precautionary approach (PA) reference points (ICES 1998), and provided for data-rich stocks only. Since 2009, the advice has been primarily based on MSY (F</w:t>
      </w:r>
      <w:r w:rsidRPr="009B143F">
        <w:rPr>
          <w:vertAlign w:val="subscript"/>
          <w:lang w:val="en-US"/>
        </w:rPr>
        <w:t>MSY</w:t>
      </w:r>
      <w:r>
        <w:rPr>
          <w:lang w:val="en-US"/>
        </w:rPr>
        <w:t xml:space="preserve">), and there has been increasing impetus to provide additional advice for other data-limited stocks (ICES 2013). In the Mediterranean Sea, the </w:t>
      </w:r>
      <w:r w:rsidRPr="00295439">
        <w:rPr>
          <w:lang w:val="en-US"/>
        </w:rPr>
        <w:t xml:space="preserve">GFCM </w:t>
      </w:r>
      <w:r w:rsidR="007D1E40">
        <w:rPr>
          <w:lang w:val="en-US"/>
        </w:rPr>
        <w:t>initi</w:t>
      </w:r>
      <w:r w:rsidR="009865D0">
        <w:rPr>
          <w:lang w:val="en-US"/>
        </w:rPr>
        <w:t>a</w:t>
      </w:r>
      <w:r w:rsidR="007D1E40">
        <w:rPr>
          <w:lang w:val="en-US"/>
        </w:rPr>
        <w:t>tes</w:t>
      </w:r>
      <w:r w:rsidRPr="00295439">
        <w:rPr>
          <w:lang w:val="en-US"/>
        </w:rPr>
        <w:t xml:space="preserve"> stock assessments in relation to MSY-based reference points.</w:t>
      </w:r>
      <w:r>
        <w:rPr>
          <w:lang w:val="en-US"/>
        </w:rPr>
        <w:t xml:space="preserve"> Finally, before formulating advice to the Council of Ministers for all waters under its jurisdiction (including the Mediterranean Sea), the European Commission is required to take advice from its own Scientific, Technical and Economics Committee on Fisheries (STECF), which offers additional insights in relation to </w:t>
      </w:r>
      <w:r w:rsidR="007D1E40">
        <w:rPr>
          <w:lang w:val="en-US"/>
        </w:rPr>
        <w:t xml:space="preserve">stock assessments, </w:t>
      </w:r>
      <w:r>
        <w:rPr>
          <w:lang w:val="en-US"/>
        </w:rPr>
        <w:t xml:space="preserve">long term management plans and other measures, binding together biological, social and economic </w:t>
      </w:r>
      <w:r>
        <w:rPr>
          <w:lang w:val="en-US"/>
        </w:rPr>
        <w:lastRenderedPageBreak/>
        <w:t>aspects.</w:t>
      </w:r>
    </w:p>
    <w:p w:rsidR="00F1410D" w:rsidRPr="008B386B" w:rsidRDefault="00061D6E" w:rsidP="00F1410D">
      <w:pPr>
        <w:suppressLineNumbers w:val="0"/>
        <w:spacing w:line="480" w:lineRule="auto"/>
        <w:rPr>
          <w:lang w:val="en-US"/>
        </w:rPr>
      </w:pPr>
      <w:r>
        <w:rPr>
          <w:lang w:val="en-US"/>
        </w:rPr>
        <w:t>In Iceland, t</w:t>
      </w:r>
      <w:r w:rsidR="00F1410D" w:rsidRPr="008B386B">
        <w:rPr>
          <w:lang w:val="en-US"/>
        </w:rPr>
        <w:t>he Marine Research Institute (MRI), a government institute</w:t>
      </w:r>
      <w:r w:rsidR="00F1410D">
        <w:rPr>
          <w:lang w:val="en-US"/>
        </w:rPr>
        <w:t>,</w:t>
      </w:r>
      <w:r w:rsidR="00F1410D" w:rsidRPr="008B386B">
        <w:rPr>
          <w:lang w:val="en-US"/>
        </w:rPr>
        <w:t xml:space="preserve"> provides the Ministry with scientific advice based on its research. The most extensive of the MRI activities is the systematic assessment of marine stocks and its advisory role for the management of fisheries. The stock assessment findings of the MRI are subject to review by ICES before the TAC recommendations are made.</w:t>
      </w:r>
    </w:p>
    <w:p w:rsidR="00F1410D" w:rsidRPr="00ED11DC" w:rsidRDefault="00F1410D" w:rsidP="00F1410D">
      <w:pPr>
        <w:suppressLineNumbers w:val="0"/>
        <w:spacing w:line="480" w:lineRule="auto"/>
        <w:rPr>
          <w:lang w:val="en-US"/>
        </w:rPr>
      </w:pPr>
      <w:r>
        <w:rPr>
          <w:lang w:val="en-US"/>
        </w:rPr>
        <w:t xml:space="preserve">In New Zealand, a wide </w:t>
      </w:r>
      <w:r w:rsidR="007905F0">
        <w:rPr>
          <w:lang w:val="en-US"/>
        </w:rPr>
        <w:t>panel</w:t>
      </w:r>
      <w:r>
        <w:rPr>
          <w:lang w:val="en-US"/>
        </w:rPr>
        <w:t xml:space="preserve"> of research providers ranging from individual scientists to r</w:t>
      </w:r>
      <w:r w:rsidRPr="00ED11DC">
        <w:rPr>
          <w:lang w:val="en-US"/>
        </w:rPr>
        <w:t xml:space="preserve">esearch </w:t>
      </w:r>
      <w:r>
        <w:rPr>
          <w:lang w:val="en-US"/>
        </w:rPr>
        <w:t>institute</w:t>
      </w:r>
      <w:r w:rsidRPr="00ED11DC">
        <w:rPr>
          <w:lang w:val="en-US"/>
        </w:rPr>
        <w:t xml:space="preserve">s such as NIWA (The National Institute of Water and Atmospheric Science), Ministry scientists and managers, industry </w:t>
      </w:r>
      <w:r>
        <w:rPr>
          <w:lang w:val="en-US"/>
        </w:rPr>
        <w:t xml:space="preserve">science and other </w:t>
      </w:r>
      <w:r w:rsidRPr="00ED11DC">
        <w:rPr>
          <w:lang w:val="en-US"/>
        </w:rPr>
        <w:t>representatives</w:t>
      </w:r>
      <w:r>
        <w:rPr>
          <w:lang w:val="en-US"/>
        </w:rPr>
        <w:t>,</w:t>
      </w:r>
      <w:r w:rsidRPr="00ED11DC">
        <w:rPr>
          <w:lang w:val="en-US"/>
        </w:rPr>
        <w:t xml:space="preserve"> </w:t>
      </w:r>
      <w:r>
        <w:rPr>
          <w:lang w:val="en-US"/>
        </w:rPr>
        <w:t xml:space="preserve">recreational and customary fisheries representatives, </w:t>
      </w:r>
      <w:r w:rsidRPr="00ED11DC">
        <w:rPr>
          <w:lang w:val="en-US"/>
        </w:rPr>
        <w:t xml:space="preserve">and occasionally </w:t>
      </w:r>
      <w:r>
        <w:rPr>
          <w:lang w:val="en-US"/>
        </w:rPr>
        <w:t xml:space="preserve">environmental </w:t>
      </w:r>
      <w:r w:rsidRPr="00ED11DC">
        <w:rPr>
          <w:lang w:val="en-US"/>
        </w:rPr>
        <w:t>NGOs</w:t>
      </w:r>
      <w:r w:rsidR="007905F0">
        <w:rPr>
          <w:lang w:val="en-US"/>
        </w:rPr>
        <w:t>,</w:t>
      </w:r>
      <w:r w:rsidRPr="00ED11DC">
        <w:rPr>
          <w:lang w:val="en-US"/>
        </w:rPr>
        <w:t xml:space="preserve"> participate in </w:t>
      </w:r>
      <w:r>
        <w:rPr>
          <w:lang w:val="en-US"/>
        </w:rPr>
        <w:t>stock assessment working groups,</w:t>
      </w:r>
      <w:r w:rsidRPr="00ED11DC">
        <w:rPr>
          <w:lang w:val="en-US"/>
        </w:rPr>
        <w:t xml:space="preserve"> </w:t>
      </w:r>
      <w:r>
        <w:rPr>
          <w:lang w:val="en-US"/>
        </w:rPr>
        <w:t xml:space="preserve">review meetings and in the advice-drafting </w:t>
      </w:r>
      <w:r w:rsidRPr="00ED11DC">
        <w:rPr>
          <w:lang w:val="en-US"/>
        </w:rPr>
        <w:t>process</w:t>
      </w:r>
      <w:r>
        <w:rPr>
          <w:lang w:val="en-US"/>
        </w:rPr>
        <w:t>, all of which are fully open to the public though subject to clear protocols</w:t>
      </w:r>
      <w:r w:rsidRPr="00ED11DC">
        <w:rPr>
          <w:lang w:val="en-US"/>
        </w:rPr>
        <w:t xml:space="preserve">. </w:t>
      </w:r>
      <w:r>
        <w:rPr>
          <w:lang w:val="en-US"/>
        </w:rPr>
        <w:t>Stock assessments are carried out in line with relevant National Fisheries Plans and are managed by the Ministry, with work being undertaken by contracted science providers and subject to continuous and final review in the working groups and plenary meetings. M</w:t>
      </w:r>
      <w:r w:rsidRPr="00ED11DC">
        <w:rPr>
          <w:lang w:val="en-US"/>
        </w:rPr>
        <w:t>ost of the commercially important stocks a</w:t>
      </w:r>
      <w:r>
        <w:rPr>
          <w:lang w:val="en-US"/>
        </w:rPr>
        <w:t>re considered every 2-3 years with final advice being compiled in plenary reports using standardized summary formats showing current status estimates and projections under multiple scenarios (Ministry for Primary Industries; 2014a, 2014b).</w:t>
      </w:r>
    </w:p>
    <w:p w:rsidR="00F1410D" w:rsidRDefault="00061D6E" w:rsidP="00F1410D">
      <w:pPr>
        <w:suppressLineNumbers w:val="0"/>
        <w:spacing w:line="480" w:lineRule="auto"/>
        <w:rPr>
          <w:lang w:val="en-US"/>
        </w:rPr>
      </w:pPr>
      <w:r>
        <w:rPr>
          <w:lang w:val="en-US"/>
        </w:rPr>
        <w:t xml:space="preserve">In </w:t>
      </w:r>
      <w:r w:rsidR="00F1410D">
        <w:rPr>
          <w:lang w:val="en-US"/>
        </w:rPr>
        <w:t>A</w:t>
      </w:r>
      <w:r>
        <w:rPr>
          <w:lang w:val="en-US"/>
        </w:rPr>
        <w:t>u</w:t>
      </w:r>
      <w:r w:rsidR="00F1410D">
        <w:rPr>
          <w:lang w:val="en-US"/>
        </w:rPr>
        <w:t>s</w:t>
      </w:r>
      <w:r>
        <w:rPr>
          <w:lang w:val="en-US"/>
        </w:rPr>
        <w:t>tralia, like</w:t>
      </w:r>
      <w:r w:rsidR="00F1410D">
        <w:rPr>
          <w:lang w:val="en-US"/>
        </w:rPr>
        <w:t xml:space="preserve"> in New Zealand, scientific advice is provided by </w:t>
      </w:r>
      <w:r>
        <w:rPr>
          <w:lang w:val="en-US"/>
        </w:rPr>
        <w:t>several</w:t>
      </w:r>
      <w:r w:rsidR="00F1410D">
        <w:rPr>
          <w:lang w:val="en-US"/>
        </w:rPr>
        <w:t xml:space="preserve"> research providers. For AFMA fisheries, this is dominated by the Commonwealth Scientific and Industrial Research Organization (CSIRO), but there are also important contributions made from state fishery scientists and from a number of scientific consultants. The Australian Bureau of Agricultural and Resource Economics and Sciences (ABARES) provides an annual report on stock status, summarizing much of the research and assessments undertaken. The science and assessments are presented to and considered by </w:t>
      </w:r>
      <w:r w:rsidR="00F1410D" w:rsidRPr="008B386B">
        <w:rPr>
          <w:lang w:val="en-US"/>
        </w:rPr>
        <w:t xml:space="preserve">Resource Assessment Groups (RAGs) </w:t>
      </w:r>
      <w:r w:rsidR="00F1410D">
        <w:rPr>
          <w:lang w:val="en-US"/>
        </w:rPr>
        <w:t xml:space="preserve">that </w:t>
      </w:r>
      <w:r w:rsidR="00F1410D" w:rsidRPr="008B386B">
        <w:rPr>
          <w:lang w:val="en-US"/>
        </w:rPr>
        <w:t>have been established for each major fishery. The main role of RAGs is to provide advice on the status of fish stocks, and</w:t>
      </w:r>
      <w:r w:rsidR="00F1410D">
        <w:rPr>
          <w:lang w:val="en-US"/>
        </w:rPr>
        <w:t xml:space="preserve"> to provide the </w:t>
      </w:r>
      <w:r w:rsidR="00F1410D">
        <w:rPr>
          <w:lang w:val="en-US"/>
        </w:rPr>
        <w:lastRenderedPageBreak/>
        <w:t>inputs needed to the formal harvest strategies for each species and stock</w:t>
      </w:r>
      <w:r w:rsidR="00F1410D" w:rsidRPr="008B386B">
        <w:rPr>
          <w:lang w:val="en-US"/>
        </w:rPr>
        <w:t xml:space="preserve">. </w:t>
      </w:r>
      <w:r w:rsidR="00F1410D">
        <w:rPr>
          <w:lang w:val="en-US"/>
        </w:rPr>
        <w:t>They also advise on monitoring and research priorities for the fishery. RAG advice goes to the management advisory committees</w:t>
      </w:r>
      <w:r w:rsidR="004D5256">
        <w:rPr>
          <w:lang w:val="en-US"/>
        </w:rPr>
        <w:t xml:space="preserve"> (MACs)</w:t>
      </w:r>
      <w:r w:rsidR="00F1410D">
        <w:rPr>
          <w:lang w:val="en-US"/>
        </w:rPr>
        <w:t xml:space="preserve">, but also directly to the AFMA Board. </w:t>
      </w:r>
    </w:p>
    <w:p w:rsidR="00F1410D" w:rsidRPr="008675BA" w:rsidRDefault="00F1410D" w:rsidP="00A51148">
      <w:pPr>
        <w:suppressLineNumbers w:val="0"/>
        <w:spacing w:line="480" w:lineRule="auto"/>
        <w:rPr>
          <w:lang w:val="en-GB"/>
        </w:rPr>
      </w:pPr>
    </w:p>
    <w:p w:rsidR="005A012A" w:rsidRDefault="005A012A" w:rsidP="005A012A">
      <w:pPr>
        <w:suppressLineNumbers w:val="0"/>
        <w:spacing w:line="480" w:lineRule="auto"/>
        <w:ind w:right="283"/>
        <w:rPr>
          <w:b/>
          <w:bCs/>
          <w:color w:val="000000" w:themeColor="text1"/>
          <w:lang w:val="en-NZ"/>
        </w:rPr>
      </w:pPr>
      <w:r>
        <w:rPr>
          <w:b/>
          <w:bCs/>
          <w:color w:val="000000" w:themeColor="text1"/>
          <w:lang w:val="en-NZ"/>
        </w:rPr>
        <w:t>Stakeholders’ involvement</w:t>
      </w:r>
    </w:p>
    <w:p w:rsidR="00431C73" w:rsidRDefault="005A012A" w:rsidP="00431C73">
      <w:pPr>
        <w:suppressLineNumbers w:val="0"/>
        <w:spacing w:line="480" w:lineRule="auto"/>
        <w:rPr>
          <w:lang w:val="en-US"/>
        </w:rPr>
      </w:pPr>
      <w:r>
        <w:rPr>
          <w:lang w:val="en-US"/>
        </w:rPr>
        <w:t>In the EU, t</w:t>
      </w:r>
      <w:r w:rsidR="00E71B80">
        <w:rPr>
          <w:lang w:val="en-US"/>
        </w:rPr>
        <w:t xml:space="preserve">he </w:t>
      </w:r>
      <w:r w:rsidR="007C4494">
        <w:rPr>
          <w:lang w:val="en-US"/>
        </w:rPr>
        <w:t xml:space="preserve">Advisory Councils (ACs), previously known as </w:t>
      </w:r>
      <w:r w:rsidR="00E71B80">
        <w:rPr>
          <w:lang w:val="en-US"/>
        </w:rPr>
        <w:t>R</w:t>
      </w:r>
      <w:r w:rsidR="007905F0">
        <w:rPr>
          <w:lang w:val="en-US"/>
        </w:rPr>
        <w:t xml:space="preserve">egional </w:t>
      </w:r>
      <w:r w:rsidR="00E71B80">
        <w:rPr>
          <w:lang w:val="en-US"/>
        </w:rPr>
        <w:t>A</w:t>
      </w:r>
      <w:r w:rsidR="007905F0">
        <w:rPr>
          <w:lang w:val="en-US"/>
        </w:rPr>
        <w:t xml:space="preserve">dvisory </w:t>
      </w:r>
      <w:r w:rsidR="00E71B80">
        <w:rPr>
          <w:lang w:val="en-US"/>
        </w:rPr>
        <w:t>C</w:t>
      </w:r>
      <w:r w:rsidR="007905F0">
        <w:rPr>
          <w:lang w:val="en-US"/>
        </w:rPr>
        <w:t>ouncil</w:t>
      </w:r>
      <w:r w:rsidR="00E71B80">
        <w:rPr>
          <w:lang w:val="en-US"/>
        </w:rPr>
        <w:t>s</w:t>
      </w:r>
      <w:r w:rsidR="007C4494">
        <w:rPr>
          <w:lang w:val="en-US"/>
        </w:rPr>
        <w:t>,</w:t>
      </w:r>
      <w:r w:rsidR="00E71B80">
        <w:rPr>
          <w:lang w:val="en-US"/>
        </w:rPr>
        <w:t xml:space="preserve"> were created </w:t>
      </w:r>
      <w:r w:rsidR="007C4494">
        <w:rPr>
          <w:lang w:val="en-US"/>
        </w:rPr>
        <w:t>to</w:t>
      </w:r>
      <w:r w:rsidR="00E71B80">
        <w:rPr>
          <w:lang w:val="en-US"/>
        </w:rPr>
        <w:t xml:space="preserve"> strengthen</w:t>
      </w:r>
      <w:r w:rsidR="005E399D">
        <w:rPr>
          <w:lang w:val="en-US"/>
        </w:rPr>
        <w:t>,</w:t>
      </w:r>
      <w:r w:rsidR="00E71B80">
        <w:rPr>
          <w:lang w:val="en-US"/>
        </w:rPr>
        <w:t xml:space="preserve"> at EU level</w:t>
      </w:r>
      <w:r w:rsidR="005E399D">
        <w:rPr>
          <w:lang w:val="en-US"/>
        </w:rPr>
        <w:t>,</w:t>
      </w:r>
      <w:r w:rsidR="00E71B80">
        <w:rPr>
          <w:lang w:val="en-US"/>
        </w:rPr>
        <w:t xml:space="preserve"> stakeholders’ involvement i</w:t>
      </w:r>
      <w:r w:rsidR="007C4494">
        <w:rPr>
          <w:lang w:val="en-US"/>
        </w:rPr>
        <w:t xml:space="preserve">n the decision-making process. </w:t>
      </w:r>
      <w:r w:rsidR="00E71B80">
        <w:rPr>
          <w:lang w:val="en-US"/>
        </w:rPr>
        <w:t xml:space="preserve">ACs are made up of representatives from the fishing sector and other interest groups affected by the CFP. Scientists </w:t>
      </w:r>
      <w:r w:rsidR="006D656E">
        <w:rPr>
          <w:lang w:val="en-US"/>
        </w:rPr>
        <w:t>can be</w:t>
      </w:r>
      <w:r w:rsidR="00E71B80">
        <w:rPr>
          <w:lang w:val="en-US"/>
        </w:rPr>
        <w:t xml:space="preserve"> invited as experts, while the European Commission and national administ</w:t>
      </w:r>
      <w:r w:rsidR="007C4494">
        <w:rPr>
          <w:lang w:val="en-US"/>
        </w:rPr>
        <w:t xml:space="preserve">rations may participate in the </w:t>
      </w:r>
      <w:r w:rsidR="00E71B80">
        <w:rPr>
          <w:lang w:val="en-US"/>
        </w:rPr>
        <w:t>ACs a</w:t>
      </w:r>
      <w:r w:rsidR="007C4494">
        <w:rPr>
          <w:lang w:val="en-US"/>
        </w:rPr>
        <w:t xml:space="preserve">s active observers. </w:t>
      </w:r>
      <w:r w:rsidR="00E71B80">
        <w:rPr>
          <w:lang w:val="en-US"/>
        </w:rPr>
        <w:t>The Commiss</w:t>
      </w:r>
      <w:r w:rsidR="007C4494">
        <w:rPr>
          <w:lang w:val="en-US"/>
        </w:rPr>
        <w:t>ion may consult the ACs when developing</w:t>
      </w:r>
      <w:r w:rsidR="00E71B80">
        <w:rPr>
          <w:lang w:val="en-US"/>
        </w:rPr>
        <w:t xml:space="preserve"> </w:t>
      </w:r>
      <w:r w:rsidR="007C4494">
        <w:rPr>
          <w:lang w:val="en-US"/>
        </w:rPr>
        <w:t>management plans</w:t>
      </w:r>
      <w:r w:rsidR="00431C73">
        <w:rPr>
          <w:lang w:val="en-US"/>
        </w:rPr>
        <w:t>, though the process is not formalized</w:t>
      </w:r>
      <w:r w:rsidR="007C4494">
        <w:rPr>
          <w:lang w:val="en-US"/>
        </w:rPr>
        <w:t xml:space="preserve">. </w:t>
      </w:r>
      <w:r w:rsidR="00E71B80">
        <w:rPr>
          <w:lang w:val="en-US"/>
        </w:rPr>
        <w:t xml:space="preserve">ACs may also inform the Commission or the Member States of problems relating to the implementation of CFP rules and formulate recommendations. </w:t>
      </w:r>
      <w:r w:rsidR="00431C73">
        <w:rPr>
          <w:lang w:val="en-US"/>
        </w:rPr>
        <w:t>S</w:t>
      </w:r>
      <w:r w:rsidR="00E71B80">
        <w:rPr>
          <w:lang w:val="en-US"/>
        </w:rPr>
        <w:t xml:space="preserve">takeholders’ involvement is also materializing at the member states level through the strengthening of national </w:t>
      </w:r>
      <w:r w:rsidR="007C4494">
        <w:rPr>
          <w:lang w:val="en-US"/>
        </w:rPr>
        <w:t xml:space="preserve">industry </w:t>
      </w:r>
      <w:r w:rsidR="00E71B80">
        <w:rPr>
          <w:lang w:val="en-US"/>
        </w:rPr>
        <w:t>structures, in the decision-making process</w:t>
      </w:r>
      <w:r w:rsidR="007C4494">
        <w:rPr>
          <w:lang w:val="en-US"/>
        </w:rPr>
        <w:t>, sometimes with an informal advisory function</w:t>
      </w:r>
      <w:r w:rsidR="00E71B80">
        <w:rPr>
          <w:lang w:val="en-US"/>
        </w:rPr>
        <w:t>.</w:t>
      </w:r>
      <w:r w:rsidR="00E71B80" w:rsidRPr="00A909E7">
        <w:rPr>
          <w:lang w:val="en-US"/>
        </w:rPr>
        <w:t xml:space="preserve"> </w:t>
      </w:r>
      <w:r w:rsidR="0035340D">
        <w:rPr>
          <w:lang w:val="en-US"/>
        </w:rPr>
        <w:t xml:space="preserve">Stakeholders’ participation in scientific advice (e.g., ICES) exists, but it is limited compared to New Zealand and Australia.  </w:t>
      </w:r>
      <w:r w:rsidR="00431C73">
        <w:rPr>
          <w:lang w:val="en-US"/>
        </w:rPr>
        <w:t>Finally, there is no EU-wide cost-recovery of government management/advisory expenditures from the fishing industry.</w:t>
      </w:r>
    </w:p>
    <w:p w:rsidR="005A012A" w:rsidRDefault="005A012A" w:rsidP="00E71B80">
      <w:pPr>
        <w:suppressLineNumbers w:val="0"/>
        <w:spacing w:line="480" w:lineRule="auto"/>
        <w:rPr>
          <w:lang w:val="en-NZ"/>
        </w:rPr>
      </w:pPr>
      <w:r>
        <w:rPr>
          <w:lang w:val="en-US"/>
        </w:rPr>
        <w:t xml:space="preserve">In Iceland, </w:t>
      </w:r>
      <w:r>
        <w:rPr>
          <w:lang w:val="en-NZ"/>
        </w:rPr>
        <w:t>the fisheries management system is in public hands. However, the fishing industry has an indirect role to play in TAC-setting, mostly through consultation, and a more direct role in relation to the implementation of ITQ management. The industry has representatives on the board of the Marine Research Institute and also generally in official committees that handle affairs related to fisheries management, such as regarding the design and implementation of TACs. Furthermore, various industry representatives are routinely consulted by parliament in the drafting of legislation related to fisheries management.</w:t>
      </w:r>
      <w:r w:rsidR="00431C73" w:rsidRPr="00431C73">
        <w:rPr>
          <w:lang w:val="en-NZ"/>
        </w:rPr>
        <w:t xml:space="preserve"> </w:t>
      </w:r>
      <w:r w:rsidR="00431C73">
        <w:rPr>
          <w:lang w:val="en-NZ"/>
        </w:rPr>
        <w:t>Finally, Icelandic fishing companies contribute financially to fisheries management expenditures through a resource tax.</w:t>
      </w:r>
    </w:p>
    <w:p w:rsidR="005A012A" w:rsidRDefault="005A012A" w:rsidP="00E71B80">
      <w:pPr>
        <w:suppressLineNumbers w:val="0"/>
        <w:spacing w:line="480" w:lineRule="auto"/>
        <w:rPr>
          <w:lang w:val="en-US"/>
        </w:rPr>
      </w:pPr>
      <w:r>
        <w:rPr>
          <w:lang w:val="en-US"/>
        </w:rPr>
        <w:lastRenderedPageBreak/>
        <w:t xml:space="preserve">In New Zealand, policies, standards and fishery plans are all developed with wide stakeholder and public consultation in prescribed processes. </w:t>
      </w:r>
      <w:r w:rsidRPr="00ED11DC">
        <w:rPr>
          <w:lang w:val="en-US"/>
        </w:rPr>
        <w:t xml:space="preserve">The Ministry </w:t>
      </w:r>
      <w:r>
        <w:rPr>
          <w:lang w:val="en-US"/>
        </w:rPr>
        <w:t xml:space="preserve">of Primary Industries </w:t>
      </w:r>
      <w:r w:rsidRPr="00ED11DC">
        <w:rPr>
          <w:lang w:val="en-US"/>
        </w:rPr>
        <w:t>has separate groups dealing with operational policy</w:t>
      </w:r>
      <w:r>
        <w:rPr>
          <w:lang w:val="en-US"/>
        </w:rPr>
        <w:t xml:space="preserve"> and science</w:t>
      </w:r>
      <w:r w:rsidRPr="00ED11DC">
        <w:rPr>
          <w:lang w:val="en-US"/>
        </w:rPr>
        <w:t xml:space="preserve">. The Operations group deals with a range of issues, including provision of advice on regulatory controls and TAC-setting. Stock assessment outputs </w:t>
      </w:r>
      <w:r>
        <w:rPr>
          <w:lang w:val="en-US"/>
        </w:rPr>
        <w:t xml:space="preserve">from processes managed by, and advice from, the Science group </w:t>
      </w:r>
      <w:r w:rsidRPr="00ED11DC">
        <w:rPr>
          <w:lang w:val="en-US"/>
        </w:rPr>
        <w:t xml:space="preserve">are a major input to the Operations group. Other inputs come in the form of managers’ deliberations with </w:t>
      </w:r>
      <w:r>
        <w:rPr>
          <w:lang w:val="en-US"/>
        </w:rPr>
        <w:t>commercial, recreational and customary sectors</w:t>
      </w:r>
      <w:r w:rsidRPr="00ED11DC">
        <w:rPr>
          <w:lang w:val="en-US"/>
        </w:rPr>
        <w:t xml:space="preserve">, </w:t>
      </w:r>
      <w:r>
        <w:rPr>
          <w:lang w:val="en-US"/>
        </w:rPr>
        <w:t xml:space="preserve">and </w:t>
      </w:r>
      <w:r w:rsidRPr="00ED11DC">
        <w:rPr>
          <w:lang w:val="en-US"/>
        </w:rPr>
        <w:t>relevant papers on</w:t>
      </w:r>
      <w:r w:rsidR="00E818A9">
        <w:rPr>
          <w:lang w:val="en-US"/>
        </w:rPr>
        <w:t>, e.g.,</w:t>
      </w:r>
      <w:r w:rsidRPr="00ED11DC">
        <w:rPr>
          <w:lang w:val="en-US"/>
        </w:rPr>
        <w:t xml:space="preserve"> environmental</w:t>
      </w:r>
      <w:r w:rsidR="00E818A9">
        <w:rPr>
          <w:lang w:val="en-US"/>
        </w:rPr>
        <w:t xml:space="preserve"> and</w:t>
      </w:r>
      <w:r w:rsidRPr="00ED11DC">
        <w:rPr>
          <w:lang w:val="en-US"/>
        </w:rPr>
        <w:t xml:space="preserve"> economic mat</w:t>
      </w:r>
      <w:r>
        <w:rPr>
          <w:lang w:val="en-US"/>
        </w:rPr>
        <w:t>ters</w:t>
      </w:r>
      <w:r w:rsidR="00EE4210">
        <w:rPr>
          <w:lang w:val="en-US"/>
        </w:rPr>
        <w:t>.</w:t>
      </w:r>
      <w:r w:rsidR="00431C73" w:rsidRPr="00431C73">
        <w:rPr>
          <w:lang w:val="en-US"/>
        </w:rPr>
        <w:t xml:space="preserve"> </w:t>
      </w:r>
      <w:r w:rsidR="00431C73">
        <w:rPr>
          <w:lang w:val="en-US"/>
        </w:rPr>
        <w:t>Finally, government expenditures (including funding of stock assessment meetings) are to a large extent cost-recovered from the fishing industry via a levy derived from the annual landings value.</w:t>
      </w:r>
    </w:p>
    <w:p w:rsidR="00007D57" w:rsidRPr="00E240C5" w:rsidRDefault="008675BA" w:rsidP="00007D57">
      <w:pPr>
        <w:suppressLineNumbers w:val="0"/>
        <w:spacing w:line="480" w:lineRule="auto"/>
        <w:rPr>
          <w:lang w:val="en-GB"/>
        </w:rPr>
      </w:pPr>
      <w:r w:rsidRPr="0058293D">
        <w:rPr>
          <w:lang w:val="en-US"/>
        </w:rPr>
        <w:t>A key feature of Australian fisheries management is the formali</w:t>
      </w:r>
      <w:r>
        <w:rPr>
          <w:lang w:val="en-US"/>
        </w:rPr>
        <w:t>z</w:t>
      </w:r>
      <w:r w:rsidRPr="0058293D">
        <w:rPr>
          <w:lang w:val="en-US"/>
        </w:rPr>
        <w:t xml:space="preserve">ed </w:t>
      </w:r>
      <w:r>
        <w:rPr>
          <w:lang w:val="en-US"/>
        </w:rPr>
        <w:t>industry</w:t>
      </w:r>
      <w:r w:rsidRPr="0058293D">
        <w:rPr>
          <w:lang w:val="en-US"/>
        </w:rPr>
        <w:t xml:space="preserve"> liaison and consultation that occurs</w:t>
      </w:r>
      <w:r>
        <w:rPr>
          <w:lang w:val="en-US"/>
        </w:rPr>
        <w:t xml:space="preserve">. </w:t>
      </w:r>
      <w:r>
        <w:rPr>
          <w:lang w:val="en-GB"/>
        </w:rPr>
        <w:t xml:space="preserve">Strong stakeholder engagement is a feature of the AFMA management system, with fishers, environmental NGOs and scientists represented on </w:t>
      </w:r>
      <w:r w:rsidR="00061D6E">
        <w:rPr>
          <w:lang w:val="en-GB"/>
        </w:rPr>
        <w:t xml:space="preserve">MACs </w:t>
      </w:r>
      <w:r>
        <w:rPr>
          <w:lang w:val="en-GB"/>
        </w:rPr>
        <w:t xml:space="preserve">and RAGs for each fishery, and often appointed as members of the AFMA Board (Smith et al. 1999). </w:t>
      </w:r>
      <w:r w:rsidR="009E112B" w:rsidRPr="008B386B">
        <w:rPr>
          <w:lang w:val="en-US"/>
        </w:rPr>
        <w:t xml:space="preserve">The wide membership ensures that, in addition to scientific information on each fish stock, industry knowledge and developments in management strategies, market prices and the costs of harvesting are also taken into account. </w:t>
      </w:r>
      <w:r w:rsidR="00431C73">
        <w:rPr>
          <w:lang w:val="en-GB"/>
        </w:rPr>
        <w:t>Finally, s</w:t>
      </w:r>
      <w:r w:rsidR="00007D57">
        <w:rPr>
          <w:lang w:val="en-US"/>
        </w:rPr>
        <w:t>imilar to Iceland and New Zealand, the Australian fishing industry contributes financially to fisheries management expenditures through a cost-recovery scheme.</w:t>
      </w:r>
    </w:p>
    <w:p w:rsidR="00CF2984" w:rsidRDefault="00CF2984" w:rsidP="002A3248">
      <w:pPr>
        <w:suppressLineNumbers w:val="0"/>
        <w:spacing w:line="480" w:lineRule="auto"/>
        <w:rPr>
          <w:lang w:val="en-US"/>
        </w:rPr>
      </w:pPr>
    </w:p>
    <w:p w:rsidR="008058CE" w:rsidRPr="008058CE" w:rsidRDefault="008058CE" w:rsidP="00A51148">
      <w:pPr>
        <w:pStyle w:val="Brdtekst3"/>
        <w:spacing w:line="480" w:lineRule="auto"/>
        <w:ind w:right="283"/>
        <w:rPr>
          <w:b/>
          <w:sz w:val="28"/>
          <w:szCs w:val="28"/>
        </w:rPr>
      </w:pPr>
      <w:r>
        <w:rPr>
          <w:b/>
          <w:sz w:val="28"/>
          <w:szCs w:val="28"/>
        </w:rPr>
        <w:t>Management objective</w:t>
      </w:r>
      <w:r w:rsidRPr="008058CE">
        <w:rPr>
          <w:b/>
          <w:sz w:val="28"/>
          <w:szCs w:val="28"/>
        </w:rPr>
        <w:t>s</w:t>
      </w:r>
      <w:r w:rsidR="00732FAD">
        <w:rPr>
          <w:b/>
          <w:sz w:val="28"/>
          <w:szCs w:val="28"/>
        </w:rPr>
        <w:t xml:space="preserve"> and strategies</w:t>
      </w:r>
    </w:p>
    <w:p w:rsidR="00F1410D" w:rsidRDefault="001053CC" w:rsidP="00A51148">
      <w:pPr>
        <w:suppressLineNumbers w:val="0"/>
        <w:spacing w:line="480" w:lineRule="auto"/>
        <w:rPr>
          <w:lang w:val="en-US"/>
        </w:rPr>
      </w:pPr>
      <w:r>
        <w:rPr>
          <w:lang w:val="en-US"/>
        </w:rPr>
        <w:t>T</w:t>
      </w:r>
      <w:r w:rsidRPr="008B386B">
        <w:rPr>
          <w:lang w:val="en-US"/>
        </w:rPr>
        <w:t xml:space="preserve">he </w:t>
      </w:r>
      <w:r>
        <w:rPr>
          <w:lang w:val="en-US"/>
        </w:rPr>
        <w:t>founding fisheries management decrees of the different jurisdictions</w:t>
      </w:r>
      <w:r w:rsidRPr="008B386B">
        <w:rPr>
          <w:lang w:val="en-US"/>
        </w:rPr>
        <w:t xml:space="preserve"> highlight </w:t>
      </w:r>
      <w:r>
        <w:rPr>
          <w:lang w:val="en-US"/>
        </w:rPr>
        <w:t>similar</w:t>
      </w:r>
      <w:r w:rsidRPr="008B386B">
        <w:rPr>
          <w:lang w:val="en-US"/>
        </w:rPr>
        <w:t xml:space="preserve"> </w:t>
      </w:r>
      <w:r>
        <w:rPr>
          <w:lang w:val="en-US"/>
        </w:rPr>
        <w:t>objectiv</w:t>
      </w:r>
      <w:r w:rsidRPr="008B386B">
        <w:rPr>
          <w:lang w:val="en-US"/>
        </w:rPr>
        <w:t>es of ecological and environmental sustainability, and also of optimi</w:t>
      </w:r>
      <w:r>
        <w:rPr>
          <w:lang w:val="en-US"/>
        </w:rPr>
        <w:t>z</w:t>
      </w:r>
      <w:r w:rsidRPr="008B386B">
        <w:rPr>
          <w:lang w:val="en-US"/>
        </w:rPr>
        <w:t xml:space="preserve">ing resource </w:t>
      </w:r>
      <w:r>
        <w:rPr>
          <w:lang w:val="en-US"/>
        </w:rPr>
        <w:t>utilization</w:t>
      </w:r>
      <w:r w:rsidRPr="008B386B">
        <w:rPr>
          <w:lang w:val="en-US"/>
        </w:rPr>
        <w:t>.</w:t>
      </w:r>
      <w:r>
        <w:rPr>
          <w:lang w:val="en-US"/>
        </w:rPr>
        <w:t xml:space="preserve"> These</w:t>
      </w:r>
      <w:r w:rsidR="00B271D4">
        <w:rPr>
          <w:lang w:val="en-US"/>
        </w:rPr>
        <w:t xml:space="preserve"> objectives have to varying degrees been translated into quantitative management targets, and a number of strategies have been developed to achieve them.</w:t>
      </w:r>
    </w:p>
    <w:p w:rsidR="00732FAD" w:rsidRDefault="00732FAD" w:rsidP="00A51148">
      <w:pPr>
        <w:suppressLineNumbers w:val="0"/>
        <w:spacing w:line="480" w:lineRule="auto"/>
        <w:rPr>
          <w:lang w:val="en-US"/>
        </w:rPr>
      </w:pPr>
      <w:r>
        <w:rPr>
          <w:lang w:val="en-US"/>
        </w:rPr>
        <w:t xml:space="preserve">Regarding </w:t>
      </w:r>
      <w:r w:rsidR="007F4E7F">
        <w:rPr>
          <w:lang w:val="en-US"/>
        </w:rPr>
        <w:t xml:space="preserve">EU </w:t>
      </w:r>
      <w:r>
        <w:rPr>
          <w:lang w:val="en-US"/>
        </w:rPr>
        <w:t xml:space="preserve">Northeast Atlantic fisheries, several management plans gradually emerged during the </w:t>
      </w:r>
      <w:r>
        <w:rPr>
          <w:lang w:val="en-US"/>
        </w:rPr>
        <w:lastRenderedPageBreak/>
        <w:t xml:space="preserve">period 1999-2013, but these applied only to a limited number of stocks. Plans were primarily established for single stocks, and included a strict harvest control rule (HCR) building on specific target and limit reference points, these being defined </w:t>
      </w:r>
      <w:r w:rsidRPr="00C62F08">
        <w:rPr>
          <w:lang w:val="en-US"/>
        </w:rPr>
        <w:t>with regards to population size and/or fishing mortality</w:t>
      </w:r>
      <w:r>
        <w:rPr>
          <w:lang w:val="en-US"/>
        </w:rPr>
        <w:t>, and with a constraint imposed on the inter-annual TAC variation. M</w:t>
      </w:r>
      <w:r w:rsidRPr="00212990">
        <w:rPr>
          <w:lang w:val="en-US"/>
        </w:rPr>
        <w:t>ost of the</w:t>
      </w:r>
      <w:r>
        <w:rPr>
          <w:lang w:val="en-US"/>
        </w:rPr>
        <w:t>se</w:t>
      </w:r>
      <w:r w:rsidRPr="00212990">
        <w:rPr>
          <w:lang w:val="en-US"/>
        </w:rPr>
        <w:t xml:space="preserve"> management plans </w:t>
      </w:r>
      <w:r>
        <w:rPr>
          <w:lang w:val="en-US"/>
        </w:rPr>
        <w:t>were</w:t>
      </w:r>
      <w:r w:rsidRPr="00212990">
        <w:rPr>
          <w:lang w:val="en-US"/>
        </w:rPr>
        <w:t xml:space="preserve"> of a “top-down” nature</w:t>
      </w:r>
      <w:r>
        <w:rPr>
          <w:lang w:val="en-US"/>
        </w:rPr>
        <w:t>.</w:t>
      </w:r>
      <w:r w:rsidRPr="00F1155C">
        <w:rPr>
          <w:lang w:val="en-US"/>
        </w:rPr>
        <w:t xml:space="preserve"> In the 2013 CFP reform, </w:t>
      </w:r>
      <w:r>
        <w:rPr>
          <w:lang w:val="en-US"/>
        </w:rPr>
        <w:t>MSY was officially</w:t>
      </w:r>
      <w:r w:rsidRPr="00F1155C">
        <w:rPr>
          <w:lang w:val="en-US"/>
        </w:rPr>
        <w:t xml:space="preserve"> establish</w:t>
      </w:r>
      <w:r>
        <w:rPr>
          <w:lang w:val="en-US"/>
        </w:rPr>
        <w:t xml:space="preserve">ed as the management target to be achieved for all fish stocks </w:t>
      </w:r>
      <w:r w:rsidRPr="00BD652B">
        <w:rPr>
          <w:rFonts w:cstheme="minorHAnsi"/>
          <w:lang w:val="en-US"/>
        </w:rPr>
        <w:t xml:space="preserve">if possible </w:t>
      </w:r>
      <w:r>
        <w:rPr>
          <w:rFonts w:cstheme="minorHAnsi"/>
          <w:lang w:val="en-US"/>
        </w:rPr>
        <w:t>by</w:t>
      </w:r>
      <w:r w:rsidRPr="00BD652B">
        <w:rPr>
          <w:rFonts w:cstheme="minorHAnsi"/>
          <w:lang w:val="en-US"/>
        </w:rPr>
        <w:t xml:space="preserve"> 2015 and at latest </w:t>
      </w:r>
      <w:r>
        <w:rPr>
          <w:rFonts w:cstheme="minorHAnsi"/>
          <w:lang w:val="en-US"/>
        </w:rPr>
        <w:t>by</w:t>
      </w:r>
      <w:r w:rsidRPr="00BD652B">
        <w:rPr>
          <w:rFonts w:cstheme="minorHAnsi"/>
          <w:lang w:val="en-US"/>
        </w:rPr>
        <w:t xml:space="preserve"> 2020</w:t>
      </w:r>
      <w:r>
        <w:rPr>
          <w:lang w:val="en-US"/>
        </w:rPr>
        <w:t xml:space="preserve"> (EC 2013), thus legally supporting the Johannesburg Agreement and the MSY basis of ICES advice. The 2013 CFP aims to generalize multiannual management plans to cover all stocks, but with a different approach. MSY-based regional plans should be established, covering all exploited stocks within mixed fisheries, but with more flexible and generic rules for fixing the annual TACs. In 2015, major steps have already been achieved towards designing and evaluating such regional plans, but none of them have yet been </w:t>
      </w:r>
      <w:r w:rsidR="001A7309">
        <w:rPr>
          <w:lang w:val="en-US"/>
        </w:rPr>
        <w:t>agre</w:t>
      </w:r>
      <w:r>
        <w:rPr>
          <w:lang w:val="en-US"/>
        </w:rPr>
        <w:t>ed at the time of writing.</w:t>
      </w:r>
    </w:p>
    <w:p w:rsidR="0086238F" w:rsidRDefault="00C62F08" w:rsidP="0086238F">
      <w:pPr>
        <w:suppressLineNumbers w:val="0"/>
        <w:spacing w:line="480" w:lineRule="auto"/>
        <w:rPr>
          <w:lang w:val="en-US"/>
        </w:rPr>
      </w:pPr>
      <w:r w:rsidRPr="00253FB0">
        <w:rPr>
          <w:rFonts w:eastAsia="Calibri"/>
          <w:lang w:val="en-US"/>
        </w:rPr>
        <w:t xml:space="preserve">In the EU Mediterranean </w:t>
      </w:r>
      <w:r w:rsidR="00C50A76">
        <w:rPr>
          <w:rFonts w:eastAsia="Calibri"/>
          <w:lang w:val="en-US"/>
        </w:rPr>
        <w:t>fishe</w:t>
      </w:r>
      <w:r w:rsidRPr="00253FB0">
        <w:rPr>
          <w:rFonts w:eastAsia="Calibri"/>
          <w:lang w:val="en-US"/>
        </w:rPr>
        <w:t xml:space="preserve">ries, the CFP management objectives </w:t>
      </w:r>
      <w:r w:rsidR="005B2F5E">
        <w:rPr>
          <w:rFonts w:eastAsia="Calibri"/>
          <w:lang w:val="en-US"/>
        </w:rPr>
        <w:t>a</w:t>
      </w:r>
      <w:r w:rsidRPr="00253FB0">
        <w:rPr>
          <w:rFonts w:eastAsia="Calibri"/>
          <w:lang w:val="en-US"/>
        </w:rPr>
        <w:t>re the same as in other areas, and these have been explicitly included in the Mediterra</w:t>
      </w:r>
      <w:r w:rsidR="0030397E">
        <w:rPr>
          <w:rFonts w:eastAsia="Calibri"/>
          <w:lang w:val="en-US"/>
        </w:rPr>
        <w:t xml:space="preserve">nean Regulation (EC) 1967/2006. </w:t>
      </w:r>
      <w:r w:rsidR="0086238F">
        <w:rPr>
          <w:rFonts w:eastAsia="Calibri"/>
          <w:lang w:val="en-US"/>
        </w:rPr>
        <w:t>However</w:t>
      </w:r>
      <w:r w:rsidR="0086238F" w:rsidRPr="00C62F08">
        <w:rPr>
          <w:lang w:val="en-US"/>
        </w:rPr>
        <w:t xml:space="preserve">, EU fisheries </w:t>
      </w:r>
      <w:r w:rsidR="0086238F">
        <w:rPr>
          <w:lang w:val="en-US"/>
        </w:rPr>
        <w:t>have</w:t>
      </w:r>
      <w:r w:rsidR="0086238F" w:rsidRPr="00C62F08">
        <w:rPr>
          <w:lang w:val="en-US"/>
        </w:rPr>
        <w:t xml:space="preserve"> not </w:t>
      </w:r>
      <w:r w:rsidR="0086238F">
        <w:rPr>
          <w:lang w:val="en-US"/>
        </w:rPr>
        <w:t xml:space="preserve">been </w:t>
      </w:r>
      <w:r w:rsidR="0086238F" w:rsidRPr="00C62F08">
        <w:rPr>
          <w:lang w:val="en-US"/>
        </w:rPr>
        <w:t xml:space="preserve">subject to top-down management plans as in </w:t>
      </w:r>
      <w:r w:rsidR="0086238F">
        <w:rPr>
          <w:lang w:val="en-US"/>
        </w:rPr>
        <w:t>N</w:t>
      </w:r>
      <w:r w:rsidR="0086238F" w:rsidRPr="00C62F08">
        <w:rPr>
          <w:lang w:val="en-US"/>
        </w:rPr>
        <w:t xml:space="preserve">ortheast Atlantic waters. Instead, it has been considered appropriate to promote </w:t>
      </w:r>
      <w:r w:rsidR="0086238F">
        <w:rPr>
          <w:lang w:val="en-US"/>
        </w:rPr>
        <w:t xml:space="preserve">National Management Plans (NMPs), combining </w:t>
      </w:r>
      <w:r w:rsidR="0086238F" w:rsidRPr="00C62F08">
        <w:rPr>
          <w:lang w:val="en-US"/>
        </w:rPr>
        <w:t xml:space="preserve">effort management with specific technical measures. </w:t>
      </w:r>
      <w:r w:rsidR="0086238F" w:rsidRPr="00C62F08">
        <w:rPr>
          <w:bCs/>
          <w:color w:val="000000"/>
          <w:lang w:val="en-US" w:eastAsia="it-IT"/>
        </w:rPr>
        <w:t xml:space="preserve">Italy </w:t>
      </w:r>
      <w:r w:rsidR="0086238F" w:rsidRPr="00C62F08">
        <w:rPr>
          <w:color w:val="000000"/>
          <w:lang w:val="en-US" w:eastAsia="it-IT"/>
        </w:rPr>
        <w:t xml:space="preserve">has gained great experience </w:t>
      </w:r>
      <w:r w:rsidR="0086238F">
        <w:rPr>
          <w:color w:val="000000"/>
          <w:lang w:val="en-US" w:eastAsia="it-IT"/>
        </w:rPr>
        <w:t>i</w:t>
      </w:r>
      <w:r w:rsidR="0086238F" w:rsidRPr="00C62F08">
        <w:rPr>
          <w:color w:val="000000"/>
          <w:lang w:val="en-US" w:eastAsia="it-IT"/>
        </w:rPr>
        <w:t>n the implementation of NMP</w:t>
      </w:r>
      <w:r w:rsidR="0086238F">
        <w:rPr>
          <w:color w:val="000000"/>
          <w:lang w:val="en-US" w:eastAsia="it-IT"/>
        </w:rPr>
        <w:t xml:space="preserve">s, with examples </w:t>
      </w:r>
      <w:r w:rsidR="0086238F">
        <w:rPr>
          <w:lang w:val="en-US"/>
        </w:rPr>
        <w:t xml:space="preserve">including the </w:t>
      </w:r>
      <w:r w:rsidR="0086238F" w:rsidRPr="00C62F08">
        <w:rPr>
          <w:lang w:val="en-US"/>
        </w:rPr>
        <w:t>towed gears NMP</w:t>
      </w:r>
      <w:r w:rsidR="0086238F">
        <w:rPr>
          <w:lang w:val="en-US"/>
        </w:rPr>
        <w:t>s</w:t>
      </w:r>
      <w:r w:rsidR="0086238F" w:rsidRPr="00C62F08">
        <w:rPr>
          <w:lang w:val="en-US"/>
        </w:rPr>
        <w:t xml:space="preserve"> enforced since 2010</w:t>
      </w:r>
      <w:r w:rsidR="0086238F">
        <w:rPr>
          <w:lang w:val="en-US"/>
        </w:rPr>
        <w:t xml:space="preserve"> for each Geographical Sub-Area, with t</w:t>
      </w:r>
      <w:r w:rsidR="0086238F" w:rsidRPr="00C62F08">
        <w:rPr>
          <w:lang w:val="en-US"/>
        </w:rPr>
        <w:t xml:space="preserve">he aim of reducing the exploitation rate for a pool of </w:t>
      </w:r>
      <w:r w:rsidR="0086238F">
        <w:rPr>
          <w:lang w:val="en-US"/>
        </w:rPr>
        <w:t xml:space="preserve">target </w:t>
      </w:r>
      <w:r w:rsidR="0086238F" w:rsidRPr="00C62F08">
        <w:rPr>
          <w:lang w:val="en-US"/>
        </w:rPr>
        <w:t>species</w:t>
      </w:r>
      <w:r w:rsidR="0086238F">
        <w:rPr>
          <w:lang w:val="en-US"/>
        </w:rPr>
        <w:t xml:space="preserve"> below </w:t>
      </w:r>
      <w:r w:rsidR="0086238F" w:rsidRPr="00C62F08">
        <w:rPr>
          <w:lang w:val="en-US"/>
        </w:rPr>
        <w:t xml:space="preserve">a </w:t>
      </w:r>
      <w:r w:rsidR="0086238F">
        <w:rPr>
          <w:lang w:val="en-US"/>
        </w:rPr>
        <w:t xml:space="preserve">target </w:t>
      </w:r>
      <w:r w:rsidR="0086238F" w:rsidRPr="00C62F08">
        <w:rPr>
          <w:lang w:val="en-US"/>
        </w:rPr>
        <w:t>level</w:t>
      </w:r>
      <w:r w:rsidR="0086238F">
        <w:rPr>
          <w:lang w:val="en-US"/>
        </w:rPr>
        <w:t>.</w:t>
      </w:r>
      <w:r w:rsidR="0086238F" w:rsidRPr="00F73DEE">
        <w:rPr>
          <w:lang w:val="en-US"/>
        </w:rPr>
        <w:t xml:space="preserve"> </w:t>
      </w:r>
      <w:r w:rsidR="0086238F">
        <w:rPr>
          <w:lang w:val="en-US"/>
        </w:rPr>
        <w:t>NMPs targeted at specific fisheries have since 2012 been implemented in all EU Mediterranean countries.</w:t>
      </w:r>
      <w:r w:rsidR="0086238F" w:rsidRPr="00685CDD">
        <w:rPr>
          <w:lang w:val="en-US"/>
        </w:rPr>
        <w:t xml:space="preserve"> </w:t>
      </w:r>
      <w:r w:rsidR="0086238F">
        <w:rPr>
          <w:lang w:val="en-US"/>
        </w:rPr>
        <w:t>Ultimately, these plans should also be combined into a regional management plan, as for the other EU regions.</w:t>
      </w:r>
    </w:p>
    <w:p w:rsidR="0091354D" w:rsidRPr="00C62F08" w:rsidRDefault="0091354D" w:rsidP="0091354D">
      <w:pPr>
        <w:suppressLineNumbers w:val="0"/>
        <w:spacing w:line="480" w:lineRule="auto"/>
        <w:rPr>
          <w:color w:val="000000"/>
          <w:lang w:val="en-US"/>
        </w:rPr>
      </w:pPr>
      <w:r>
        <w:rPr>
          <w:lang w:val="en-US"/>
        </w:rPr>
        <w:t>In Iceland, m</w:t>
      </w:r>
      <w:r w:rsidR="00C62F08" w:rsidRPr="008B386B">
        <w:rPr>
          <w:lang w:val="en-US"/>
        </w:rPr>
        <w:t xml:space="preserve">anagement objectives and principles for Icelandic fisheries have been established under the legal framework of the 2006 Fisheries Act. The main objective of fisheries management in Iceland is to promote conservation and efficient utilization of exploitable marine stocks, thereby </w:t>
      </w:r>
      <w:r w:rsidR="00C62F08" w:rsidRPr="008B386B">
        <w:rPr>
          <w:lang w:val="en-US"/>
        </w:rPr>
        <w:lastRenderedPageBreak/>
        <w:t xml:space="preserve">ensuring stable employment and settlement throughout the country. In practice, the main emphasis has been on economic efficiency and stock sustainability through the use of ITQ systems for most fisheries. Although no explicit management targets are set in the 2006 Fisheries Act, </w:t>
      </w:r>
      <w:r w:rsidR="0030397E">
        <w:rPr>
          <w:lang w:val="en-US"/>
        </w:rPr>
        <w:t xml:space="preserve">these have been included </w:t>
      </w:r>
      <w:r w:rsidR="00C62F08" w:rsidRPr="008B386B">
        <w:rPr>
          <w:lang w:val="en-US"/>
        </w:rPr>
        <w:t>in current management plans</w:t>
      </w:r>
      <w:r w:rsidR="0030397E">
        <w:rPr>
          <w:lang w:val="en-US"/>
        </w:rPr>
        <w:t xml:space="preserve"> for </w:t>
      </w:r>
      <w:r>
        <w:rPr>
          <w:lang w:val="en-US"/>
        </w:rPr>
        <w:t>some</w:t>
      </w:r>
      <w:r w:rsidR="0030397E">
        <w:rPr>
          <w:lang w:val="en-US"/>
        </w:rPr>
        <w:t xml:space="preserve"> key commercial stocks</w:t>
      </w:r>
      <w:r>
        <w:rPr>
          <w:lang w:val="en-US"/>
        </w:rPr>
        <w:t>, e.g.,</w:t>
      </w:r>
      <w:r w:rsidRPr="00C62F08">
        <w:rPr>
          <w:lang w:val="en-US"/>
        </w:rPr>
        <w:t xml:space="preserve"> capelin</w:t>
      </w:r>
      <w:r>
        <w:rPr>
          <w:color w:val="000000"/>
          <w:lang w:val="en-US"/>
        </w:rPr>
        <w:t>,</w:t>
      </w:r>
      <w:r w:rsidRPr="00C62F08">
        <w:rPr>
          <w:color w:val="000000"/>
          <w:lang w:val="en-US"/>
        </w:rPr>
        <w:t xml:space="preserve"> cod</w:t>
      </w:r>
      <w:r>
        <w:rPr>
          <w:color w:val="000000"/>
          <w:lang w:val="en-US"/>
        </w:rPr>
        <w:t>, saithe and haddock</w:t>
      </w:r>
      <w:r w:rsidRPr="00C62F08">
        <w:rPr>
          <w:color w:val="000000"/>
          <w:lang w:val="en-US"/>
        </w:rPr>
        <w:t>.</w:t>
      </w:r>
    </w:p>
    <w:p w:rsidR="0091354D" w:rsidRDefault="00C62F08" w:rsidP="0091354D">
      <w:pPr>
        <w:suppressLineNumbers w:val="0"/>
        <w:spacing w:line="480" w:lineRule="auto"/>
        <w:rPr>
          <w:lang w:val="en-GB"/>
        </w:rPr>
      </w:pPr>
      <w:r w:rsidRPr="00253FB0">
        <w:rPr>
          <w:lang w:val="en-GB"/>
        </w:rPr>
        <w:t xml:space="preserve">There </w:t>
      </w:r>
      <w:r w:rsidR="00216577" w:rsidRPr="00253FB0">
        <w:rPr>
          <w:lang w:val="en-GB"/>
        </w:rPr>
        <w:t>are</w:t>
      </w:r>
      <w:r w:rsidR="00216577">
        <w:rPr>
          <w:lang w:val="en-GB"/>
        </w:rPr>
        <w:t xml:space="preserve"> </w:t>
      </w:r>
      <w:r w:rsidR="00216577" w:rsidRPr="00253FB0">
        <w:rPr>
          <w:lang w:val="en-GB"/>
        </w:rPr>
        <w:t>two</w:t>
      </w:r>
      <w:r w:rsidRPr="00253FB0">
        <w:rPr>
          <w:lang w:val="en-GB"/>
        </w:rPr>
        <w:t xml:space="preserve"> outstanding features in the </w:t>
      </w:r>
      <w:r w:rsidR="006F47B0">
        <w:rPr>
          <w:lang w:val="en-GB"/>
        </w:rPr>
        <w:t xml:space="preserve">New Zealand </w:t>
      </w:r>
      <w:r w:rsidRPr="00253FB0">
        <w:rPr>
          <w:lang w:val="en-GB"/>
        </w:rPr>
        <w:t>Fisheries Act 1996</w:t>
      </w:r>
      <w:r w:rsidR="006F47B0">
        <w:rPr>
          <w:lang w:val="en-GB"/>
        </w:rPr>
        <w:t xml:space="preserve"> </w:t>
      </w:r>
      <w:r w:rsidR="006F47B0" w:rsidRPr="00253FB0">
        <w:rPr>
          <w:lang w:val="en-GB"/>
        </w:rPr>
        <w:t>(</w:t>
      </w:r>
      <w:r w:rsidR="006F47B0">
        <w:rPr>
          <w:lang w:val="en-GB"/>
        </w:rPr>
        <w:t>Anonymous 2005)</w:t>
      </w:r>
      <w:r w:rsidRPr="00253FB0">
        <w:rPr>
          <w:lang w:val="en-GB"/>
        </w:rPr>
        <w:t xml:space="preserve">: (1) the obligation that Maori interests are preserved and, (2) the explicit reference to </w:t>
      </w:r>
      <w:r w:rsidR="002E4F20">
        <w:rPr>
          <w:lang w:val="en-GB"/>
        </w:rPr>
        <w:t>SS</w:t>
      </w:r>
      <w:r w:rsidRPr="00253FB0">
        <w:rPr>
          <w:lang w:val="en-GB"/>
        </w:rPr>
        <w:t>B</w:t>
      </w:r>
      <w:r w:rsidRPr="00253FB0">
        <w:rPr>
          <w:vertAlign w:val="subscript"/>
          <w:lang w:val="en-GB"/>
        </w:rPr>
        <w:t>MSY</w:t>
      </w:r>
      <w:r w:rsidRPr="00253FB0">
        <w:rPr>
          <w:szCs w:val="14"/>
          <w:lang w:val="en-GB"/>
        </w:rPr>
        <w:t xml:space="preserve"> </w:t>
      </w:r>
      <w:r w:rsidRPr="00253FB0">
        <w:rPr>
          <w:lang w:val="en-GB"/>
        </w:rPr>
        <w:t xml:space="preserve">as a management target. </w:t>
      </w:r>
      <w:r w:rsidR="006F47B0">
        <w:rPr>
          <w:lang w:val="en-GB"/>
        </w:rPr>
        <w:t>T</w:t>
      </w:r>
      <w:r w:rsidR="009E3ABB">
        <w:rPr>
          <w:lang w:val="en-GB"/>
        </w:rPr>
        <w:t xml:space="preserve">he default value for </w:t>
      </w:r>
      <w:r w:rsidR="002E4F20">
        <w:rPr>
          <w:lang w:val="en-GB"/>
        </w:rPr>
        <w:t>SS</w:t>
      </w:r>
      <w:r w:rsidR="002E4F20" w:rsidRPr="00253FB0">
        <w:rPr>
          <w:lang w:val="en-GB"/>
        </w:rPr>
        <w:t>B</w:t>
      </w:r>
      <w:r w:rsidR="002E4F20" w:rsidRPr="00253FB0">
        <w:rPr>
          <w:vertAlign w:val="subscript"/>
          <w:lang w:val="en-GB"/>
        </w:rPr>
        <w:t>MSY</w:t>
      </w:r>
      <w:r w:rsidR="009E3ABB">
        <w:rPr>
          <w:lang w:val="en-GB"/>
        </w:rPr>
        <w:t xml:space="preserve"> is assumed to be 40 per cent of the </w:t>
      </w:r>
      <w:r w:rsidR="009B02C5">
        <w:rPr>
          <w:lang w:val="en-GB"/>
        </w:rPr>
        <w:t xml:space="preserve">unfished </w:t>
      </w:r>
      <w:r w:rsidR="009E3ABB">
        <w:rPr>
          <w:lang w:val="en-GB"/>
        </w:rPr>
        <w:t xml:space="preserve">spawning biomass </w:t>
      </w:r>
      <w:r w:rsidR="009B02C5">
        <w:rPr>
          <w:lang w:val="en-GB"/>
        </w:rPr>
        <w:t>estimated from single-species models</w:t>
      </w:r>
      <w:r w:rsidR="008264BB">
        <w:rPr>
          <w:lang w:val="en-GB"/>
        </w:rPr>
        <w:t xml:space="preserve"> (Mace et al. 2014)</w:t>
      </w:r>
      <w:r w:rsidR="003E0631">
        <w:rPr>
          <w:lang w:val="en-GB"/>
        </w:rPr>
        <w:t>.</w:t>
      </w:r>
      <w:r w:rsidR="0091354D">
        <w:rPr>
          <w:lang w:val="en-GB"/>
        </w:rPr>
        <w:t xml:space="preserve"> </w:t>
      </w:r>
      <w:r w:rsidR="0091354D" w:rsidRPr="00E33FDB">
        <w:rPr>
          <w:lang w:val="en-GB"/>
        </w:rPr>
        <w:t xml:space="preserve">In </w:t>
      </w:r>
      <w:r w:rsidR="0091354D">
        <w:rPr>
          <w:lang w:val="en-GB"/>
        </w:rPr>
        <w:t>addition</w:t>
      </w:r>
      <w:r w:rsidR="0091354D" w:rsidRPr="00E33FDB">
        <w:rPr>
          <w:lang w:val="en-GB"/>
        </w:rPr>
        <w:t>, all QMS fish stocks have since 2008 been managed following Harvest Strategy Standards (HSS) operational guidelines</w:t>
      </w:r>
      <w:r w:rsidR="00656AA2">
        <w:rPr>
          <w:lang w:val="en-GB"/>
        </w:rPr>
        <w:t xml:space="preserve"> (Mace et al. 2014)</w:t>
      </w:r>
      <w:r w:rsidR="0091354D">
        <w:rPr>
          <w:lang w:val="en-GB"/>
        </w:rPr>
        <w:t xml:space="preserve">. The HSS aims at achieving </w:t>
      </w:r>
      <w:r w:rsidR="004D5A94">
        <w:rPr>
          <w:lang w:val="en-GB"/>
        </w:rPr>
        <w:t>(</w:t>
      </w:r>
      <w:r w:rsidR="00AC3580">
        <w:rPr>
          <w:lang w:val="en-GB"/>
        </w:rPr>
        <w:t>MSY-based</w:t>
      </w:r>
      <w:r w:rsidR="004D5A94">
        <w:rPr>
          <w:lang w:val="en-GB"/>
        </w:rPr>
        <w:t>)</w:t>
      </w:r>
      <w:r w:rsidR="00AC3580">
        <w:rPr>
          <w:lang w:val="en-GB"/>
        </w:rPr>
        <w:t xml:space="preserve"> </w:t>
      </w:r>
      <w:r w:rsidR="0091354D">
        <w:rPr>
          <w:lang w:val="en-GB"/>
        </w:rPr>
        <w:t xml:space="preserve">management targets with a high probability, whilst ensuring that recruitment is not impaired, by using a soft limit (triggering requirements for a formal rebuilding plan), a hard limit (below which fisheries should be considered for closure), and formal rebuilding requirements </w:t>
      </w:r>
      <w:r w:rsidR="0091354D" w:rsidRPr="00E33FDB">
        <w:rPr>
          <w:lang w:val="en-GB"/>
        </w:rPr>
        <w:t>(</w:t>
      </w:r>
      <w:r w:rsidR="0091354D" w:rsidRPr="00E33FDB">
        <w:rPr>
          <w:lang w:val="en-US"/>
        </w:rPr>
        <w:t>New Zealand Ministry of Fisheries 2008</w:t>
      </w:r>
      <w:r w:rsidR="00AC3580">
        <w:rPr>
          <w:lang w:val="en-US"/>
        </w:rPr>
        <w:t xml:space="preserve">; </w:t>
      </w:r>
      <w:r w:rsidR="00AC3580" w:rsidRPr="00E33FDB">
        <w:rPr>
          <w:rFonts w:cstheme="minorHAnsi"/>
          <w:lang w:val="en-GB"/>
        </w:rPr>
        <w:t>Large et al. 2013</w:t>
      </w:r>
      <w:r w:rsidR="0091354D" w:rsidRPr="00E33FDB">
        <w:rPr>
          <w:lang w:val="en-GB"/>
        </w:rPr>
        <w:t>)</w:t>
      </w:r>
      <w:r w:rsidR="00AC3580">
        <w:rPr>
          <w:lang w:val="en-GB"/>
        </w:rPr>
        <w:t>.</w:t>
      </w:r>
    </w:p>
    <w:p w:rsidR="00C62F08" w:rsidRPr="00C62F08" w:rsidRDefault="00C65E53" w:rsidP="00A51148">
      <w:pPr>
        <w:suppressLineNumbers w:val="0"/>
        <w:spacing w:line="480" w:lineRule="auto"/>
        <w:rPr>
          <w:lang w:val="en-GB"/>
        </w:rPr>
      </w:pPr>
      <w:r>
        <w:rPr>
          <w:lang w:val="en-US"/>
        </w:rPr>
        <w:t>A</w:t>
      </w:r>
      <w:r w:rsidR="00C62F08" w:rsidRPr="008B386B">
        <w:rPr>
          <w:lang w:val="en-US"/>
        </w:rPr>
        <w:t xml:space="preserve">n original feature of the </w:t>
      </w:r>
      <w:r w:rsidR="001053CC" w:rsidRPr="008B386B">
        <w:rPr>
          <w:lang w:val="en-US"/>
        </w:rPr>
        <w:t>Australian Fisheries Management Act 1991</w:t>
      </w:r>
      <w:r w:rsidR="00C62F08" w:rsidRPr="008B386B">
        <w:rPr>
          <w:lang w:val="en-US"/>
        </w:rPr>
        <w:t xml:space="preserve"> </w:t>
      </w:r>
      <w:r w:rsidR="001053CC">
        <w:rPr>
          <w:lang w:val="en-US"/>
        </w:rPr>
        <w:t xml:space="preserve">(Anonymous 2009) </w:t>
      </w:r>
      <w:r w:rsidR="00C62F08" w:rsidRPr="008B386B">
        <w:rPr>
          <w:lang w:val="en-US"/>
        </w:rPr>
        <w:t>is that the balance between conservation and utili</w:t>
      </w:r>
      <w:r w:rsidR="00F23425">
        <w:rPr>
          <w:lang w:val="en-US"/>
        </w:rPr>
        <w:t>z</w:t>
      </w:r>
      <w:r w:rsidR="00C62F08" w:rsidRPr="008B386B">
        <w:rPr>
          <w:lang w:val="en-US"/>
        </w:rPr>
        <w:t xml:space="preserve">ation should be achieved by </w:t>
      </w:r>
      <w:r w:rsidR="009E4FEE">
        <w:rPr>
          <w:szCs w:val="23"/>
          <w:lang w:val="en-US"/>
        </w:rPr>
        <w:t>achieving</w:t>
      </w:r>
      <w:r w:rsidR="009E4FEE" w:rsidRPr="008B386B">
        <w:rPr>
          <w:szCs w:val="23"/>
          <w:lang w:val="en-US"/>
        </w:rPr>
        <w:t xml:space="preserve"> </w:t>
      </w:r>
      <w:r w:rsidR="00C62F08" w:rsidRPr="008B386B">
        <w:rPr>
          <w:szCs w:val="23"/>
          <w:lang w:val="en-US"/>
        </w:rPr>
        <w:t>the Maximum Economic Yield</w:t>
      </w:r>
      <w:r>
        <w:rPr>
          <w:szCs w:val="23"/>
          <w:lang w:val="en-US"/>
        </w:rPr>
        <w:t xml:space="preserve"> (MEY; </w:t>
      </w:r>
      <w:r w:rsidR="00C62F08" w:rsidRPr="008B386B">
        <w:rPr>
          <w:szCs w:val="23"/>
          <w:lang w:val="en-US"/>
        </w:rPr>
        <w:t xml:space="preserve">the largest </w:t>
      </w:r>
      <w:r w:rsidR="009E4FEE">
        <w:rPr>
          <w:szCs w:val="23"/>
          <w:lang w:val="en-US"/>
        </w:rPr>
        <w:t xml:space="preserve">net </w:t>
      </w:r>
      <w:r w:rsidR="00C62F08" w:rsidRPr="008B386B">
        <w:rPr>
          <w:szCs w:val="23"/>
          <w:lang w:val="en-US"/>
        </w:rPr>
        <w:t>economic return that can be achieved over a prolonged period of time while maintaining the stocks’ productive capacity</w:t>
      </w:r>
      <w:r>
        <w:rPr>
          <w:szCs w:val="23"/>
          <w:lang w:val="en-US"/>
        </w:rPr>
        <w:t>)</w:t>
      </w:r>
      <w:r w:rsidR="00C62F08" w:rsidRPr="008B386B">
        <w:rPr>
          <w:szCs w:val="23"/>
          <w:lang w:val="en-US"/>
        </w:rPr>
        <w:t>.</w:t>
      </w:r>
      <w:r w:rsidR="00945793">
        <w:rPr>
          <w:szCs w:val="23"/>
          <w:lang w:val="en-US"/>
        </w:rPr>
        <w:t xml:space="preserve"> </w:t>
      </w:r>
      <w:r w:rsidR="00C62F08" w:rsidRPr="008B386B">
        <w:rPr>
          <w:szCs w:val="23"/>
          <w:lang w:val="en-US"/>
        </w:rPr>
        <w:t xml:space="preserve">For </w:t>
      </w:r>
      <w:r w:rsidR="00945793">
        <w:rPr>
          <w:szCs w:val="23"/>
          <w:lang w:val="en-US"/>
        </w:rPr>
        <w:t>many Australian</w:t>
      </w:r>
      <w:r w:rsidR="00C62F08" w:rsidRPr="008B386B">
        <w:rPr>
          <w:szCs w:val="23"/>
          <w:lang w:val="en-US"/>
        </w:rPr>
        <w:t xml:space="preserve"> stocks, </w:t>
      </w:r>
      <w:r w:rsidR="002E4F20">
        <w:rPr>
          <w:szCs w:val="23"/>
          <w:lang w:val="en-US"/>
        </w:rPr>
        <w:t>SS</w:t>
      </w:r>
      <w:r w:rsidR="00C62F08" w:rsidRPr="008B386B">
        <w:rPr>
          <w:szCs w:val="23"/>
          <w:lang w:val="en-US"/>
        </w:rPr>
        <w:t>B</w:t>
      </w:r>
      <w:r w:rsidR="00C62F08" w:rsidRPr="008B386B">
        <w:rPr>
          <w:szCs w:val="23"/>
          <w:vertAlign w:val="subscript"/>
          <w:lang w:val="en-US"/>
        </w:rPr>
        <w:t>MEY</w:t>
      </w:r>
      <w:r w:rsidR="00945793">
        <w:rPr>
          <w:szCs w:val="23"/>
          <w:lang w:val="en-US"/>
        </w:rPr>
        <w:t xml:space="preserve"> </w:t>
      </w:r>
      <w:r w:rsidR="00C62F08" w:rsidRPr="008B386B">
        <w:rPr>
          <w:szCs w:val="23"/>
          <w:lang w:val="en-US"/>
        </w:rPr>
        <w:t xml:space="preserve">is estimated </w:t>
      </w:r>
      <w:r w:rsidR="009E3ABB">
        <w:rPr>
          <w:szCs w:val="23"/>
          <w:lang w:val="en-US"/>
        </w:rPr>
        <w:t>by default to be 48 per cent of the unfished biomass</w:t>
      </w:r>
      <w:r>
        <w:rPr>
          <w:szCs w:val="23"/>
          <w:lang w:val="en-US"/>
        </w:rPr>
        <w:t xml:space="preserve"> </w:t>
      </w:r>
      <w:r w:rsidR="00945793">
        <w:rPr>
          <w:szCs w:val="23"/>
          <w:lang w:val="en-US"/>
        </w:rPr>
        <w:t>(</w:t>
      </w:r>
      <w:r w:rsidR="007503EF">
        <w:rPr>
          <w:szCs w:val="23"/>
          <w:lang w:val="en-US"/>
        </w:rPr>
        <w:t>Smith et al</w:t>
      </w:r>
      <w:r w:rsidR="00904697">
        <w:rPr>
          <w:szCs w:val="23"/>
          <w:lang w:val="en-US"/>
        </w:rPr>
        <w:t>.</w:t>
      </w:r>
      <w:r w:rsidR="007503EF">
        <w:rPr>
          <w:szCs w:val="23"/>
          <w:lang w:val="en-US"/>
        </w:rPr>
        <w:t xml:space="preserve"> 2008; </w:t>
      </w:r>
      <w:r w:rsidR="00945793">
        <w:rPr>
          <w:szCs w:val="23"/>
          <w:lang w:val="en-US"/>
        </w:rPr>
        <w:t>Large et al. 2013)</w:t>
      </w:r>
      <w:r w:rsidR="00C62F08" w:rsidRPr="008B386B">
        <w:rPr>
          <w:szCs w:val="23"/>
          <w:lang w:val="en-US"/>
        </w:rPr>
        <w:t>.</w:t>
      </w:r>
      <w:r w:rsidR="00431B5B">
        <w:rPr>
          <w:szCs w:val="23"/>
          <w:lang w:val="en-US"/>
        </w:rPr>
        <w:t xml:space="preserve"> </w:t>
      </w:r>
      <w:r w:rsidR="00BA2A6E">
        <w:rPr>
          <w:lang w:val="en-US"/>
        </w:rPr>
        <w:t>In addition, a</w:t>
      </w:r>
      <w:r w:rsidR="007503EF">
        <w:rPr>
          <w:lang w:val="en-US"/>
        </w:rPr>
        <w:t xml:space="preserve"> formal harvest strategy policy (HSP) was adopted for all</w:t>
      </w:r>
      <w:r w:rsidR="00C62F08" w:rsidRPr="00C62F08">
        <w:rPr>
          <w:lang w:val="en-US"/>
        </w:rPr>
        <w:t xml:space="preserve"> Commonwealth fisheries</w:t>
      </w:r>
      <w:r w:rsidR="00496682" w:rsidRPr="00C62F08">
        <w:rPr>
          <w:lang w:val="en-US"/>
        </w:rPr>
        <w:t xml:space="preserve"> </w:t>
      </w:r>
      <w:r w:rsidR="007503EF">
        <w:rPr>
          <w:lang w:val="en-US"/>
        </w:rPr>
        <w:t>in</w:t>
      </w:r>
      <w:r w:rsidR="007503EF" w:rsidRPr="00C62F08">
        <w:rPr>
          <w:lang w:val="en-US"/>
        </w:rPr>
        <w:t xml:space="preserve"> </w:t>
      </w:r>
      <w:r w:rsidR="00496682" w:rsidRPr="00C62F08">
        <w:rPr>
          <w:lang w:val="en-US"/>
        </w:rPr>
        <w:t>2007</w:t>
      </w:r>
      <w:r w:rsidR="00C62F08" w:rsidRPr="00C62F08">
        <w:rPr>
          <w:lang w:val="en-US"/>
        </w:rPr>
        <w:t xml:space="preserve"> (DAFF 2007</w:t>
      </w:r>
      <w:r w:rsidR="00532E74">
        <w:rPr>
          <w:bCs/>
          <w:color w:val="000000" w:themeColor="text1"/>
          <w:lang w:val="en-NZ"/>
        </w:rPr>
        <w:t>; Rayns 2007; Smith et al. 2009</w:t>
      </w:r>
      <w:r w:rsidR="00C62F08" w:rsidRPr="00C62F08">
        <w:rPr>
          <w:lang w:val="en-US"/>
        </w:rPr>
        <w:t xml:space="preserve">). The HSP represents an operational framework that explicitly enables the implementation of the requirements of the </w:t>
      </w:r>
      <w:r w:rsidR="00C62F08" w:rsidRPr="00C62F08">
        <w:rPr>
          <w:i/>
          <w:iCs/>
          <w:lang w:val="en-US"/>
        </w:rPr>
        <w:t>Fisheries Management Act 1991</w:t>
      </w:r>
      <w:r w:rsidR="00C62F08" w:rsidRPr="00C62F08">
        <w:rPr>
          <w:lang w:val="en-US"/>
        </w:rPr>
        <w:t xml:space="preserve">, </w:t>
      </w:r>
      <w:r w:rsidR="00C62F08" w:rsidRPr="00D378C7">
        <w:rPr>
          <w:i/>
          <w:lang w:val="en-US"/>
        </w:rPr>
        <w:t>Fisheries Administration Act 1991</w:t>
      </w:r>
      <w:r w:rsidR="00C62F08" w:rsidRPr="00C62F08">
        <w:rPr>
          <w:lang w:val="en-US"/>
        </w:rPr>
        <w:t xml:space="preserve">, </w:t>
      </w:r>
      <w:r w:rsidR="00834931">
        <w:rPr>
          <w:lang w:val="en-US"/>
        </w:rPr>
        <w:t>and</w:t>
      </w:r>
      <w:r w:rsidR="00C62F08" w:rsidRPr="00C62F08">
        <w:rPr>
          <w:lang w:val="en-US"/>
        </w:rPr>
        <w:t xml:space="preserve"> of the </w:t>
      </w:r>
      <w:r w:rsidR="00C62F08" w:rsidRPr="00C62F08">
        <w:rPr>
          <w:i/>
          <w:iCs/>
          <w:lang w:val="en-US"/>
        </w:rPr>
        <w:t>Environment Protection and Biodiversity Conservation Act 1999</w:t>
      </w:r>
      <w:r w:rsidR="00C62F08" w:rsidRPr="00C62F08">
        <w:rPr>
          <w:lang w:val="en-US"/>
        </w:rPr>
        <w:t xml:space="preserve"> (Smith et al. 2007). </w:t>
      </w:r>
      <w:r w:rsidR="00431B5B">
        <w:rPr>
          <w:lang w:val="en-US"/>
        </w:rPr>
        <w:t xml:space="preserve"> </w:t>
      </w:r>
      <w:r w:rsidR="00C62F08" w:rsidRPr="00C62F08">
        <w:rPr>
          <w:lang w:val="en-GB"/>
        </w:rPr>
        <w:t>H</w:t>
      </w:r>
      <w:r w:rsidR="006774AB">
        <w:rPr>
          <w:lang w:val="en-GB"/>
        </w:rPr>
        <w:t xml:space="preserve">CRs </w:t>
      </w:r>
      <w:r w:rsidR="00C62F08" w:rsidRPr="00C62F08">
        <w:rPr>
          <w:lang w:val="en-GB"/>
        </w:rPr>
        <w:t xml:space="preserve">that are consistent with the HSP typically include </w:t>
      </w:r>
      <w:r w:rsidR="00C62F08" w:rsidRPr="00C62F08">
        <w:rPr>
          <w:lang w:val="en-GB"/>
        </w:rPr>
        <w:lastRenderedPageBreak/>
        <w:t>a target biomass, a limit biomass reference point, a</w:t>
      </w:r>
      <w:r w:rsidR="00D20A32">
        <w:rPr>
          <w:lang w:val="en-GB"/>
        </w:rPr>
        <w:t>nd sometimes a</w:t>
      </w:r>
      <w:r w:rsidR="00C62F08" w:rsidRPr="00C62F08">
        <w:rPr>
          <w:lang w:val="en-GB"/>
        </w:rPr>
        <w:t xml:space="preserve"> target fishing mortality and a limit fishing mor</w:t>
      </w:r>
      <w:r w:rsidR="00FE0FB5">
        <w:rPr>
          <w:lang w:val="en-GB"/>
        </w:rPr>
        <w:t>tality</w:t>
      </w:r>
      <w:r w:rsidR="00C62F08" w:rsidRPr="00C62F08">
        <w:rPr>
          <w:lang w:val="en-GB"/>
        </w:rPr>
        <w:t>. Minimum standards have been establishe</w:t>
      </w:r>
      <w:r w:rsidR="00431B5B">
        <w:rPr>
          <w:lang w:val="en-GB"/>
        </w:rPr>
        <w:t xml:space="preserve">d for the HSP reference points </w:t>
      </w:r>
      <w:r w:rsidR="007525F1">
        <w:rPr>
          <w:szCs w:val="23"/>
          <w:lang w:val="en-US"/>
        </w:rPr>
        <w:t xml:space="preserve">(Rayns 2007). </w:t>
      </w:r>
      <w:r w:rsidR="00C62F08" w:rsidRPr="00C62F08">
        <w:rPr>
          <w:lang w:val="en-GB"/>
        </w:rPr>
        <w:t xml:space="preserve">Rebuilding strategies are developed for those stocks below </w:t>
      </w:r>
      <w:r w:rsidR="00FE0FB5">
        <w:rPr>
          <w:lang w:val="en-GB"/>
        </w:rPr>
        <w:t>the limit biomass</w:t>
      </w:r>
      <w:r w:rsidR="00C62F08" w:rsidRPr="00C62F08">
        <w:rPr>
          <w:lang w:val="en-GB"/>
        </w:rPr>
        <w:t>, and these involve setting targeted catches to zero</w:t>
      </w:r>
      <w:r w:rsidR="00D20A32">
        <w:rPr>
          <w:lang w:val="en-GB"/>
        </w:rPr>
        <w:t xml:space="preserve"> until the stock recovers at least to the limit reference biomass</w:t>
      </w:r>
      <w:r w:rsidR="00C62F08" w:rsidRPr="00C62F08">
        <w:rPr>
          <w:lang w:val="en-GB"/>
        </w:rPr>
        <w:t xml:space="preserve">. If stock biomass drops substantially below </w:t>
      </w:r>
      <w:r w:rsidR="00FE0FB5">
        <w:rPr>
          <w:lang w:val="en-GB"/>
        </w:rPr>
        <w:t>the limit biomass</w:t>
      </w:r>
      <w:r w:rsidR="00C62F08" w:rsidRPr="00C62F08">
        <w:rPr>
          <w:lang w:val="en-GB"/>
        </w:rPr>
        <w:t xml:space="preserve">, they may </w:t>
      </w:r>
      <w:r w:rsidR="001D06DB">
        <w:rPr>
          <w:lang w:val="en-GB"/>
        </w:rPr>
        <w:t>also</w:t>
      </w:r>
      <w:r w:rsidR="00C62F08" w:rsidRPr="00C62F08">
        <w:rPr>
          <w:lang w:val="en-GB"/>
        </w:rPr>
        <w:t xml:space="preserve"> be subject to a formal recovery plan issued by the Australian Minister for the Environment.</w:t>
      </w:r>
      <w:r w:rsidR="00431B5B">
        <w:rPr>
          <w:lang w:val="en-GB"/>
        </w:rPr>
        <w:t xml:space="preserve"> </w:t>
      </w:r>
      <w:r w:rsidR="00C62F08" w:rsidRPr="00C62F08">
        <w:rPr>
          <w:lang w:val="en-GB"/>
        </w:rPr>
        <w:t>An important development of the Australian HSP has been the inclusion, for s</w:t>
      </w:r>
      <w:r w:rsidR="00FE0FB5">
        <w:rPr>
          <w:lang w:val="en-GB"/>
        </w:rPr>
        <w:t>everal</w:t>
      </w:r>
      <w:r w:rsidR="00C62F08" w:rsidRPr="00C62F08">
        <w:rPr>
          <w:lang w:val="en-GB"/>
        </w:rPr>
        <w:t xml:space="preserve"> fisheries, of an even more comprehensive decision-making support framework</w:t>
      </w:r>
      <w:r w:rsidR="00FE0FB5">
        <w:rPr>
          <w:lang w:val="en-GB"/>
        </w:rPr>
        <w:t xml:space="preserve">, the tiered approach, </w:t>
      </w:r>
      <w:r w:rsidR="00C62F08" w:rsidRPr="00C62F08">
        <w:rPr>
          <w:lang w:val="en-GB"/>
        </w:rPr>
        <w:t>to account for various levels of information and assessments (</w:t>
      </w:r>
      <w:r w:rsidR="00D20A32">
        <w:rPr>
          <w:lang w:val="en-GB"/>
        </w:rPr>
        <w:t xml:space="preserve">Smith et al 2008; </w:t>
      </w:r>
      <w:r w:rsidR="00C62F08" w:rsidRPr="00C62F08">
        <w:rPr>
          <w:lang w:val="en-GB"/>
        </w:rPr>
        <w:t>Smith et al. 2009). The tiered approach provides an extra-layer of precaution to the HSP, which reflects the levels of uncertainty in stock status (</w:t>
      </w:r>
      <w:r w:rsidR="001D06DB">
        <w:rPr>
          <w:lang w:val="en-GB"/>
        </w:rPr>
        <w:t xml:space="preserve">each </w:t>
      </w:r>
      <w:r w:rsidR="00FE0FB5">
        <w:rPr>
          <w:lang w:val="en-GB"/>
        </w:rPr>
        <w:t xml:space="preserve">corresponding to a </w:t>
      </w:r>
      <w:r w:rsidR="00C62F08" w:rsidRPr="00C62F08">
        <w:rPr>
          <w:lang w:val="en-GB"/>
        </w:rPr>
        <w:t xml:space="preserve">tier). Typically, target exploitation rates decrease as the uncertainty increases. Each Tier has its own harvest control rule that is applied to advise on TACs. </w:t>
      </w:r>
      <w:r w:rsidR="00D20A32">
        <w:rPr>
          <w:lang w:val="en-GB"/>
        </w:rPr>
        <w:t xml:space="preserve">Tradeoffs between the levels of catch, the levels of risk, and the monitoring and management costs are explicitly </w:t>
      </w:r>
      <w:r w:rsidR="002B25D2">
        <w:rPr>
          <w:lang w:val="en-GB"/>
        </w:rPr>
        <w:t>considered (Dowling et al 2013)</w:t>
      </w:r>
      <w:r w:rsidR="00CC08A4">
        <w:rPr>
          <w:lang w:val="en-GB"/>
        </w:rPr>
        <w:t>.</w:t>
      </w:r>
    </w:p>
    <w:p w:rsidR="00FE0FB5" w:rsidRPr="00C62F08" w:rsidRDefault="00FE0FB5" w:rsidP="00A51148">
      <w:pPr>
        <w:pStyle w:val="Brdtekst3"/>
        <w:spacing w:line="480" w:lineRule="auto"/>
        <w:ind w:right="283"/>
        <w:rPr>
          <w:color w:val="000000"/>
          <w:lang w:val="en-GB"/>
        </w:rPr>
      </w:pPr>
    </w:p>
    <w:p w:rsidR="004F22C4" w:rsidRPr="004F22C4" w:rsidRDefault="004F22C4" w:rsidP="00A51148">
      <w:pPr>
        <w:pStyle w:val="Brdtekst3"/>
        <w:spacing w:line="480" w:lineRule="auto"/>
        <w:ind w:right="283"/>
        <w:rPr>
          <w:b/>
          <w:sz w:val="28"/>
          <w:szCs w:val="28"/>
        </w:rPr>
      </w:pPr>
      <w:r w:rsidRPr="004F22C4">
        <w:rPr>
          <w:b/>
          <w:sz w:val="28"/>
          <w:szCs w:val="28"/>
        </w:rPr>
        <w:t>Management tools</w:t>
      </w:r>
    </w:p>
    <w:p w:rsidR="00CB4429" w:rsidRDefault="00453E8D" w:rsidP="00A51148">
      <w:pPr>
        <w:pStyle w:val="Brdtekst3"/>
        <w:spacing w:line="480" w:lineRule="auto"/>
        <w:ind w:right="283"/>
      </w:pPr>
      <w:r>
        <w:t>Catch limits, usually referred to as</w:t>
      </w:r>
      <w:r w:rsidR="00AF4C9B">
        <w:t xml:space="preserve"> TAC</w:t>
      </w:r>
      <w:r>
        <w:t>s, are</w:t>
      </w:r>
      <w:r w:rsidR="000436DA" w:rsidRPr="00591532">
        <w:t xml:space="preserve"> the cornerstone of the management approach to conservation in </w:t>
      </w:r>
      <w:r w:rsidR="000436DA">
        <w:t>all regions</w:t>
      </w:r>
      <w:r>
        <w:t xml:space="preserve"> being investigated</w:t>
      </w:r>
      <w:r w:rsidR="000436DA">
        <w:t>, except in the Mediterranean. Effort limits and technical measure</w:t>
      </w:r>
      <w:r w:rsidR="00CB4429">
        <w:t>s</w:t>
      </w:r>
      <w:r w:rsidR="000436DA">
        <w:t xml:space="preserve"> are the main management tool</w:t>
      </w:r>
      <w:r w:rsidR="002322C9">
        <w:t>s</w:t>
      </w:r>
      <w:r w:rsidR="000436DA">
        <w:t xml:space="preserve"> for EU Mediterranean fisheries, and these are also implemented to varying degrees in the other regions</w:t>
      </w:r>
      <w:r w:rsidR="000436DA" w:rsidRPr="00591532">
        <w:t>.</w:t>
      </w:r>
      <w:r w:rsidR="000436DA">
        <w:t xml:space="preserve"> </w:t>
      </w:r>
      <w:r w:rsidR="00C23121">
        <w:t>Access to the f</w:t>
      </w:r>
      <w:r w:rsidR="000436DA">
        <w:t>ishery requires a license/permit in all jurisdictions</w:t>
      </w:r>
      <w:r w:rsidR="00C23121">
        <w:t>, and an individual catch</w:t>
      </w:r>
      <w:r w:rsidR="00006806">
        <w:t>/</w:t>
      </w:r>
      <w:r w:rsidR="00E55459">
        <w:t>landing</w:t>
      </w:r>
      <w:r w:rsidR="00C23121">
        <w:t xml:space="preserve"> entitlement for some of them</w:t>
      </w:r>
      <w:r w:rsidR="00CB4429">
        <w:t>.</w:t>
      </w:r>
    </w:p>
    <w:p w:rsidR="00F2374A" w:rsidRDefault="00496682" w:rsidP="00A51148">
      <w:pPr>
        <w:suppressLineNumbers w:val="0"/>
        <w:spacing w:line="480" w:lineRule="auto"/>
        <w:rPr>
          <w:lang w:val="en-US"/>
        </w:rPr>
      </w:pPr>
      <w:r>
        <w:rPr>
          <w:color w:val="000000"/>
          <w:lang w:val="en-US"/>
        </w:rPr>
        <w:t>Since 1983, t</w:t>
      </w:r>
      <w:r w:rsidR="00C754A5" w:rsidRPr="00591532">
        <w:rPr>
          <w:color w:val="000000"/>
          <w:lang w:val="en-US"/>
        </w:rPr>
        <w:t>he EU has gradually capped the catches of most commercially important stocks with TAC</w:t>
      </w:r>
      <w:r>
        <w:rPr>
          <w:color w:val="000000"/>
          <w:lang w:val="en-US"/>
        </w:rPr>
        <w:t>s</w:t>
      </w:r>
      <w:r w:rsidR="00C754A5" w:rsidRPr="00591532">
        <w:rPr>
          <w:color w:val="000000"/>
          <w:lang w:val="en-US"/>
        </w:rPr>
        <w:t xml:space="preserve"> in </w:t>
      </w:r>
      <w:r w:rsidR="0096694F">
        <w:rPr>
          <w:color w:val="000000"/>
          <w:lang w:val="en-US"/>
        </w:rPr>
        <w:t>the Northeast Atlantic</w:t>
      </w:r>
      <w:r w:rsidR="00C754A5" w:rsidRPr="00591532">
        <w:rPr>
          <w:color w:val="000000"/>
          <w:lang w:val="en-US"/>
        </w:rPr>
        <w:t xml:space="preserve">. </w:t>
      </w:r>
      <w:r w:rsidR="00A9354C">
        <w:rPr>
          <w:color w:val="000000"/>
          <w:lang w:val="en-US"/>
        </w:rPr>
        <w:t>T</w:t>
      </w:r>
      <w:r w:rsidR="00A9354C">
        <w:rPr>
          <w:lang w:val="en-US"/>
        </w:rPr>
        <w:t>he fundamental principle of the CFP is that member states can fish any stock in all EU waters, provided they have a quota provision for that stock. T</w:t>
      </w:r>
      <w:r w:rsidR="00A9354C" w:rsidRPr="00242351">
        <w:rPr>
          <w:lang w:val="en-US"/>
        </w:rPr>
        <w:t xml:space="preserve">he EU does not vest authority to allocate national catch quotas to individual producers or vessel owners. </w:t>
      </w:r>
      <w:r w:rsidR="00A9354C">
        <w:rPr>
          <w:lang w:val="en-US"/>
        </w:rPr>
        <w:t>However, rights-</w:t>
      </w:r>
      <w:r w:rsidR="00A9354C">
        <w:rPr>
          <w:lang w:val="en-US"/>
        </w:rPr>
        <w:lastRenderedPageBreak/>
        <w:t>based management</w:t>
      </w:r>
      <w:r w:rsidR="00A9354C" w:rsidRPr="00242351">
        <w:rPr>
          <w:lang w:val="en-US"/>
        </w:rPr>
        <w:t xml:space="preserve"> ha</w:t>
      </w:r>
      <w:r w:rsidR="00A9354C">
        <w:rPr>
          <w:lang w:val="en-US"/>
        </w:rPr>
        <w:t>s</w:t>
      </w:r>
      <w:r w:rsidR="00A9354C" w:rsidRPr="00242351">
        <w:rPr>
          <w:lang w:val="en-US"/>
        </w:rPr>
        <w:t xml:space="preserve"> been increasingly implemented under the authority of individual EU member states</w:t>
      </w:r>
      <w:r w:rsidR="00A9354C">
        <w:rPr>
          <w:lang w:val="en-US"/>
        </w:rPr>
        <w:t xml:space="preserve"> </w:t>
      </w:r>
      <w:r w:rsidR="00A9354C" w:rsidRPr="00242351">
        <w:rPr>
          <w:lang w:val="en-US"/>
        </w:rPr>
        <w:t>(</w:t>
      </w:r>
      <w:r w:rsidR="00A9354C">
        <w:rPr>
          <w:lang w:val="en-US"/>
        </w:rPr>
        <w:t>Larabi et al. 2013</w:t>
      </w:r>
      <w:r w:rsidR="0016540E">
        <w:rPr>
          <w:lang w:val="en-US"/>
        </w:rPr>
        <w:t>; Aranda and Murillas 2015</w:t>
      </w:r>
      <w:r w:rsidR="003877CB">
        <w:rPr>
          <w:lang w:val="en-US"/>
        </w:rPr>
        <w:t>; Le Floc’h et al. 2015</w:t>
      </w:r>
      <w:r w:rsidR="00A9354C" w:rsidRPr="00242351">
        <w:rPr>
          <w:lang w:val="en-US"/>
        </w:rPr>
        <w:t>)</w:t>
      </w:r>
      <w:r w:rsidR="00A9354C">
        <w:rPr>
          <w:lang w:val="en-US"/>
        </w:rPr>
        <w:t>, including a formal ITQ system in The Netherlands and Denmark</w:t>
      </w:r>
      <w:r w:rsidR="00A9354C" w:rsidRPr="00242351">
        <w:rPr>
          <w:lang w:val="en-US"/>
        </w:rPr>
        <w:t xml:space="preserve">. </w:t>
      </w:r>
      <w:r w:rsidR="00A9354C">
        <w:rPr>
          <w:lang w:val="en-US"/>
        </w:rPr>
        <w:t>Direct effort limitations have also been implemented instead of (Mediterranean), or in complement to (Northeast Atlantic) TACs.</w:t>
      </w:r>
      <w:r w:rsidR="00A9354C" w:rsidRPr="00402337">
        <w:rPr>
          <w:color w:val="000000"/>
          <w:lang w:val="en-US" w:eastAsia="it-IT"/>
        </w:rPr>
        <w:t xml:space="preserve"> </w:t>
      </w:r>
      <w:r w:rsidR="00E03B31">
        <w:rPr>
          <w:color w:val="000000"/>
          <w:lang w:val="en-US" w:eastAsia="it-IT"/>
        </w:rPr>
        <w:t>In the Mediterranean</w:t>
      </w:r>
      <w:r w:rsidR="00A9354C">
        <w:rPr>
          <w:color w:val="000000"/>
          <w:lang w:val="en-US" w:eastAsia="it-IT"/>
        </w:rPr>
        <w:t>, fishing effort limitations have been the most important component of fishery management</w:t>
      </w:r>
      <w:r w:rsidR="00A9354C" w:rsidRPr="00482A2E">
        <w:rPr>
          <w:color w:val="000000"/>
          <w:lang w:val="en-US" w:eastAsia="it-IT"/>
        </w:rPr>
        <w:t xml:space="preserve"> (</w:t>
      </w:r>
      <w:r w:rsidR="00E03B31" w:rsidRPr="00591532">
        <w:rPr>
          <w:color w:val="000000"/>
          <w:lang w:val="en-US" w:eastAsia="it-IT"/>
        </w:rPr>
        <w:t>Pearce, 1980</w:t>
      </w:r>
      <w:r w:rsidR="00E03B31">
        <w:rPr>
          <w:color w:val="000000"/>
          <w:lang w:val="en-US" w:eastAsia="it-IT"/>
        </w:rPr>
        <w:t xml:space="preserve">; </w:t>
      </w:r>
      <w:r w:rsidR="00A9354C" w:rsidRPr="00591532">
        <w:rPr>
          <w:color w:val="000000"/>
          <w:lang w:val="en-US" w:eastAsia="it-IT"/>
        </w:rPr>
        <w:t xml:space="preserve">Catanzano </w:t>
      </w:r>
      <w:r w:rsidR="00A9354C" w:rsidRPr="00591532">
        <w:rPr>
          <w:i/>
          <w:iCs/>
          <w:color w:val="000000"/>
          <w:lang w:val="en-US" w:eastAsia="it-IT"/>
        </w:rPr>
        <w:t>et al</w:t>
      </w:r>
      <w:r w:rsidR="00A9354C" w:rsidRPr="00591532">
        <w:rPr>
          <w:color w:val="000000"/>
          <w:lang w:val="en-US" w:eastAsia="it-IT"/>
        </w:rPr>
        <w:t>. 2000</w:t>
      </w:r>
      <w:r w:rsidR="00A9354C" w:rsidRPr="00482A2E">
        <w:rPr>
          <w:color w:val="000000"/>
          <w:lang w:val="en-US" w:eastAsia="it-IT"/>
        </w:rPr>
        <w:t>)</w:t>
      </w:r>
      <w:r w:rsidR="00A9354C">
        <w:rPr>
          <w:color w:val="000000"/>
          <w:lang w:val="en-US" w:eastAsia="it-IT"/>
        </w:rPr>
        <w:t xml:space="preserve">. </w:t>
      </w:r>
      <w:r w:rsidR="00A9354C" w:rsidRPr="00D13821">
        <w:rPr>
          <w:rFonts w:cstheme="minorHAnsi"/>
          <w:lang w:val="en-US"/>
        </w:rPr>
        <w:t xml:space="preserve">Technical measures have been implemented </w:t>
      </w:r>
      <w:r w:rsidR="00A9354C">
        <w:rPr>
          <w:rFonts w:cstheme="minorHAnsi"/>
          <w:lang w:val="en-US"/>
        </w:rPr>
        <w:t>in</w:t>
      </w:r>
      <w:r w:rsidR="00A9354C" w:rsidRPr="00D13821">
        <w:rPr>
          <w:rFonts w:cstheme="minorHAnsi"/>
          <w:lang w:val="en-US"/>
        </w:rPr>
        <w:t xml:space="preserve"> most EU fisheries</w:t>
      </w:r>
      <w:r w:rsidR="006366F8">
        <w:rPr>
          <w:rFonts w:cstheme="minorHAnsi"/>
          <w:lang w:val="en-US"/>
        </w:rPr>
        <w:t>: M</w:t>
      </w:r>
      <w:r w:rsidR="00A9354C">
        <w:rPr>
          <w:rFonts w:cstheme="minorHAnsi"/>
          <w:lang w:val="en-US"/>
        </w:rPr>
        <w:t xml:space="preserve">inimum </w:t>
      </w:r>
      <w:r w:rsidR="006366F8">
        <w:rPr>
          <w:rFonts w:cstheme="minorHAnsi"/>
          <w:lang w:val="en-US"/>
        </w:rPr>
        <w:t>L</w:t>
      </w:r>
      <w:r w:rsidR="00A9354C">
        <w:rPr>
          <w:rFonts w:cstheme="minorHAnsi"/>
          <w:lang w:val="en-US"/>
        </w:rPr>
        <w:t xml:space="preserve">anding </w:t>
      </w:r>
      <w:r w:rsidR="006366F8">
        <w:rPr>
          <w:rFonts w:cstheme="minorHAnsi"/>
          <w:lang w:val="en-US"/>
        </w:rPr>
        <w:t>S</w:t>
      </w:r>
      <w:r w:rsidR="00A9354C">
        <w:rPr>
          <w:rFonts w:cstheme="minorHAnsi"/>
          <w:lang w:val="en-US"/>
        </w:rPr>
        <w:t>izes</w:t>
      </w:r>
      <w:r w:rsidR="006366F8">
        <w:rPr>
          <w:rFonts w:cstheme="minorHAnsi"/>
          <w:lang w:val="en-US"/>
        </w:rPr>
        <w:t xml:space="preserve"> (MLS)</w:t>
      </w:r>
      <w:r w:rsidR="00A9354C">
        <w:rPr>
          <w:rFonts w:cstheme="minorHAnsi"/>
          <w:lang w:val="en-US"/>
        </w:rPr>
        <w:t>, gear restrictions and closed areas/seasons</w:t>
      </w:r>
      <w:r w:rsidR="00A9354C" w:rsidRPr="00D13821">
        <w:rPr>
          <w:rFonts w:cstheme="minorHAnsi"/>
          <w:lang w:val="en-US"/>
        </w:rPr>
        <w:t>.</w:t>
      </w:r>
      <w:r w:rsidR="00A9354C">
        <w:rPr>
          <w:rFonts w:cstheme="minorHAnsi"/>
          <w:lang w:val="en-US"/>
        </w:rPr>
        <w:t xml:space="preserve"> In the North East Atlantic, the ranges of minimum mesh sizes (e.g. 70-120 mm for demersal otter-trawlers) is higher than that operated in the Mediterranean (e.g., </w:t>
      </w:r>
      <w:r w:rsidR="00A9354C">
        <w:rPr>
          <w:lang w:val="en-US"/>
        </w:rPr>
        <w:t>20-</w:t>
      </w:r>
      <w:r w:rsidR="00A9354C" w:rsidRPr="00591532">
        <w:rPr>
          <w:lang w:val="en-US"/>
        </w:rPr>
        <w:t>40 mm</w:t>
      </w:r>
      <w:r w:rsidR="00A9354C">
        <w:rPr>
          <w:lang w:val="en-US"/>
        </w:rPr>
        <w:t xml:space="preserve"> for trawlers).</w:t>
      </w:r>
      <w:r w:rsidR="00A612E6">
        <w:rPr>
          <w:lang w:val="en-US"/>
        </w:rPr>
        <w:t xml:space="preserve"> </w:t>
      </w:r>
      <w:r w:rsidR="008E43B9">
        <w:rPr>
          <w:lang w:val="en-US"/>
        </w:rPr>
        <w:t>Public-aided f</w:t>
      </w:r>
      <w:r w:rsidR="00A660B1" w:rsidRPr="00A660B1">
        <w:rPr>
          <w:lang w:val="en-US"/>
        </w:rPr>
        <w:t>leet capacity reduction schemes have also</w:t>
      </w:r>
      <w:r w:rsidR="001F66CF" w:rsidRPr="00A660B1">
        <w:rPr>
          <w:lang w:val="en-US"/>
        </w:rPr>
        <w:t xml:space="preserve"> </w:t>
      </w:r>
      <w:r w:rsidR="00A660B1" w:rsidRPr="00A660B1">
        <w:rPr>
          <w:lang w:val="en-US"/>
        </w:rPr>
        <w:t xml:space="preserve">been an </w:t>
      </w:r>
      <w:r w:rsidR="001F66CF" w:rsidRPr="00A660B1">
        <w:rPr>
          <w:lang w:val="en-US"/>
        </w:rPr>
        <w:t xml:space="preserve">important </w:t>
      </w:r>
      <w:r w:rsidR="00A660B1" w:rsidRPr="00A660B1">
        <w:rPr>
          <w:lang w:val="en-US"/>
        </w:rPr>
        <w:t xml:space="preserve">conservation instrument </w:t>
      </w:r>
      <w:r w:rsidR="001F66CF" w:rsidRPr="00A660B1">
        <w:rPr>
          <w:lang w:val="en-US"/>
        </w:rPr>
        <w:t>of the CFP</w:t>
      </w:r>
      <w:r w:rsidR="00A612E6">
        <w:rPr>
          <w:lang w:val="en-US"/>
        </w:rPr>
        <w:t xml:space="preserve"> in both the Northeast Atlantic and the Mediterranean</w:t>
      </w:r>
      <w:r w:rsidR="009D438F">
        <w:rPr>
          <w:lang w:val="en-US"/>
        </w:rPr>
        <w:t xml:space="preserve"> (Guyader</w:t>
      </w:r>
      <w:r w:rsidR="003877CB">
        <w:rPr>
          <w:lang w:val="en-US"/>
        </w:rPr>
        <w:t xml:space="preserve"> et al. 2007;</w:t>
      </w:r>
      <w:r w:rsidR="009D438F">
        <w:rPr>
          <w:lang w:val="en-US"/>
        </w:rPr>
        <w:t xml:space="preserve"> Quillerou et al. 2013</w:t>
      </w:r>
      <w:r w:rsidR="003877CB">
        <w:rPr>
          <w:lang w:val="en-US"/>
        </w:rPr>
        <w:t>; Aranda and Murillas 2015</w:t>
      </w:r>
      <w:r w:rsidR="009D438F">
        <w:rPr>
          <w:lang w:val="en-US"/>
        </w:rPr>
        <w:t>)</w:t>
      </w:r>
      <w:r w:rsidR="00313436">
        <w:rPr>
          <w:lang w:val="en-US"/>
        </w:rPr>
        <w:t>.</w:t>
      </w:r>
      <w:r w:rsidR="00FC109D">
        <w:rPr>
          <w:lang w:val="en-US"/>
        </w:rPr>
        <w:t xml:space="preserve"> </w:t>
      </w:r>
    </w:p>
    <w:p w:rsidR="00E17861" w:rsidRDefault="00AF4C9B" w:rsidP="00A51148">
      <w:pPr>
        <w:suppressLineNumbers w:val="0"/>
        <w:spacing w:line="480" w:lineRule="auto"/>
        <w:rPr>
          <w:color w:val="000000"/>
          <w:lang w:val="en-US"/>
        </w:rPr>
      </w:pPr>
      <w:r>
        <w:rPr>
          <w:color w:val="000000"/>
          <w:lang w:val="en-US"/>
        </w:rPr>
        <w:t xml:space="preserve">The main feature of fisheries management in Iceland is its ITQ system (Arnason 1995). </w:t>
      </w:r>
      <w:r w:rsidRPr="00242351">
        <w:rPr>
          <w:color w:val="000000"/>
          <w:lang w:val="en-US"/>
        </w:rPr>
        <w:t xml:space="preserve">All major commercial stocks are now subject to </w:t>
      </w:r>
      <w:r>
        <w:rPr>
          <w:color w:val="000000"/>
          <w:lang w:val="en-US"/>
        </w:rPr>
        <w:t>ITQ</w:t>
      </w:r>
      <w:r w:rsidRPr="00242351">
        <w:rPr>
          <w:color w:val="000000"/>
          <w:lang w:val="en-US"/>
        </w:rPr>
        <w:t>s</w:t>
      </w:r>
      <w:r>
        <w:rPr>
          <w:color w:val="000000"/>
          <w:lang w:val="en-US"/>
        </w:rPr>
        <w:t>, except for specific coastal fisheries</w:t>
      </w:r>
      <w:r w:rsidRPr="00242351">
        <w:rPr>
          <w:color w:val="000000"/>
          <w:lang w:val="en-US"/>
        </w:rPr>
        <w:t xml:space="preserve">. </w:t>
      </w:r>
      <w:r>
        <w:rPr>
          <w:color w:val="000000"/>
          <w:lang w:val="en-US"/>
        </w:rPr>
        <w:t>Every year, t</w:t>
      </w:r>
      <w:r w:rsidRPr="00242351">
        <w:rPr>
          <w:color w:val="000000"/>
          <w:lang w:val="en-US"/>
        </w:rPr>
        <w:t xml:space="preserve">he </w:t>
      </w:r>
      <w:r w:rsidRPr="00A62B14">
        <w:rPr>
          <w:color w:val="000000"/>
          <w:lang w:val="en-US"/>
        </w:rPr>
        <w:t xml:space="preserve">Directorate of Fisheries </w:t>
      </w:r>
      <w:r>
        <w:rPr>
          <w:color w:val="000000"/>
          <w:lang w:val="en-US"/>
        </w:rPr>
        <w:t xml:space="preserve">calculates and </w:t>
      </w:r>
      <w:r w:rsidRPr="00A62B14">
        <w:rPr>
          <w:color w:val="000000"/>
          <w:lang w:val="en-US"/>
        </w:rPr>
        <w:t>issues a</w:t>
      </w:r>
      <w:r>
        <w:rPr>
          <w:color w:val="000000"/>
          <w:lang w:val="en-US"/>
        </w:rPr>
        <w:t xml:space="preserve">n </w:t>
      </w:r>
      <w:r w:rsidRPr="001B6865">
        <w:rPr>
          <w:iCs/>
          <w:color w:val="000000"/>
          <w:lang w:val="en-US"/>
        </w:rPr>
        <w:t xml:space="preserve">annual catch quota </w:t>
      </w:r>
      <w:r w:rsidRPr="001B6865">
        <w:rPr>
          <w:color w:val="000000"/>
          <w:lang w:val="en-US"/>
        </w:rPr>
        <w:t>(kg)</w:t>
      </w:r>
      <w:r w:rsidRPr="00A62B14">
        <w:rPr>
          <w:color w:val="000000"/>
          <w:lang w:val="en-US"/>
        </w:rPr>
        <w:t xml:space="preserve"> </w:t>
      </w:r>
      <w:r>
        <w:rPr>
          <w:color w:val="000000"/>
          <w:lang w:val="en-US"/>
        </w:rPr>
        <w:t>to individual vessels, by multiplying t</w:t>
      </w:r>
      <w:r w:rsidRPr="00A62B14">
        <w:rPr>
          <w:color w:val="000000"/>
          <w:lang w:val="en-US"/>
        </w:rPr>
        <w:t xml:space="preserve">he </w:t>
      </w:r>
      <w:r>
        <w:rPr>
          <w:color w:val="000000"/>
          <w:lang w:val="en-US"/>
        </w:rPr>
        <w:t xml:space="preserve">total </w:t>
      </w:r>
      <w:r w:rsidRPr="00A62B14">
        <w:rPr>
          <w:color w:val="000000"/>
          <w:lang w:val="en-US"/>
        </w:rPr>
        <w:t>TAC</w:t>
      </w:r>
      <w:r w:rsidRPr="00A62B14">
        <w:rPr>
          <w:iCs/>
          <w:color w:val="000000"/>
          <w:lang w:val="en-US"/>
        </w:rPr>
        <w:t xml:space="preserve"> </w:t>
      </w:r>
      <w:r>
        <w:rPr>
          <w:color w:val="000000"/>
          <w:lang w:val="en-US"/>
        </w:rPr>
        <w:t>with</w:t>
      </w:r>
      <w:r w:rsidRPr="001B6865">
        <w:rPr>
          <w:color w:val="000000"/>
          <w:lang w:val="en-US"/>
        </w:rPr>
        <w:t xml:space="preserve"> </w:t>
      </w:r>
      <w:r>
        <w:rPr>
          <w:color w:val="000000"/>
          <w:lang w:val="en-US"/>
        </w:rPr>
        <w:t xml:space="preserve">the vessels’ </w:t>
      </w:r>
      <w:r w:rsidRPr="001B6865">
        <w:rPr>
          <w:iCs/>
          <w:color w:val="000000"/>
          <w:lang w:val="en-US"/>
        </w:rPr>
        <w:t xml:space="preserve">quota share </w:t>
      </w:r>
      <w:r w:rsidRPr="001B6865">
        <w:rPr>
          <w:color w:val="000000"/>
          <w:lang w:val="en-US"/>
        </w:rPr>
        <w:t>(%).</w:t>
      </w:r>
      <w:r>
        <w:rPr>
          <w:color w:val="000000"/>
          <w:lang w:val="en-US"/>
        </w:rPr>
        <w:t xml:space="preserve"> U</w:t>
      </w:r>
      <w:r w:rsidRPr="00242351">
        <w:rPr>
          <w:color w:val="000000"/>
          <w:lang w:val="en-US"/>
        </w:rPr>
        <w:t xml:space="preserve">nder </w:t>
      </w:r>
      <w:r>
        <w:rPr>
          <w:color w:val="000000"/>
          <w:lang w:val="en-US"/>
        </w:rPr>
        <w:t>certain</w:t>
      </w:r>
      <w:r w:rsidRPr="00242351">
        <w:rPr>
          <w:color w:val="000000"/>
          <w:lang w:val="en-US"/>
        </w:rPr>
        <w:t xml:space="preserve"> circumstances, </w:t>
      </w:r>
      <w:r>
        <w:rPr>
          <w:color w:val="000000"/>
          <w:lang w:val="en-US"/>
        </w:rPr>
        <w:t>it is permitted</w:t>
      </w:r>
      <w:r w:rsidRPr="00242351">
        <w:rPr>
          <w:color w:val="000000"/>
          <w:lang w:val="en-US"/>
        </w:rPr>
        <w:t xml:space="preserve"> to transfer both quota shares and annual catch quotas between vessels. There are specific limits </w:t>
      </w:r>
      <w:r>
        <w:rPr>
          <w:color w:val="000000"/>
          <w:lang w:val="en-US"/>
        </w:rPr>
        <w:t>to quota concentration</w:t>
      </w:r>
      <w:r w:rsidRPr="00242351">
        <w:rPr>
          <w:color w:val="000000"/>
          <w:lang w:val="en-US"/>
        </w:rPr>
        <w:t xml:space="preserve">. These limits </w:t>
      </w:r>
      <w:r>
        <w:rPr>
          <w:color w:val="000000"/>
          <w:lang w:val="en-US"/>
        </w:rPr>
        <w:t>apply</w:t>
      </w:r>
      <w:r w:rsidRPr="00242351">
        <w:rPr>
          <w:color w:val="000000"/>
          <w:lang w:val="en-US"/>
        </w:rPr>
        <w:t xml:space="preserve"> to both </w:t>
      </w:r>
      <w:r>
        <w:rPr>
          <w:color w:val="000000"/>
          <w:lang w:val="en-US"/>
        </w:rPr>
        <w:t xml:space="preserve">individual species </w:t>
      </w:r>
      <w:r w:rsidRPr="00242351">
        <w:rPr>
          <w:color w:val="000000"/>
          <w:lang w:val="en-US"/>
        </w:rPr>
        <w:t xml:space="preserve">quota </w:t>
      </w:r>
      <w:r w:rsidRPr="0037424D">
        <w:rPr>
          <w:color w:val="000000"/>
          <w:lang w:val="en-US"/>
        </w:rPr>
        <w:t>shares as well as total quota share cumulated over all species</w:t>
      </w:r>
      <w:r w:rsidRPr="0037424D">
        <w:rPr>
          <w:iCs/>
          <w:color w:val="000000"/>
          <w:lang w:val="en-US"/>
        </w:rPr>
        <w:t xml:space="preserve">. </w:t>
      </w:r>
      <w:r w:rsidRPr="0037424D">
        <w:rPr>
          <w:color w:val="000000"/>
          <w:lang w:val="en-US"/>
        </w:rPr>
        <w:t>The restrictions</w:t>
      </w:r>
      <w:r>
        <w:rPr>
          <w:color w:val="000000"/>
          <w:lang w:val="en-US"/>
        </w:rPr>
        <w:t xml:space="preserve"> stipulate in particular </w:t>
      </w:r>
      <w:r w:rsidRPr="00242351">
        <w:rPr>
          <w:color w:val="000000"/>
          <w:lang w:val="en-US"/>
        </w:rPr>
        <w:t xml:space="preserve">that vessels may </w:t>
      </w:r>
      <w:r>
        <w:rPr>
          <w:color w:val="000000"/>
          <w:lang w:val="en-US"/>
        </w:rPr>
        <w:t xml:space="preserve">not </w:t>
      </w:r>
      <w:r w:rsidRPr="00242351">
        <w:rPr>
          <w:color w:val="000000"/>
          <w:lang w:val="en-US"/>
        </w:rPr>
        <w:t>purchase quotas</w:t>
      </w:r>
      <w:r w:rsidR="008258A6">
        <w:rPr>
          <w:color w:val="000000"/>
          <w:lang w:val="en-US"/>
        </w:rPr>
        <w:t xml:space="preserve"> (or may even lose their permanent quota shares)</w:t>
      </w:r>
      <w:r w:rsidRPr="00242351">
        <w:rPr>
          <w:color w:val="000000"/>
          <w:lang w:val="en-US"/>
        </w:rPr>
        <w:t xml:space="preserve"> </w:t>
      </w:r>
      <w:r>
        <w:rPr>
          <w:color w:val="000000"/>
          <w:lang w:val="en-US"/>
        </w:rPr>
        <w:t>when these</w:t>
      </w:r>
      <w:r w:rsidRPr="00242351">
        <w:rPr>
          <w:color w:val="000000"/>
          <w:lang w:val="en-US"/>
        </w:rPr>
        <w:t xml:space="preserve"> are clearly exce</w:t>
      </w:r>
      <w:r>
        <w:rPr>
          <w:color w:val="000000"/>
          <w:lang w:val="en-US"/>
        </w:rPr>
        <w:t xml:space="preserve">eding their catch capacity, and also that </w:t>
      </w:r>
      <w:r w:rsidRPr="00242351">
        <w:rPr>
          <w:color w:val="000000"/>
          <w:lang w:val="en-US"/>
        </w:rPr>
        <w:t xml:space="preserve">the quota-shares held by any company or individual should not exceed certain limits. There is some </w:t>
      </w:r>
      <w:r>
        <w:rPr>
          <w:color w:val="000000"/>
          <w:lang w:val="en-US"/>
        </w:rPr>
        <w:t xml:space="preserve">additional </w:t>
      </w:r>
      <w:r w:rsidRPr="00242351">
        <w:rPr>
          <w:color w:val="000000"/>
          <w:lang w:val="en-US"/>
        </w:rPr>
        <w:t>flexibility built into the ITQ system</w:t>
      </w:r>
      <w:r>
        <w:rPr>
          <w:color w:val="000000"/>
          <w:lang w:val="en-US"/>
        </w:rPr>
        <w:t xml:space="preserve"> including</w:t>
      </w:r>
      <w:r w:rsidRPr="00242351">
        <w:rPr>
          <w:color w:val="000000"/>
          <w:lang w:val="en-US"/>
        </w:rPr>
        <w:t xml:space="preserve">, </w:t>
      </w:r>
      <w:r>
        <w:rPr>
          <w:color w:val="000000"/>
          <w:lang w:val="en-US"/>
        </w:rPr>
        <w:t>(1) a carryover of</w:t>
      </w:r>
      <w:r w:rsidRPr="00242351">
        <w:rPr>
          <w:color w:val="000000"/>
          <w:lang w:val="en-US"/>
        </w:rPr>
        <w:t xml:space="preserve"> 20% of catch quota to the following fishing year</w:t>
      </w:r>
      <w:r>
        <w:rPr>
          <w:color w:val="000000"/>
          <w:lang w:val="en-US"/>
        </w:rPr>
        <w:t xml:space="preserve">, (2) a </w:t>
      </w:r>
      <w:r w:rsidRPr="00242351">
        <w:rPr>
          <w:color w:val="000000"/>
          <w:lang w:val="en-US"/>
        </w:rPr>
        <w:t>permi</w:t>
      </w:r>
      <w:r>
        <w:rPr>
          <w:color w:val="000000"/>
          <w:lang w:val="en-US"/>
        </w:rPr>
        <w:t>ssion</w:t>
      </w:r>
      <w:r w:rsidRPr="00242351">
        <w:rPr>
          <w:color w:val="000000"/>
          <w:lang w:val="en-US"/>
        </w:rPr>
        <w:t xml:space="preserve"> to </w:t>
      </w:r>
      <w:r>
        <w:rPr>
          <w:color w:val="000000"/>
          <w:lang w:val="en-US"/>
        </w:rPr>
        <w:t>land</w:t>
      </w:r>
      <w:r w:rsidRPr="00242351">
        <w:rPr>
          <w:color w:val="000000"/>
          <w:lang w:val="en-US"/>
        </w:rPr>
        <w:t xml:space="preserve"> up to 5% </w:t>
      </w:r>
      <w:r>
        <w:rPr>
          <w:color w:val="000000"/>
          <w:lang w:val="en-US"/>
        </w:rPr>
        <w:t xml:space="preserve">over-quota subject to conditions, (3) the possibility to transfer </w:t>
      </w:r>
      <w:r w:rsidRPr="00242351">
        <w:rPr>
          <w:lang w:val="en-US"/>
        </w:rPr>
        <w:t>catch quotas between demersal species</w:t>
      </w:r>
      <w:r>
        <w:rPr>
          <w:lang w:val="en-US"/>
        </w:rPr>
        <w:t xml:space="preserve"> and, (4) the possibility to withdraw only a part of j</w:t>
      </w:r>
      <w:r w:rsidRPr="00242351">
        <w:rPr>
          <w:lang w:val="en-US"/>
        </w:rPr>
        <w:t xml:space="preserve">uvenile fish </w:t>
      </w:r>
      <w:r>
        <w:rPr>
          <w:lang w:val="en-US"/>
        </w:rPr>
        <w:t>catches</w:t>
      </w:r>
      <w:r w:rsidRPr="00242351">
        <w:rPr>
          <w:lang w:val="en-US"/>
        </w:rPr>
        <w:t xml:space="preserve"> from quotas.</w:t>
      </w:r>
      <w:r w:rsidR="008258A6">
        <w:rPr>
          <w:lang w:val="en-US"/>
        </w:rPr>
        <w:t xml:space="preserve"> </w:t>
      </w:r>
      <w:r w:rsidR="008258A6">
        <w:rPr>
          <w:lang w:val="en-US"/>
        </w:rPr>
        <w:lastRenderedPageBreak/>
        <w:t>In addition to TACs and ITQs, d</w:t>
      </w:r>
      <w:r w:rsidR="00230046" w:rsidRPr="00591532">
        <w:rPr>
          <w:lang w:val="en-US"/>
        </w:rPr>
        <w:t xml:space="preserve">iscarding is prohibited </w:t>
      </w:r>
      <w:r w:rsidR="008258A6">
        <w:rPr>
          <w:lang w:val="en-US"/>
        </w:rPr>
        <w:t xml:space="preserve">and technical measures are implemented. These include </w:t>
      </w:r>
      <w:r w:rsidR="00230046">
        <w:rPr>
          <w:color w:val="000000"/>
          <w:lang w:val="en-US"/>
        </w:rPr>
        <w:t>a</w:t>
      </w:r>
      <w:r w:rsidR="00354D9D">
        <w:rPr>
          <w:color w:val="000000"/>
          <w:lang w:val="en-US"/>
        </w:rPr>
        <w:t xml:space="preserve"> Minimum Catch Size (MC</w:t>
      </w:r>
      <w:r w:rsidR="00ED59CF">
        <w:rPr>
          <w:color w:val="000000"/>
          <w:lang w:val="en-US"/>
        </w:rPr>
        <w:t>S</w:t>
      </w:r>
      <w:r w:rsidR="00354D9D">
        <w:rPr>
          <w:color w:val="000000"/>
          <w:lang w:val="en-US"/>
        </w:rPr>
        <w:t xml:space="preserve">) </w:t>
      </w:r>
      <w:r w:rsidR="008258A6">
        <w:rPr>
          <w:color w:val="000000"/>
          <w:lang w:val="en-US"/>
        </w:rPr>
        <w:t>for</w:t>
      </w:r>
      <w:r w:rsidR="00354D9D">
        <w:rPr>
          <w:color w:val="000000"/>
          <w:lang w:val="en-US"/>
        </w:rPr>
        <w:t xml:space="preserve"> most stocks</w:t>
      </w:r>
      <w:r w:rsidR="008258A6">
        <w:rPr>
          <w:color w:val="000000"/>
          <w:lang w:val="en-US"/>
        </w:rPr>
        <w:t>, a</w:t>
      </w:r>
      <w:r w:rsidR="00791202">
        <w:rPr>
          <w:color w:val="000000"/>
          <w:lang w:val="en-US"/>
        </w:rPr>
        <w:t xml:space="preserve"> minimum mesh size </w:t>
      </w:r>
      <w:r w:rsidR="0006135F">
        <w:rPr>
          <w:color w:val="000000"/>
          <w:lang w:val="en-US"/>
        </w:rPr>
        <w:t xml:space="preserve">(e.g., </w:t>
      </w:r>
      <w:r w:rsidR="0094136E">
        <w:rPr>
          <w:color w:val="000000"/>
          <w:lang w:val="en-US"/>
        </w:rPr>
        <w:t>135-155 mm</w:t>
      </w:r>
      <w:r w:rsidR="0006135F">
        <w:rPr>
          <w:color w:val="000000"/>
          <w:lang w:val="en-US"/>
        </w:rPr>
        <w:t xml:space="preserve"> for demersal trawlers), and</w:t>
      </w:r>
      <w:r w:rsidR="0094136E">
        <w:rPr>
          <w:color w:val="000000"/>
          <w:lang w:val="en-US"/>
        </w:rPr>
        <w:t xml:space="preserve"> </w:t>
      </w:r>
      <w:r w:rsidR="0006135F">
        <w:rPr>
          <w:color w:val="000000"/>
          <w:lang w:val="en-US"/>
        </w:rPr>
        <w:t>e</w:t>
      </w:r>
      <w:r w:rsidR="00C754A5" w:rsidRPr="00591532">
        <w:rPr>
          <w:color w:val="000000"/>
          <w:lang w:val="en-US"/>
        </w:rPr>
        <w:t xml:space="preserve">xtensive provisions for temporary closure of fishing areas to protect spawning </w:t>
      </w:r>
      <w:r>
        <w:rPr>
          <w:color w:val="000000"/>
          <w:lang w:val="en-US"/>
        </w:rPr>
        <w:t xml:space="preserve">or immature </w:t>
      </w:r>
      <w:r w:rsidR="0006135F">
        <w:rPr>
          <w:color w:val="000000"/>
          <w:lang w:val="en-US"/>
        </w:rPr>
        <w:t xml:space="preserve">fish </w:t>
      </w:r>
      <w:r w:rsidR="0006135F">
        <w:rPr>
          <w:lang w:val="en-US"/>
        </w:rPr>
        <w:t>(ICES 2013)</w:t>
      </w:r>
      <w:r w:rsidR="00C754A5" w:rsidRPr="00591532">
        <w:rPr>
          <w:color w:val="000000"/>
          <w:lang w:val="en-US"/>
        </w:rPr>
        <w:t xml:space="preserve">. </w:t>
      </w:r>
    </w:p>
    <w:p w:rsidR="00C754A5" w:rsidRDefault="00453E8D" w:rsidP="00A51148">
      <w:pPr>
        <w:suppressLineNumbers w:val="0"/>
        <w:spacing w:line="480" w:lineRule="auto"/>
        <w:rPr>
          <w:lang w:val="en-US"/>
        </w:rPr>
      </w:pPr>
      <w:r>
        <w:rPr>
          <w:lang w:val="en-GB"/>
        </w:rPr>
        <w:t>The major</w:t>
      </w:r>
      <w:r w:rsidRPr="00242351">
        <w:rPr>
          <w:lang w:val="en-GB"/>
        </w:rPr>
        <w:t xml:space="preserve"> feature of New Zealand </w:t>
      </w:r>
      <w:r>
        <w:rPr>
          <w:lang w:val="en-GB"/>
        </w:rPr>
        <w:t xml:space="preserve">fisheries </w:t>
      </w:r>
      <w:r w:rsidRPr="00242351">
        <w:rPr>
          <w:lang w:val="en-GB"/>
        </w:rPr>
        <w:t xml:space="preserve">management </w:t>
      </w:r>
      <w:r>
        <w:rPr>
          <w:lang w:val="en-GB"/>
        </w:rPr>
        <w:t xml:space="preserve">is its freely tradable ITQ </w:t>
      </w:r>
      <w:r w:rsidRPr="00242351">
        <w:rPr>
          <w:lang w:val="en-GB"/>
        </w:rPr>
        <w:t>system</w:t>
      </w:r>
      <w:r>
        <w:rPr>
          <w:lang w:val="en-GB"/>
        </w:rPr>
        <w:t xml:space="preserve"> and the way it generates Annual Catch Entitlement (ACE) which is used to balance catches (Squires 2010; Mace et al. 2014). </w:t>
      </w:r>
      <w:r w:rsidR="0045107F">
        <w:rPr>
          <w:lang w:val="en-GB"/>
        </w:rPr>
        <w:t>Unlike in Iceland, f</w:t>
      </w:r>
      <w:r>
        <w:rPr>
          <w:lang w:val="en-GB"/>
        </w:rPr>
        <w:t>ishers do not need to own ITQ and ITQ is not linked to vessels.</w:t>
      </w:r>
      <w:r w:rsidRPr="00242351">
        <w:rPr>
          <w:lang w:val="en-GB"/>
        </w:rPr>
        <w:t xml:space="preserve"> </w:t>
      </w:r>
      <w:r>
        <w:rPr>
          <w:lang w:val="en-GB"/>
        </w:rPr>
        <w:t>T</w:t>
      </w:r>
      <w:r w:rsidRPr="00242351">
        <w:rPr>
          <w:lang w:val="en-GB"/>
        </w:rPr>
        <w:t xml:space="preserve">he TACCs of all QMS stocks are distributed to quota holders as ITQ shares. On the first day of the fishing year, each ITQ (expressed as a percentage of the TACC) generates for each quota holder, and each </w:t>
      </w:r>
      <w:r w:rsidRPr="00242351">
        <w:rPr>
          <w:szCs w:val="20"/>
          <w:lang w:val="en-GB"/>
        </w:rPr>
        <w:t>stock, a</w:t>
      </w:r>
      <w:r>
        <w:rPr>
          <w:szCs w:val="20"/>
          <w:lang w:val="en-GB"/>
        </w:rPr>
        <w:t>n</w:t>
      </w:r>
      <w:r w:rsidRPr="00242351">
        <w:rPr>
          <w:szCs w:val="20"/>
          <w:lang w:val="en-GB"/>
        </w:rPr>
        <w:t xml:space="preserve"> </w:t>
      </w:r>
      <w:r>
        <w:rPr>
          <w:szCs w:val="20"/>
          <w:lang w:val="en-GB"/>
        </w:rPr>
        <w:t>amount of</w:t>
      </w:r>
      <w:r w:rsidRPr="00242351">
        <w:rPr>
          <w:szCs w:val="20"/>
          <w:lang w:val="en-GB"/>
        </w:rPr>
        <w:t xml:space="preserve"> ACE</w:t>
      </w:r>
      <w:r>
        <w:rPr>
          <w:szCs w:val="20"/>
          <w:lang w:val="en-GB"/>
        </w:rPr>
        <w:t xml:space="preserve">, in kg. </w:t>
      </w:r>
      <w:r w:rsidRPr="00242351">
        <w:rPr>
          <w:lang w:val="en-GB"/>
        </w:rPr>
        <w:t>ACE</w:t>
      </w:r>
      <w:r>
        <w:rPr>
          <w:lang w:val="en-GB"/>
        </w:rPr>
        <w:t xml:space="preserve"> and</w:t>
      </w:r>
      <w:r w:rsidRPr="00242351">
        <w:rPr>
          <w:lang w:val="en-GB"/>
        </w:rPr>
        <w:t xml:space="preserve"> ITQ</w:t>
      </w:r>
      <w:r>
        <w:rPr>
          <w:lang w:val="en-GB"/>
        </w:rPr>
        <w:t xml:space="preserve"> are</w:t>
      </w:r>
      <w:r w:rsidRPr="00242351">
        <w:rPr>
          <w:lang w:val="en-GB"/>
        </w:rPr>
        <w:t xml:space="preserve"> fre</w:t>
      </w:r>
      <w:r>
        <w:rPr>
          <w:lang w:val="en-GB"/>
        </w:rPr>
        <w:t>ely tradable on the open market</w:t>
      </w:r>
      <w:r w:rsidRPr="00242351">
        <w:rPr>
          <w:lang w:val="en-GB"/>
        </w:rPr>
        <w:t xml:space="preserve"> and</w:t>
      </w:r>
      <w:r>
        <w:rPr>
          <w:lang w:val="en-GB"/>
        </w:rPr>
        <w:t xml:space="preserve"> </w:t>
      </w:r>
      <w:r w:rsidRPr="00242351">
        <w:rPr>
          <w:lang w:val="en-GB"/>
        </w:rPr>
        <w:t>accessible to any New Zealand citizen.</w:t>
      </w:r>
      <w:r>
        <w:rPr>
          <w:lang w:val="en-GB"/>
        </w:rPr>
        <w:t xml:space="preserve"> One aspect of quota concentration requirements in New Zealand is that a minimum 20 per cent share of any new QMS species has been allotted to Maori since the inception of the Fisheries Settlement. </w:t>
      </w:r>
      <w:r w:rsidR="00EF1D59">
        <w:rPr>
          <w:lang w:val="en-US"/>
        </w:rPr>
        <w:t>A</w:t>
      </w:r>
      <w:r w:rsidR="00EF1D59" w:rsidRPr="00591532">
        <w:rPr>
          <w:lang w:val="en-US"/>
        </w:rPr>
        <w:t xml:space="preserve">ll fish and shellfish must </w:t>
      </w:r>
      <w:r w:rsidR="00EF1D59">
        <w:rPr>
          <w:lang w:val="en-US"/>
        </w:rPr>
        <w:t xml:space="preserve">generally </w:t>
      </w:r>
      <w:r w:rsidR="00EF1D59" w:rsidRPr="00591532">
        <w:rPr>
          <w:lang w:val="en-US"/>
        </w:rPr>
        <w:t>be landed</w:t>
      </w:r>
      <w:r w:rsidR="00EF1D59">
        <w:rPr>
          <w:lang w:val="en-US"/>
        </w:rPr>
        <w:t xml:space="preserve"> in New Zealand</w:t>
      </w:r>
      <w:r w:rsidR="00186656">
        <w:rPr>
          <w:lang w:val="en-US"/>
        </w:rPr>
        <w:t>, so discarding cannot be seen as an option to balance landings with ACEs</w:t>
      </w:r>
      <w:r w:rsidR="00EF1D59" w:rsidRPr="00591532">
        <w:rPr>
          <w:lang w:val="en-US"/>
        </w:rPr>
        <w:t xml:space="preserve">. </w:t>
      </w:r>
      <w:r>
        <w:rPr>
          <w:lang w:val="en-GB"/>
        </w:rPr>
        <w:t>Different procedures have been adopted to bring in more flexibility in catch-quota balancing.</w:t>
      </w:r>
      <w:r w:rsidRPr="00242351">
        <w:rPr>
          <w:lang w:val="en-GB"/>
        </w:rPr>
        <w:t xml:space="preserve"> If the</w:t>
      </w:r>
      <w:r>
        <w:rPr>
          <w:lang w:val="en-GB"/>
        </w:rPr>
        <w:t>re is a</w:t>
      </w:r>
      <w:r w:rsidRPr="00242351">
        <w:rPr>
          <w:lang w:val="en-GB"/>
        </w:rPr>
        <w:t xml:space="preserve"> mismatch between catch and </w:t>
      </w:r>
      <w:r>
        <w:rPr>
          <w:lang w:val="en-GB"/>
        </w:rPr>
        <w:t>ACE</w:t>
      </w:r>
      <w:r w:rsidRPr="00242351">
        <w:rPr>
          <w:lang w:val="en-GB"/>
        </w:rPr>
        <w:t xml:space="preserve"> </w:t>
      </w:r>
      <w:r>
        <w:rPr>
          <w:lang w:val="en-GB"/>
        </w:rPr>
        <w:t xml:space="preserve">purchased, </w:t>
      </w:r>
      <w:r w:rsidRPr="00242351">
        <w:rPr>
          <w:lang w:val="en-GB"/>
        </w:rPr>
        <w:t xml:space="preserve">fishers are </w:t>
      </w:r>
      <w:r>
        <w:rPr>
          <w:lang w:val="en-GB"/>
        </w:rPr>
        <w:t>required to pay an interim</w:t>
      </w:r>
      <w:r w:rsidRPr="00242351">
        <w:rPr>
          <w:lang w:val="en-GB"/>
        </w:rPr>
        <w:t xml:space="preserve"> deemed value, for each unit of catch they land above their ACE holdings at the time</w:t>
      </w:r>
      <w:r>
        <w:rPr>
          <w:lang w:val="en-GB"/>
        </w:rPr>
        <w:t>, with a final deemed value reckoning at the end of year</w:t>
      </w:r>
      <w:r w:rsidR="00186656">
        <w:rPr>
          <w:lang w:val="en-GB"/>
        </w:rPr>
        <w:t xml:space="preserve"> (Marchal et al. 2009)</w:t>
      </w:r>
      <w:r w:rsidRPr="00242351">
        <w:rPr>
          <w:lang w:val="en-GB"/>
        </w:rPr>
        <w:t>.</w:t>
      </w:r>
      <w:r>
        <w:rPr>
          <w:lang w:val="en-GB"/>
        </w:rPr>
        <w:t xml:space="preserve"> </w:t>
      </w:r>
      <w:r w:rsidR="00186656">
        <w:rPr>
          <w:lang w:val="en-US"/>
        </w:rPr>
        <w:t xml:space="preserve">The deemed value is reviewed annually, like the TAC and the TACC, to reflect fluctuations in fish port and quota prices (Mace et al. 2014). </w:t>
      </w:r>
      <w:r>
        <w:rPr>
          <w:lang w:val="en-GB"/>
        </w:rPr>
        <w:t>ACE</w:t>
      </w:r>
      <w:r w:rsidRPr="00242351">
        <w:rPr>
          <w:lang w:val="en-GB"/>
        </w:rPr>
        <w:t>-holders are</w:t>
      </w:r>
      <w:r w:rsidR="00186656">
        <w:rPr>
          <w:lang w:val="en-GB"/>
        </w:rPr>
        <w:t xml:space="preserve"> also</w:t>
      </w:r>
      <w:r w:rsidRPr="00242351">
        <w:rPr>
          <w:lang w:val="en-GB"/>
        </w:rPr>
        <w:t xml:space="preserve"> allowed to carry forward up to 10% of their </w:t>
      </w:r>
      <w:r>
        <w:rPr>
          <w:lang w:val="en-GB"/>
        </w:rPr>
        <w:t>ACE to the following fishing year. That carry-forward is lost entirely if the TACC is reduced.</w:t>
      </w:r>
      <w:r w:rsidR="0045107F">
        <w:rPr>
          <w:lang w:val="en-GB"/>
        </w:rPr>
        <w:t xml:space="preserve"> </w:t>
      </w:r>
      <w:r w:rsidR="0045107F">
        <w:rPr>
          <w:lang w:val="en-US"/>
        </w:rPr>
        <w:t xml:space="preserve">Finally, direct effort limits and technical measures are only applied in </w:t>
      </w:r>
      <w:r w:rsidR="0045107F" w:rsidRPr="00591532">
        <w:rPr>
          <w:lang w:val="en-US"/>
        </w:rPr>
        <w:t>specific small-scale fisheries</w:t>
      </w:r>
      <w:r>
        <w:rPr>
          <w:lang w:val="en-US"/>
        </w:rPr>
        <w:t>.</w:t>
      </w:r>
    </w:p>
    <w:p w:rsidR="00242351" w:rsidRPr="00242351" w:rsidRDefault="00CC08A4" w:rsidP="00A51148">
      <w:pPr>
        <w:suppressLineNumbers w:val="0"/>
        <w:spacing w:line="480" w:lineRule="auto"/>
        <w:rPr>
          <w:szCs w:val="20"/>
          <w:lang w:val="en-GB"/>
        </w:rPr>
      </w:pPr>
      <w:r>
        <w:rPr>
          <w:lang w:val="en-GB"/>
        </w:rPr>
        <w:t>While the changes to fishery management implemented</w:t>
      </w:r>
      <w:r w:rsidR="00147283">
        <w:rPr>
          <w:lang w:val="en-GB"/>
        </w:rPr>
        <w:t xml:space="preserve"> in Australia</w:t>
      </w:r>
      <w:r>
        <w:rPr>
          <w:lang w:val="en-GB"/>
        </w:rPr>
        <w:t xml:space="preserve"> in the early 1990s put a strong focus on use of TACs coupled with ITQs, few fisheries are managed purely using output controls. A range of input controls are used including use of statutory fishing rights, limited entry, gear </w:t>
      </w:r>
      <w:r>
        <w:rPr>
          <w:lang w:val="en-GB"/>
        </w:rPr>
        <w:lastRenderedPageBreak/>
        <w:t xml:space="preserve">restrictions, and spatial management. </w:t>
      </w:r>
      <w:r w:rsidR="004E0C7C" w:rsidRPr="00242351">
        <w:rPr>
          <w:szCs w:val="20"/>
          <w:lang w:val="en-GB"/>
        </w:rPr>
        <w:t>Dis</w:t>
      </w:r>
      <w:r w:rsidR="004E0C7C">
        <w:rPr>
          <w:szCs w:val="20"/>
          <w:lang w:val="en-GB"/>
        </w:rPr>
        <w:t>c</w:t>
      </w:r>
      <w:r w:rsidR="004E0C7C" w:rsidRPr="00242351">
        <w:rPr>
          <w:szCs w:val="20"/>
          <w:lang w:val="en-GB"/>
        </w:rPr>
        <w:t>a</w:t>
      </w:r>
      <w:r w:rsidR="004E0C7C">
        <w:rPr>
          <w:szCs w:val="20"/>
          <w:lang w:val="en-GB"/>
        </w:rPr>
        <w:t xml:space="preserve">rding is generally tolerated in </w:t>
      </w:r>
      <w:r w:rsidR="004E0C7C" w:rsidRPr="00242351">
        <w:rPr>
          <w:szCs w:val="20"/>
          <w:lang w:val="en-GB"/>
        </w:rPr>
        <w:t xml:space="preserve">Australia (Sanchirico et al. 2006). </w:t>
      </w:r>
      <w:r w:rsidR="00AE0353">
        <w:rPr>
          <w:lang w:val="en-GB"/>
        </w:rPr>
        <w:t>Buyback schemes have been implemented in several fisheries to adjust capacity to resources (</w:t>
      </w:r>
      <w:r w:rsidR="00AE0353">
        <w:rPr>
          <w:szCs w:val="20"/>
          <w:lang w:val="en-GB"/>
        </w:rPr>
        <w:t>Fox et al.</w:t>
      </w:r>
      <w:r w:rsidR="00AE0353" w:rsidRPr="00242351">
        <w:rPr>
          <w:szCs w:val="20"/>
          <w:lang w:val="en-GB"/>
        </w:rPr>
        <w:t xml:space="preserve"> 2006</w:t>
      </w:r>
      <w:r w:rsidR="00AE0353">
        <w:rPr>
          <w:szCs w:val="20"/>
          <w:lang w:val="en-GB"/>
        </w:rPr>
        <w:t>; Fox et al.</w:t>
      </w:r>
      <w:r w:rsidR="00AE0353" w:rsidRPr="00242351">
        <w:rPr>
          <w:szCs w:val="20"/>
          <w:lang w:val="en-GB"/>
        </w:rPr>
        <w:t xml:space="preserve"> 2007</w:t>
      </w:r>
      <w:r w:rsidR="00AE0353">
        <w:rPr>
          <w:szCs w:val="20"/>
          <w:lang w:val="en-GB"/>
        </w:rPr>
        <w:t xml:space="preserve">; </w:t>
      </w:r>
      <w:r w:rsidR="00AE0353">
        <w:rPr>
          <w:lang w:val="en-GB"/>
        </w:rPr>
        <w:t xml:space="preserve">Minnegal and Dwyer 2008). A major buyback scheme was implemented in conjunction with the adoption of the harvest strategy policy in 2007. </w:t>
      </w:r>
      <w:r w:rsidR="00E01F7E">
        <w:rPr>
          <w:lang w:val="en-GB"/>
        </w:rPr>
        <w:t>Formal methods of management strategy evaluation have been used to assess the impacts of alternative sets of measures aimed to meet a variety of management goals (Fulton et al</w:t>
      </w:r>
      <w:r w:rsidR="0068324C">
        <w:rPr>
          <w:lang w:val="en-GB"/>
        </w:rPr>
        <w:t>.</w:t>
      </w:r>
      <w:r w:rsidR="00E01F7E">
        <w:rPr>
          <w:lang w:val="en-GB"/>
        </w:rPr>
        <w:t xml:space="preserve"> 2014) including fi</w:t>
      </w:r>
      <w:r w:rsidR="00345F6F">
        <w:rPr>
          <w:lang w:val="en-GB"/>
        </w:rPr>
        <w:t xml:space="preserve">sheries with strong traditional </w:t>
      </w:r>
      <w:r w:rsidR="00E01F7E">
        <w:rPr>
          <w:lang w:val="en-GB"/>
        </w:rPr>
        <w:t>and indigenous components (Plaganyi et al</w:t>
      </w:r>
      <w:r w:rsidR="0068324C">
        <w:rPr>
          <w:lang w:val="en-GB"/>
        </w:rPr>
        <w:t>.</w:t>
      </w:r>
      <w:r w:rsidR="00E01F7E">
        <w:rPr>
          <w:lang w:val="en-GB"/>
        </w:rPr>
        <w:t xml:space="preserve"> 2013).</w:t>
      </w:r>
      <w:r w:rsidR="004E0C7C" w:rsidRPr="004E0C7C">
        <w:rPr>
          <w:szCs w:val="20"/>
          <w:lang w:val="en-GB"/>
        </w:rPr>
        <w:t xml:space="preserve"> </w:t>
      </w:r>
      <w:r w:rsidR="00E01F7E">
        <w:rPr>
          <w:lang w:val="en-US"/>
        </w:rPr>
        <w:t>Access rights in Australia are generally similar to those in New Zealand</w:t>
      </w:r>
      <w:r w:rsidR="003029E2">
        <w:rPr>
          <w:lang w:val="en-US"/>
        </w:rPr>
        <w:t>, based around statutory fishing rights and in some fisheries allocation of individual transferable quotas</w:t>
      </w:r>
      <w:r w:rsidR="00DA6B61">
        <w:rPr>
          <w:lang w:val="en-US"/>
        </w:rPr>
        <w:t xml:space="preserve"> (Smith and Smith 2001)</w:t>
      </w:r>
      <w:r w:rsidR="00E01F7E">
        <w:rPr>
          <w:lang w:val="en-US"/>
        </w:rPr>
        <w:t>. Increased use of spatial management for conservation purposes and adoption of a large network of marine protected areas have eroded some of these rights in the view of many fishers</w:t>
      </w:r>
      <w:r w:rsidR="00242351" w:rsidRPr="00242351">
        <w:rPr>
          <w:lang w:val="en-GB"/>
        </w:rPr>
        <w:t>.</w:t>
      </w:r>
      <w:r w:rsidR="00367F65">
        <w:rPr>
          <w:lang w:val="en-GB"/>
        </w:rPr>
        <w:t xml:space="preserve"> Sharing</w:t>
      </w:r>
      <w:r w:rsidR="003029E2">
        <w:rPr>
          <w:lang w:val="en-GB"/>
        </w:rPr>
        <w:t xml:space="preserve"> resources between state and federal jurisdictions </w:t>
      </w:r>
      <w:r w:rsidR="00367F65">
        <w:rPr>
          <w:lang w:val="en-GB"/>
        </w:rPr>
        <w:t>is</w:t>
      </w:r>
      <w:r w:rsidR="003029E2">
        <w:rPr>
          <w:lang w:val="en-GB"/>
        </w:rPr>
        <w:t xml:space="preserve"> an issue for some stocks.</w:t>
      </w:r>
    </w:p>
    <w:p w:rsidR="00186656" w:rsidRPr="00F6013D" w:rsidRDefault="00186656" w:rsidP="00A51148">
      <w:pPr>
        <w:pStyle w:val="Brdtekst3"/>
        <w:spacing w:line="480" w:lineRule="auto"/>
        <w:ind w:right="283"/>
      </w:pPr>
    </w:p>
    <w:p w:rsidR="004443B5" w:rsidRPr="004F22C4" w:rsidRDefault="004443B5" w:rsidP="00A51148">
      <w:pPr>
        <w:pStyle w:val="Brdtekst3"/>
        <w:spacing w:line="480" w:lineRule="auto"/>
        <w:ind w:right="283"/>
        <w:rPr>
          <w:b/>
          <w:sz w:val="28"/>
          <w:szCs w:val="28"/>
        </w:rPr>
      </w:pPr>
      <w:r w:rsidRPr="004F22C4">
        <w:rPr>
          <w:b/>
          <w:sz w:val="28"/>
          <w:szCs w:val="28"/>
        </w:rPr>
        <w:t xml:space="preserve">Management </w:t>
      </w:r>
      <w:r>
        <w:rPr>
          <w:b/>
          <w:sz w:val="28"/>
          <w:szCs w:val="28"/>
        </w:rPr>
        <w:t>performances</w:t>
      </w:r>
    </w:p>
    <w:p w:rsidR="004443B5" w:rsidRPr="004F22C4" w:rsidRDefault="004801DD" w:rsidP="00A51148">
      <w:pPr>
        <w:pStyle w:val="Brdtekst3"/>
        <w:spacing w:line="480" w:lineRule="auto"/>
        <w:ind w:right="283"/>
        <w:rPr>
          <w:b/>
        </w:rPr>
      </w:pPr>
      <w:r>
        <w:rPr>
          <w:b/>
        </w:rPr>
        <w:t>Conservation</w:t>
      </w:r>
    </w:p>
    <w:p w:rsidR="00E27DB3" w:rsidRDefault="00E27DB3" w:rsidP="00A51148">
      <w:pPr>
        <w:suppressLineNumbers w:val="0"/>
        <w:spacing w:line="480" w:lineRule="auto"/>
        <w:rPr>
          <w:lang w:val="en-US"/>
        </w:rPr>
      </w:pPr>
      <w:r>
        <w:rPr>
          <w:lang w:val="en-US"/>
        </w:rPr>
        <w:t xml:space="preserve">We compared the conservation performances of the different management systems under investigation by considering, wherever possible, three criteria: (i) the status of fish stocks, (ii) how TAC setting </w:t>
      </w:r>
      <w:r w:rsidR="006A7753">
        <w:rPr>
          <w:lang w:val="en-US"/>
        </w:rPr>
        <w:t xml:space="preserve">is </w:t>
      </w:r>
      <w:r>
        <w:rPr>
          <w:lang w:val="en-US"/>
        </w:rPr>
        <w:t xml:space="preserve">in line with scientific advice and, (iii) </w:t>
      </w:r>
      <w:r w:rsidR="00D960E3">
        <w:rPr>
          <w:lang w:val="en-US"/>
        </w:rPr>
        <w:t>how well are TACs adhered to.</w:t>
      </w:r>
    </w:p>
    <w:p w:rsidR="00E27DB3" w:rsidRPr="00F6013D" w:rsidRDefault="00E27DB3" w:rsidP="00E27DB3">
      <w:pPr>
        <w:suppressLineNumbers w:val="0"/>
        <w:spacing w:line="480" w:lineRule="auto"/>
        <w:rPr>
          <w:i/>
          <w:lang w:val="en-NZ"/>
        </w:rPr>
      </w:pPr>
      <w:r>
        <w:rPr>
          <w:i/>
          <w:lang w:val="en-NZ"/>
        </w:rPr>
        <w:t>Fish stocks status</w:t>
      </w:r>
    </w:p>
    <w:p w:rsidR="00295439" w:rsidRPr="00295439" w:rsidRDefault="00295439" w:rsidP="00A51148">
      <w:pPr>
        <w:suppressLineNumbers w:val="0"/>
        <w:spacing w:line="480" w:lineRule="auto"/>
        <w:rPr>
          <w:lang w:val="en-US"/>
        </w:rPr>
      </w:pPr>
      <w:r w:rsidRPr="00295439">
        <w:rPr>
          <w:lang w:val="en-US"/>
        </w:rPr>
        <w:t>Comparing the s</w:t>
      </w:r>
      <w:r w:rsidR="00E27DB3">
        <w:rPr>
          <w:lang w:val="en-US"/>
        </w:rPr>
        <w:t>tat</w:t>
      </w:r>
      <w:r w:rsidRPr="00295439">
        <w:rPr>
          <w:lang w:val="en-US"/>
        </w:rPr>
        <w:t>us of fish stocks across the world is not trivial.</w:t>
      </w:r>
      <w:r w:rsidR="00DA7D99">
        <w:rPr>
          <w:lang w:val="en-US"/>
        </w:rPr>
        <w:t xml:space="preserve"> </w:t>
      </w:r>
      <w:r w:rsidR="00765F66">
        <w:rPr>
          <w:lang w:val="en-US"/>
        </w:rPr>
        <w:t>This is because</w:t>
      </w:r>
      <w:r w:rsidRPr="00295439">
        <w:rPr>
          <w:lang w:val="en-US"/>
        </w:rPr>
        <w:t xml:space="preserve"> the range </w:t>
      </w:r>
      <w:r w:rsidR="00DA7D99">
        <w:rPr>
          <w:lang w:val="en-US"/>
        </w:rPr>
        <w:t xml:space="preserve">and frequency </w:t>
      </w:r>
      <w:r w:rsidRPr="00295439">
        <w:rPr>
          <w:lang w:val="en-US"/>
        </w:rPr>
        <w:t>of stock assessment</w:t>
      </w:r>
      <w:r w:rsidR="00DA7D99">
        <w:rPr>
          <w:lang w:val="en-US"/>
        </w:rPr>
        <w:t>s</w:t>
      </w:r>
      <w:r w:rsidR="00DA7D99" w:rsidRPr="00295439">
        <w:rPr>
          <w:lang w:val="en-US"/>
        </w:rPr>
        <w:t xml:space="preserve">, </w:t>
      </w:r>
      <w:r w:rsidR="00DA7D99">
        <w:rPr>
          <w:lang w:val="en-US"/>
        </w:rPr>
        <w:t xml:space="preserve">as well as reference points, </w:t>
      </w:r>
      <w:r w:rsidR="00DA7D99" w:rsidRPr="00295439">
        <w:rPr>
          <w:lang w:val="en-US"/>
        </w:rPr>
        <w:t>are not necessarily consistent</w:t>
      </w:r>
      <w:r w:rsidRPr="00295439">
        <w:rPr>
          <w:lang w:val="en-US"/>
        </w:rPr>
        <w:t xml:space="preserve"> </w:t>
      </w:r>
      <w:r w:rsidR="00267B25">
        <w:rPr>
          <w:lang w:val="en-US"/>
        </w:rPr>
        <w:t xml:space="preserve">across management and </w:t>
      </w:r>
      <w:r w:rsidRPr="00295439">
        <w:rPr>
          <w:lang w:val="en-US"/>
        </w:rPr>
        <w:t>advisory agenc</w:t>
      </w:r>
      <w:r w:rsidR="00267B25">
        <w:rPr>
          <w:lang w:val="en-US"/>
        </w:rPr>
        <w:t>ies</w:t>
      </w:r>
      <w:r w:rsidR="00DA7D99">
        <w:rPr>
          <w:lang w:val="en-US"/>
        </w:rPr>
        <w:t>.</w:t>
      </w:r>
      <w:r w:rsidR="00267B25">
        <w:rPr>
          <w:lang w:val="en-US"/>
        </w:rPr>
        <w:t xml:space="preserve"> </w:t>
      </w:r>
      <w:r w:rsidRPr="00295439">
        <w:rPr>
          <w:lang w:val="en-US"/>
        </w:rPr>
        <w:t xml:space="preserve">For the purpose of this exercise, we have collated and summarized the recent status of the different stocks assessed in the Northeast Atlantic, Mediterranean Sea, New Zealand and Australian waters, using </w:t>
      </w:r>
      <w:r w:rsidR="00B21975">
        <w:rPr>
          <w:lang w:val="en-US"/>
        </w:rPr>
        <w:t xml:space="preserve">fishing mortality and biomass limit </w:t>
      </w:r>
      <w:r w:rsidRPr="00295439">
        <w:rPr>
          <w:lang w:val="en-US"/>
        </w:rPr>
        <w:t xml:space="preserve">reference points. </w:t>
      </w:r>
      <w:r w:rsidR="006A7753">
        <w:rPr>
          <w:lang w:val="en-US"/>
        </w:rPr>
        <w:t xml:space="preserve">Although limit reference points generally differ within and across jurisdictions, they all represent </w:t>
      </w:r>
      <w:r w:rsidR="006A7753">
        <w:rPr>
          <w:lang w:val="en-US"/>
        </w:rPr>
        <w:lastRenderedPageBreak/>
        <w:t xml:space="preserve">thresholds which, if exceeded, should trigger appropriate management action. </w:t>
      </w:r>
      <w:r w:rsidRPr="00295439">
        <w:rPr>
          <w:lang w:val="en-US"/>
        </w:rPr>
        <w:t xml:space="preserve">For </w:t>
      </w:r>
      <w:r w:rsidR="000327D5">
        <w:rPr>
          <w:lang w:val="en-US"/>
        </w:rPr>
        <w:t>the EU Northeast Atlantic and Icelandic</w:t>
      </w:r>
      <w:r w:rsidRPr="00295439">
        <w:rPr>
          <w:lang w:val="en-US"/>
        </w:rPr>
        <w:t xml:space="preserve"> stocks</w:t>
      </w:r>
      <w:r w:rsidR="000327D5">
        <w:rPr>
          <w:lang w:val="en-US"/>
        </w:rPr>
        <w:t xml:space="preserve"> evaluated by ICES</w:t>
      </w:r>
      <w:r w:rsidRPr="00295439">
        <w:rPr>
          <w:lang w:val="en-US"/>
        </w:rPr>
        <w:t>, the limit reference points were taken as F</w:t>
      </w:r>
      <w:r w:rsidRPr="00295439">
        <w:rPr>
          <w:vertAlign w:val="subscript"/>
          <w:lang w:val="en-US"/>
        </w:rPr>
        <w:t>pa</w:t>
      </w:r>
      <w:r w:rsidRPr="00295439">
        <w:rPr>
          <w:lang w:val="en-US"/>
        </w:rPr>
        <w:t xml:space="preserve"> and B</w:t>
      </w:r>
      <w:r w:rsidRPr="00295439">
        <w:rPr>
          <w:vertAlign w:val="subscript"/>
          <w:lang w:val="en-US"/>
        </w:rPr>
        <w:t>pa</w:t>
      </w:r>
      <w:r w:rsidRPr="00295439">
        <w:rPr>
          <w:lang w:val="en-US"/>
        </w:rPr>
        <w:t xml:space="preserve">, </w:t>
      </w:r>
      <w:r w:rsidR="000327D5">
        <w:rPr>
          <w:lang w:val="en-US"/>
        </w:rPr>
        <w:t>building on the precautionary approach framework</w:t>
      </w:r>
      <w:r w:rsidRPr="00295439">
        <w:rPr>
          <w:lang w:val="en-US"/>
        </w:rPr>
        <w:t xml:space="preserve">. For Mediterranean Sea, </w:t>
      </w:r>
      <w:r w:rsidR="000327D5">
        <w:rPr>
          <w:lang w:val="en-US"/>
        </w:rPr>
        <w:t>only F-based limit reference points are generally considered, with a usual reference set to F</w:t>
      </w:r>
      <w:r w:rsidR="000327D5" w:rsidRPr="000327D5">
        <w:rPr>
          <w:vertAlign w:val="subscript"/>
          <w:lang w:val="en-US"/>
        </w:rPr>
        <w:t xml:space="preserve">0.1 </w:t>
      </w:r>
      <w:r w:rsidR="000327D5">
        <w:rPr>
          <w:lang w:val="en-US"/>
        </w:rPr>
        <w:t xml:space="preserve">(as a proxy for </w:t>
      </w:r>
      <w:r w:rsidRPr="00295439">
        <w:rPr>
          <w:lang w:val="en-US"/>
        </w:rPr>
        <w:t>F</w:t>
      </w:r>
      <w:r w:rsidRPr="00295439">
        <w:rPr>
          <w:vertAlign w:val="subscript"/>
          <w:lang w:val="en-US"/>
        </w:rPr>
        <w:t>MSY</w:t>
      </w:r>
      <w:r w:rsidRPr="00295439">
        <w:rPr>
          <w:lang w:val="en-US"/>
        </w:rPr>
        <w:t>). For New Zealand fisheries, the limit reference points were taken as the soft limit</w:t>
      </w:r>
      <w:r w:rsidR="000327D5">
        <w:rPr>
          <w:lang w:val="en-US"/>
        </w:rPr>
        <w:t>.</w:t>
      </w:r>
      <w:r w:rsidRPr="00295439">
        <w:rPr>
          <w:lang w:val="en-US"/>
        </w:rPr>
        <w:t xml:space="preserve"> For Australian </w:t>
      </w:r>
      <w:r w:rsidR="000327D5">
        <w:rPr>
          <w:lang w:val="en-US"/>
        </w:rPr>
        <w:t>fisherie</w:t>
      </w:r>
      <w:r w:rsidRPr="00295439">
        <w:rPr>
          <w:lang w:val="en-US"/>
        </w:rPr>
        <w:t>s, the limit reference points were associated to a risk of recruitment impairment.</w:t>
      </w:r>
    </w:p>
    <w:p w:rsidR="00D55E3A" w:rsidRDefault="00295439" w:rsidP="00A51148">
      <w:pPr>
        <w:suppressLineNumbers w:val="0"/>
        <w:spacing w:line="480" w:lineRule="auto"/>
        <w:rPr>
          <w:lang w:val="en-US"/>
        </w:rPr>
      </w:pPr>
      <w:r w:rsidRPr="00295439">
        <w:rPr>
          <w:lang w:val="en-US"/>
        </w:rPr>
        <w:t xml:space="preserve">We </w:t>
      </w:r>
      <w:r w:rsidR="00264532">
        <w:rPr>
          <w:lang w:val="en-US"/>
        </w:rPr>
        <w:t>used</w:t>
      </w:r>
      <w:r w:rsidRPr="00295439">
        <w:rPr>
          <w:lang w:val="en-US"/>
        </w:rPr>
        <w:t xml:space="preserve"> stock status information assessed against limit reference points for the Northeast Atlantic, including EU and Icelandic </w:t>
      </w:r>
      <w:r w:rsidR="00553120">
        <w:rPr>
          <w:lang w:val="en-US"/>
        </w:rPr>
        <w:t>stocks</w:t>
      </w:r>
      <w:r w:rsidRPr="00295439">
        <w:rPr>
          <w:lang w:val="en-US"/>
        </w:rPr>
        <w:t xml:space="preserve"> (</w:t>
      </w:r>
      <w:r w:rsidR="00264532">
        <w:rPr>
          <w:lang w:val="en-US"/>
        </w:rPr>
        <w:t xml:space="preserve">ICES 2004; ICES 2005; ICES 2006; ICES 2007; ICES 2008; ICES 2009; ICES 2010; ICES 2011; ICES 2012; </w:t>
      </w:r>
      <w:r w:rsidRPr="00295439">
        <w:rPr>
          <w:lang w:val="en-US"/>
        </w:rPr>
        <w:t>ICES 2013), the Mediterranean Sea (STECF 2013a</w:t>
      </w:r>
      <w:r w:rsidR="00553120">
        <w:rPr>
          <w:lang w:val="en-US"/>
        </w:rPr>
        <w:t>; STECF 2014</w:t>
      </w:r>
      <w:r w:rsidR="0013254D">
        <w:rPr>
          <w:lang w:val="en-US"/>
        </w:rPr>
        <w:t>a</w:t>
      </w:r>
      <w:r w:rsidRPr="00295439">
        <w:rPr>
          <w:lang w:val="en-US"/>
        </w:rPr>
        <w:t>), New Zealand (New Zealand Ministry of Primary Industries 201</w:t>
      </w:r>
      <w:r w:rsidR="00553120">
        <w:rPr>
          <w:lang w:val="en-US"/>
        </w:rPr>
        <w:t>3</w:t>
      </w:r>
      <w:r w:rsidRPr="00295439">
        <w:rPr>
          <w:lang w:val="en-US"/>
        </w:rPr>
        <w:t>)</w:t>
      </w:r>
      <w:r w:rsidR="00264532">
        <w:rPr>
          <w:lang w:val="en-US"/>
        </w:rPr>
        <w:t xml:space="preserve"> and Australian stocks</w:t>
      </w:r>
      <w:r w:rsidR="0031482F">
        <w:rPr>
          <w:lang w:val="en-US"/>
        </w:rPr>
        <w:t xml:space="preserve">. Two sources of information </w:t>
      </w:r>
      <w:r w:rsidR="00BC758C">
        <w:rPr>
          <w:lang w:val="en-US"/>
        </w:rPr>
        <w:t>could b</w:t>
      </w:r>
      <w:r w:rsidR="0031482F">
        <w:rPr>
          <w:lang w:val="en-US"/>
        </w:rPr>
        <w:t>e considered regarding Australian fisheries</w:t>
      </w:r>
      <w:r w:rsidR="00D5784F">
        <w:rPr>
          <w:lang w:val="en-US"/>
        </w:rPr>
        <w:t>: one focusing on the federally managed stocks with fisheries status information available over the period 2004-2012 (Woodhams et al. 2013), and the other one focusing on all Australian stocks in year 2012</w:t>
      </w:r>
      <w:r w:rsidRPr="00295439">
        <w:rPr>
          <w:lang w:val="en-US"/>
        </w:rPr>
        <w:t xml:space="preserve"> (Flood et al. 2012</w:t>
      </w:r>
      <w:r w:rsidR="00D5784F">
        <w:rPr>
          <w:lang w:val="en-US"/>
        </w:rPr>
        <w:t xml:space="preserve">). Another difference between the two </w:t>
      </w:r>
      <w:r w:rsidR="00D55E3A">
        <w:rPr>
          <w:lang w:val="en-US"/>
        </w:rPr>
        <w:t xml:space="preserve">stock status </w:t>
      </w:r>
      <w:r w:rsidR="00D5784F">
        <w:rPr>
          <w:lang w:val="en-US"/>
        </w:rPr>
        <w:t>reports is that they use somewhat different criteria for judging overfishing</w:t>
      </w:r>
      <w:r w:rsidR="00D55E3A">
        <w:rPr>
          <w:lang w:val="en-US"/>
        </w:rPr>
        <w:t>.</w:t>
      </w:r>
      <w:r w:rsidR="00BC758C">
        <w:rPr>
          <w:lang w:val="en-US"/>
        </w:rPr>
        <w:t xml:space="preserve"> </w:t>
      </w:r>
      <w:r w:rsidR="00264532">
        <w:rPr>
          <w:lang w:val="en-US"/>
        </w:rPr>
        <w:t>W</w:t>
      </w:r>
      <w:r w:rsidR="00BC758C">
        <w:rPr>
          <w:lang w:val="en-US"/>
        </w:rPr>
        <w:t xml:space="preserve">e considered </w:t>
      </w:r>
      <w:r w:rsidR="00264532">
        <w:rPr>
          <w:lang w:val="en-US"/>
        </w:rPr>
        <w:t xml:space="preserve">here </w:t>
      </w:r>
      <w:r w:rsidR="00BC758C">
        <w:rPr>
          <w:lang w:val="en-US"/>
        </w:rPr>
        <w:t>stock status information</w:t>
      </w:r>
      <w:r w:rsidR="00264532">
        <w:rPr>
          <w:lang w:val="en-US"/>
        </w:rPr>
        <w:t xml:space="preserve"> provided in Woodharms et al. (2013), since our study focuses on federally managed fisheries, and also since this report allowed comparing stock statuses across periods (2004-2012).</w:t>
      </w:r>
    </w:p>
    <w:p w:rsidR="00295439" w:rsidRDefault="00264532" w:rsidP="00A51148">
      <w:pPr>
        <w:suppressLineNumbers w:val="0"/>
        <w:spacing w:line="480" w:lineRule="auto"/>
        <w:rPr>
          <w:lang w:val="en-US"/>
        </w:rPr>
      </w:pPr>
      <w:r>
        <w:rPr>
          <w:lang w:val="en-US"/>
        </w:rPr>
        <w:t xml:space="preserve">Table 3 provides recent stock statuses in 2013 (EU, Iceland, New Zealand) and 2012 (Australia). </w:t>
      </w:r>
      <w:r w:rsidR="00020606">
        <w:rPr>
          <w:lang w:val="en-US"/>
        </w:rPr>
        <w:t xml:space="preserve">It can be seen that the </w:t>
      </w:r>
      <w:r w:rsidR="007D6FB9">
        <w:rPr>
          <w:lang w:val="en-US"/>
        </w:rPr>
        <w:t>number</w:t>
      </w:r>
      <w:r w:rsidR="00295439" w:rsidRPr="00295439">
        <w:rPr>
          <w:lang w:val="en-US"/>
        </w:rPr>
        <w:t xml:space="preserve"> of stocks </w:t>
      </w:r>
      <w:r w:rsidR="00C45138">
        <w:rPr>
          <w:lang w:val="en-US"/>
        </w:rPr>
        <w:t xml:space="preserve">for which scientists evaluate SSB or F against </w:t>
      </w:r>
      <w:r w:rsidR="000327D5">
        <w:rPr>
          <w:lang w:val="en-US"/>
        </w:rPr>
        <w:t xml:space="preserve">limit </w:t>
      </w:r>
      <w:r w:rsidR="00C45138">
        <w:rPr>
          <w:lang w:val="en-US"/>
        </w:rPr>
        <w:t>reference points</w:t>
      </w:r>
      <w:r w:rsidR="00295439" w:rsidRPr="00295439">
        <w:rPr>
          <w:lang w:val="en-US"/>
        </w:rPr>
        <w:t xml:space="preserve"> is </w:t>
      </w:r>
      <w:r w:rsidR="007D6FB9">
        <w:rPr>
          <w:lang w:val="en-US"/>
        </w:rPr>
        <w:t xml:space="preserve">higher </w:t>
      </w:r>
      <w:r w:rsidR="00295439" w:rsidRPr="00295439">
        <w:rPr>
          <w:lang w:val="en-US"/>
        </w:rPr>
        <w:t xml:space="preserve">in </w:t>
      </w:r>
      <w:r w:rsidR="007D6FB9">
        <w:rPr>
          <w:lang w:val="en-US"/>
        </w:rPr>
        <w:t xml:space="preserve">Australia and New Zealand </w:t>
      </w:r>
      <w:r w:rsidR="00295439" w:rsidRPr="00295439">
        <w:rPr>
          <w:lang w:val="en-US"/>
        </w:rPr>
        <w:t xml:space="preserve">than in </w:t>
      </w:r>
      <w:r w:rsidR="00C85BF8">
        <w:rPr>
          <w:lang w:val="en-US"/>
        </w:rPr>
        <w:t>the other areas</w:t>
      </w:r>
      <w:r w:rsidR="00295439" w:rsidRPr="00295439">
        <w:rPr>
          <w:lang w:val="en-US"/>
        </w:rPr>
        <w:t>.</w:t>
      </w:r>
      <w:r w:rsidR="00C85BF8">
        <w:rPr>
          <w:lang w:val="en-US"/>
        </w:rPr>
        <w:t xml:space="preserve"> </w:t>
      </w:r>
      <w:r w:rsidR="00967A60">
        <w:rPr>
          <w:lang w:val="en-US"/>
        </w:rPr>
        <w:t>This statement</w:t>
      </w:r>
      <w:r w:rsidR="00185E65">
        <w:rPr>
          <w:lang w:val="en-US"/>
        </w:rPr>
        <w:t>, however</w:t>
      </w:r>
      <w:r w:rsidR="00967A60">
        <w:rPr>
          <w:lang w:val="en-US"/>
        </w:rPr>
        <w:t xml:space="preserve">, </w:t>
      </w:r>
      <w:r w:rsidR="00185E65">
        <w:rPr>
          <w:lang w:val="en-US"/>
        </w:rPr>
        <w:t>does not</w:t>
      </w:r>
      <w:r w:rsidR="00967A60">
        <w:rPr>
          <w:lang w:val="en-US"/>
        </w:rPr>
        <w:t xml:space="preserve"> prejudge the relative precision of the stock assessments being carried out in the different world regions. </w:t>
      </w:r>
      <w:r w:rsidR="00185E65">
        <w:rPr>
          <w:lang w:val="en-US"/>
        </w:rPr>
        <w:t>T</w:t>
      </w:r>
      <w:r w:rsidR="00A26632">
        <w:rPr>
          <w:lang w:val="en-US"/>
        </w:rPr>
        <w:t xml:space="preserve">he figures provided for Icelandic stocks are purely indicative and are not considered in subsequent analyses, due to the relatively low number of stocks for which </w:t>
      </w:r>
      <w:r w:rsidR="00185E65">
        <w:rPr>
          <w:lang w:val="en-US"/>
        </w:rPr>
        <w:t xml:space="preserve">stock </w:t>
      </w:r>
      <w:r w:rsidR="00A26632">
        <w:rPr>
          <w:lang w:val="en-US"/>
        </w:rPr>
        <w:t>status is informed quantitatively (3-5).</w:t>
      </w:r>
      <w:r w:rsidR="00572054">
        <w:rPr>
          <w:lang w:val="en-US"/>
        </w:rPr>
        <w:t xml:space="preserve"> </w:t>
      </w:r>
      <w:r w:rsidR="00F61BD6">
        <w:rPr>
          <w:lang w:val="en-US"/>
        </w:rPr>
        <w:t>N</w:t>
      </w:r>
      <w:r w:rsidR="00F44B0D">
        <w:rPr>
          <w:lang w:val="en-NZ"/>
        </w:rPr>
        <w:t xml:space="preserve">ote that none of the Icelandic stocks were harvested beyond limit reference points. </w:t>
      </w:r>
      <w:r w:rsidR="00367DB0" w:rsidRPr="00295439">
        <w:rPr>
          <w:lang w:val="en-US"/>
        </w:rPr>
        <w:t xml:space="preserve">The proportion of stocks where </w:t>
      </w:r>
      <w:r w:rsidR="00367DB0">
        <w:rPr>
          <w:lang w:val="en-US"/>
        </w:rPr>
        <w:t>SSB</w:t>
      </w:r>
      <w:r w:rsidR="00367DB0" w:rsidRPr="00295439">
        <w:rPr>
          <w:lang w:val="en-US"/>
        </w:rPr>
        <w:t xml:space="preserve"> is </w:t>
      </w:r>
      <w:r w:rsidR="00367DB0">
        <w:rPr>
          <w:lang w:val="en-US"/>
        </w:rPr>
        <w:t>above</w:t>
      </w:r>
      <w:r w:rsidR="00367DB0" w:rsidRPr="00295439">
        <w:rPr>
          <w:lang w:val="en-US"/>
        </w:rPr>
        <w:t xml:space="preserve"> </w:t>
      </w:r>
      <w:r w:rsidR="00367DB0">
        <w:rPr>
          <w:lang w:val="en-US"/>
        </w:rPr>
        <w:t>SSB</w:t>
      </w:r>
      <w:r w:rsidR="00367DB0" w:rsidRPr="00295439">
        <w:rPr>
          <w:vertAlign w:val="subscript"/>
          <w:lang w:val="en-US"/>
        </w:rPr>
        <w:t>lim</w:t>
      </w:r>
      <w:r w:rsidR="00367DB0" w:rsidRPr="00295439">
        <w:rPr>
          <w:lang w:val="en-US"/>
        </w:rPr>
        <w:t xml:space="preserve"> is </w:t>
      </w:r>
      <w:r w:rsidR="00F12DA6">
        <w:rPr>
          <w:lang w:val="en-US"/>
        </w:rPr>
        <w:t xml:space="preserve">slightly </w:t>
      </w:r>
      <w:r w:rsidR="00367DB0" w:rsidRPr="00295439">
        <w:rPr>
          <w:lang w:val="en-US"/>
        </w:rPr>
        <w:t xml:space="preserve">higher in New Zealand and </w:t>
      </w:r>
      <w:r w:rsidR="00367DB0" w:rsidRPr="00295439">
        <w:rPr>
          <w:lang w:val="en-US"/>
        </w:rPr>
        <w:lastRenderedPageBreak/>
        <w:t>Australia (8</w:t>
      </w:r>
      <w:r w:rsidR="00185E65">
        <w:rPr>
          <w:lang w:val="en-US"/>
        </w:rPr>
        <w:t>2</w:t>
      </w:r>
      <w:r w:rsidR="00367DB0" w:rsidRPr="00295439">
        <w:rPr>
          <w:lang w:val="en-US"/>
        </w:rPr>
        <w:t>-</w:t>
      </w:r>
      <w:r w:rsidR="00F12DA6">
        <w:rPr>
          <w:lang w:val="en-US"/>
        </w:rPr>
        <w:t>88</w:t>
      </w:r>
      <w:r w:rsidR="00367DB0" w:rsidRPr="00295439">
        <w:rPr>
          <w:lang w:val="en-US"/>
        </w:rPr>
        <w:t xml:space="preserve">%) than in the </w:t>
      </w:r>
      <w:r w:rsidR="00F72211">
        <w:rPr>
          <w:lang w:val="en-US"/>
        </w:rPr>
        <w:t xml:space="preserve">EU </w:t>
      </w:r>
      <w:r w:rsidR="00367DB0" w:rsidRPr="00295439">
        <w:rPr>
          <w:lang w:val="en-US"/>
        </w:rPr>
        <w:t>No</w:t>
      </w:r>
      <w:r w:rsidR="00367DB0">
        <w:rPr>
          <w:lang w:val="en-US"/>
        </w:rPr>
        <w:t>rtheast Atlantic (7</w:t>
      </w:r>
      <w:r w:rsidR="00D96FF0">
        <w:rPr>
          <w:lang w:val="en-US"/>
        </w:rPr>
        <w:t>1</w:t>
      </w:r>
      <w:r w:rsidR="00367DB0" w:rsidRPr="00295439">
        <w:rPr>
          <w:lang w:val="en-US"/>
        </w:rPr>
        <w:t>%)</w:t>
      </w:r>
      <w:r w:rsidR="00F12DA6">
        <w:rPr>
          <w:lang w:val="en-US"/>
        </w:rPr>
        <w:t>, but the difference is not significant</w:t>
      </w:r>
      <w:r w:rsidR="00367DB0">
        <w:rPr>
          <w:lang w:val="en-US"/>
        </w:rPr>
        <w:t>. Also, t</w:t>
      </w:r>
      <w:r w:rsidR="00295439" w:rsidRPr="00295439">
        <w:rPr>
          <w:lang w:val="en-US"/>
        </w:rPr>
        <w:t>he proportion of stocks where F is below F</w:t>
      </w:r>
      <w:r w:rsidR="00295439" w:rsidRPr="00295439">
        <w:rPr>
          <w:vertAlign w:val="subscript"/>
          <w:lang w:val="en-US"/>
        </w:rPr>
        <w:t>lim</w:t>
      </w:r>
      <w:r w:rsidR="00295439" w:rsidRPr="00295439">
        <w:rPr>
          <w:lang w:val="en-US"/>
        </w:rPr>
        <w:t xml:space="preserve"> is higher in New Zealand and Australia (82-95%) than in the </w:t>
      </w:r>
      <w:r w:rsidR="00F72211">
        <w:rPr>
          <w:lang w:val="en-US"/>
        </w:rPr>
        <w:t xml:space="preserve">EU </w:t>
      </w:r>
      <w:r w:rsidR="00295439" w:rsidRPr="00295439">
        <w:rPr>
          <w:lang w:val="en-US"/>
        </w:rPr>
        <w:t>No</w:t>
      </w:r>
      <w:r w:rsidR="00C45138">
        <w:rPr>
          <w:lang w:val="en-US"/>
        </w:rPr>
        <w:t>rtheast Atlantic (6</w:t>
      </w:r>
      <w:r w:rsidR="00D96FF0">
        <w:rPr>
          <w:lang w:val="en-US"/>
        </w:rPr>
        <w:t>8</w:t>
      </w:r>
      <w:r w:rsidR="00295439" w:rsidRPr="00295439">
        <w:rPr>
          <w:lang w:val="en-US"/>
        </w:rPr>
        <w:t>%)</w:t>
      </w:r>
      <w:r w:rsidR="00D96FF0">
        <w:rPr>
          <w:lang w:val="en-US"/>
        </w:rPr>
        <w:t>, and even more so compared to</w:t>
      </w:r>
      <w:r w:rsidR="00967A60">
        <w:rPr>
          <w:lang w:val="en-US"/>
        </w:rPr>
        <w:t xml:space="preserve"> </w:t>
      </w:r>
      <w:r w:rsidR="00295439" w:rsidRPr="00295439">
        <w:rPr>
          <w:lang w:val="en-US"/>
        </w:rPr>
        <w:t>the Mediterranean Sea</w:t>
      </w:r>
      <w:r w:rsidR="00967A60">
        <w:rPr>
          <w:lang w:val="en-US"/>
        </w:rPr>
        <w:t xml:space="preserve"> stocks</w:t>
      </w:r>
      <w:r w:rsidR="00D96FF0">
        <w:rPr>
          <w:lang w:val="en-US"/>
        </w:rPr>
        <w:t xml:space="preserve"> (</w:t>
      </w:r>
      <w:r w:rsidR="00572054">
        <w:rPr>
          <w:lang w:val="en-US"/>
        </w:rPr>
        <w:t>8</w:t>
      </w:r>
      <w:r w:rsidR="00D96FF0">
        <w:rPr>
          <w:lang w:val="en-US"/>
        </w:rPr>
        <w:t>%)</w:t>
      </w:r>
      <w:r w:rsidR="00295439" w:rsidRPr="00295439">
        <w:rPr>
          <w:lang w:val="en-US"/>
        </w:rPr>
        <w:t>.</w:t>
      </w:r>
      <w:r w:rsidR="00FB07A0">
        <w:rPr>
          <w:lang w:val="en-US"/>
        </w:rPr>
        <w:t xml:space="preserve"> </w:t>
      </w:r>
      <w:r w:rsidR="00F12DA6">
        <w:rPr>
          <w:lang w:val="en-US"/>
        </w:rPr>
        <w:t>The</w:t>
      </w:r>
      <w:r w:rsidR="00FB07A0">
        <w:rPr>
          <w:lang w:val="en-US"/>
        </w:rPr>
        <w:t xml:space="preserve"> differences </w:t>
      </w:r>
      <w:r w:rsidR="00572054">
        <w:rPr>
          <w:lang w:val="en-US"/>
        </w:rPr>
        <w:t>(</w:t>
      </w:r>
      <w:r w:rsidR="00F12DA6">
        <w:rPr>
          <w:lang w:val="en-US"/>
        </w:rPr>
        <w:t>with or without Mediterranean stocks</w:t>
      </w:r>
      <w:r w:rsidR="00572054">
        <w:rPr>
          <w:lang w:val="en-US"/>
        </w:rPr>
        <w:t xml:space="preserve">) </w:t>
      </w:r>
      <w:r w:rsidR="00FB07A0">
        <w:rPr>
          <w:lang w:val="en-US"/>
        </w:rPr>
        <w:t>have been tested using a Chi-Square test and are significant (p</w:t>
      </w:r>
      <w:r w:rsidR="00F72211">
        <w:rPr>
          <w:lang w:val="en-US"/>
        </w:rPr>
        <w:t>&lt;0.01 or p&lt;</w:t>
      </w:r>
      <w:r w:rsidR="00FB07A0">
        <w:rPr>
          <w:lang w:val="en-US"/>
        </w:rPr>
        <w:t>0.001).</w:t>
      </w:r>
    </w:p>
    <w:p w:rsidR="0094439B" w:rsidRDefault="0094439B" w:rsidP="00A51148">
      <w:pPr>
        <w:suppressLineNumbers w:val="0"/>
        <w:spacing w:line="480" w:lineRule="auto"/>
        <w:rPr>
          <w:lang w:val="en-US"/>
        </w:rPr>
      </w:pPr>
      <w:r>
        <w:rPr>
          <w:lang w:val="en-US"/>
        </w:rPr>
        <w:t>Figure 1 shows how fishery statuses have changed since 1984 (EU and Australian stocks) and since 2009 (New Zealand). The proportions of stocks above B</w:t>
      </w:r>
      <w:r w:rsidRPr="00B76EA4">
        <w:rPr>
          <w:vertAlign w:val="subscript"/>
          <w:lang w:val="en-US"/>
        </w:rPr>
        <w:t>lim</w:t>
      </w:r>
      <w:r>
        <w:rPr>
          <w:lang w:val="en-US"/>
        </w:rPr>
        <w:t xml:space="preserve"> and below F</w:t>
      </w:r>
      <w:r w:rsidRPr="00B76EA4">
        <w:rPr>
          <w:vertAlign w:val="subscript"/>
          <w:lang w:val="en-US"/>
        </w:rPr>
        <w:t>lim</w:t>
      </w:r>
      <w:r>
        <w:rPr>
          <w:lang w:val="en-US"/>
        </w:rPr>
        <w:t xml:space="preserve"> ha</w:t>
      </w:r>
      <w:r w:rsidR="00B76EA4">
        <w:rPr>
          <w:lang w:val="en-US"/>
        </w:rPr>
        <w:t>ve</w:t>
      </w:r>
      <w:r>
        <w:rPr>
          <w:lang w:val="en-US"/>
        </w:rPr>
        <w:t xml:space="preserve"> overall increased over time</w:t>
      </w:r>
      <w:r w:rsidR="0050060D">
        <w:rPr>
          <w:lang w:val="en-US"/>
        </w:rPr>
        <w:t>, and these</w:t>
      </w:r>
      <w:r>
        <w:rPr>
          <w:lang w:val="en-US"/>
        </w:rPr>
        <w:t xml:space="preserve"> ha</w:t>
      </w:r>
      <w:r w:rsidR="00B76EA4">
        <w:rPr>
          <w:lang w:val="en-US"/>
        </w:rPr>
        <w:t>ve</w:t>
      </w:r>
      <w:r>
        <w:rPr>
          <w:lang w:val="en-US"/>
        </w:rPr>
        <w:t xml:space="preserve"> consistently been higher </w:t>
      </w:r>
      <w:r w:rsidR="00B76EA4">
        <w:rPr>
          <w:lang w:val="en-US"/>
        </w:rPr>
        <w:t>for</w:t>
      </w:r>
      <w:r>
        <w:rPr>
          <w:lang w:val="en-US"/>
        </w:rPr>
        <w:t xml:space="preserve"> Australia</w:t>
      </w:r>
      <w:r w:rsidR="00B76EA4">
        <w:rPr>
          <w:lang w:val="en-US"/>
        </w:rPr>
        <w:t>n</w:t>
      </w:r>
      <w:r>
        <w:rPr>
          <w:lang w:val="en-US"/>
        </w:rPr>
        <w:t xml:space="preserve"> and New Zealand </w:t>
      </w:r>
      <w:r w:rsidR="00B76EA4">
        <w:rPr>
          <w:lang w:val="en-US"/>
        </w:rPr>
        <w:t xml:space="preserve">fisheries </w:t>
      </w:r>
      <w:r>
        <w:rPr>
          <w:lang w:val="en-US"/>
        </w:rPr>
        <w:t xml:space="preserve">compared to the EU </w:t>
      </w:r>
      <w:r w:rsidR="00B76EA4">
        <w:rPr>
          <w:lang w:val="en-US"/>
        </w:rPr>
        <w:t>fisheries</w:t>
      </w:r>
      <w:r>
        <w:rPr>
          <w:lang w:val="en-US"/>
        </w:rPr>
        <w:t xml:space="preserve">. However, </w:t>
      </w:r>
      <w:r w:rsidR="00B76EA4">
        <w:rPr>
          <w:lang w:val="en-US"/>
        </w:rPr>
        <w:t xml:space="preserve">when one considers biomass levels, </w:t>
      </w:r>
      <w:r>
        <w:rPr>
          <w:lang w:val="en-US"/>
        </w:rPr>
        <w:t>the gap has been reduced since 2011, and the difference is currently not significant (Table 3).</w:t>
      </w:r>
    </w:p>
    <w:p w:rsidR="00D960E3" w:rsidRPr="00F6013D" w:rsidRDefault="00D960E3" w:rsidP="00D960E3">
      <w:pPr>
        <w:suppressLineNumbers w:val="0"/>
        <w:spacing w:line="480" w:lineRule="auto"/>
        <w:rPr>
          <w:i/>
          <w:lang w:val="en-NZ"/>
        </w:rPr>
      </w:pPr>
      <w:r>
        <w:rPr>
          <w:i/>
          <w:lang w:val="en-NZ"/>
        </w:rPr>
        <w:t>TAC and scientific advice</w:t>
      </w:r>
    </w:p>
    <w:p w:rsidR="00D57649" w:rsidRDefault="0095209A" w:rsidP="00A51148">
      <w:pPr>
        <w:pStyle w:val="Brdtekst3"/>
        <w:spacing w:line="480" w:lineRule="auto"/>
        <w:ind w:right="283"/>
      </w:pPr>
      <w:r>
        <w:t xml:space="preserve">All fisheries resources investigated in this study are primarily regulated by TACs, except in the Mediterranean. The degree to which TACs adhere to </w:t>
      </w:r>
      <w:r w:rsidR="004E2005">
        <w:t xml:space="preserve">the long term </w:t>
      </w:r>
      <w:r>
        <w:t xml:space="preserve">catch options recommended by fisheries </w:t>
      </w:r>
      <w:r w:rsidR="004E2005">
        <w:t>scientists is variable across the different jurisdiction</w:t>
      </w:r>
      <w:r w:rsidR="00425358">
        <w:t>s</w:t>
      </w:r>
      <w:r w:rsidR="004E2005">
        <w:t>.</w:t>
      </w:r>
    </w:p>
    <w:p w:rsidR="00F535FF" w:rsidRDefault="004E2005" w:rsidP="00A51148">
      <w:pPr>
        <w:pStyle w:val="Brdtekst3"/>
        <w:spacing w:line="480" w:lineRule="auto"/>
        <w:ind w:right="283"/>
      </w:pPr>
      <w:r>
        <w:t xml:space="preserve">In New Zealand, TAC and TACC setting </w:t>
      </w:r>
      <w:r w:rsidR="00D57649">
        <w:t xml:space="preserve">for all stocks </w:t>
      </w:r>
      <w:r>
        <w:t>is requested by law to be consistent with remaining above, or rebuilding to, B</w:t>
      </w:r>
      <w:r w:rsidRPr="004E2005">
        <w:rPr>
          <w:vertAlign w:val="subscript"/>
        </w:rPr>
        <w:t>MSY</w:t>
      </w:r>
      <w:r>
        <w:t>.</w:t>
      </w:r>
      <w:r w:rsidR="00D57649">
        <w:t xml:space="preserve"> For a number of stocks, TACs/TACCs have been managed consistent to a biomass level well above B</w:t>
      </w:r>
      <w:r w:rsidR="00D57649" w:rsidRPr="00D57649">
        <w:rPr>
          <w:vertAlign w:val="subscript"/>
        </w:rPr>
        <w:t>MSY</w:t>
      </w:r>
      <w:r w:rsidR="00D57649">
        <w:t>. For instance, hoki, one of the most important fisheries resources in New Zealand has B</w:t>
      </w:r>
      <w:r w:rsidR="00D57649" w:rsidRPr="00D57649">
        <w:rPr>
          <w:vertAlign w:val="subscript"/>
        </w:rPr>
        <w:t>MSY</w:t>
      </w:r>
      <w:r w:rsidR="00D57649">
        <w:t xml:space="preserve"> circa 27%B</w:t>
      </w:r>
      <w:r w:rsidR="00D57649" w:rsidRPr="00D57649">
        <w:rPr>
          <w:vertAlign w:val="subscript"/>
        </w:rPr>
        <w:t>0</w:t>
      </w:r>
      <w:r w:rsidR="00D57649">
        <w:t xml:space="preserve"> but is managed to be in a 35-50%B</w:t>
      </w:r>
      <w:r w:rsidR="00D57649" w:rsidRPr="00D57649">
        <w:rPr>
          <w:vertAlign w:val="subscript"/>
        </w:rPr>
        <w:t>0</w:t>
      </w:r>
      <w:r w:rsidR="00D57649">
        <w:t xml:space="preserve"> target range. The Harvest Strategy Standard framework also requires that any TACs set for rebuilding purposes have to enable </w:t>
      </w:r>
      <w:r w:rsidR="00607086">
        <w:t>a return to B</w:t>
      </w:r>
      <w:r w:rsidR="00607086" w:rsidRPr="00607086">
        <w:rPr>
          <w:vertAlign w:val="subscript"/>
        </w:rPr>
        <w:t>MSY</w:t>
      </w:r>
      <w:r w:rsidR="00607086">
        <w:t xml:space="preserve"> with a probability of 70% within a specified time frame.</w:t>
      </w:r>
      <w:r w:rsidR="001B46E8">
        <w:t xml:space="preserve"> </w:t>
      </w:r>
      <w:r w:rsidR="00F535FF">
        <w:t>In Australia, TAC</w:t>
      </w:r>
      <w:r w:rsidR="007479EB">
        <w:t xml:space="preserve">s </w:t>
      </w:r>
      <w:r w:rsidR="001B46E8">
        <w:t xml:space="preserve">for all stocks </w:t>
      </w:r>
      <w:r w:rsidR="007479EB">
        <w:t xml:space="preserve">are derived directly from the appropriate </w:t>
      </w:r>
      <w:r w:rsidR="001B46E8">
        <w:t xml:space="preserve">HSP’s </w:t>
      </w:r>
      <w:r w:rsidR="007479EB">
        <w:t>harvest control rules</w:t>
      </w:r>
      <w:r w:rsidR="00F535FF">
        <w:t>.</w:t>
      </w:r>
      <w:r w:rsidR="001B46E8">
        <w:t xml:space="preserve"> TACs ma</w:t>
      </w:r>
      <w:r w:rsidR="00F91EB7">
        <w:t>y occasionally be lower, but nev</w:t>
      </w:r>
      <w:r w:rsidR="001B46E8">
        <w:t>er higher than the advised catch.</w:t>
      </w:r>
    </w:p>
    <w:p w:rsidR="004E2005" w:rsidRDefault="004E2005" w:rsidP="00A51148">
      <w:pPr>
        <w:pStyle w:val="Brdtekst3"/>
        <w:spacing w:line="480" w:lineRule="auto"/>
        <w:ind w:right="283"/>
      </w:pPr>
      <w:r>
        <w:t xml:space="preserve">Such </w:t>
      </w:r>
      <w:r w:rsidR="00F535FF">
        <w:t xml:space="preserve">explicit legally-binding </w:t>
      </w:r>
      <w:r>
        <w:t xml:space="preserve">requirements </w:t>
      </w:r>
      <w:r w:rsidR="001B46E8">
        <w:t xml:space="preserve">tying together agreed TACs and advised catch levels </w:t>
      </w:r>
      <w:r>
        <w:t>do not exist as explicitly in the EU and Iceland</w:t>
      </w:r>
      <w:r w:rsidR="001B46E8">
        <w:t xml:space="preserve"> fisheries policies</w:t>
      </w:r>
      <w:r>
        <w:t xml:space="preserve">, except </w:t>
      </w:r>
      <w:r w:rsidR="001B46E8">
        <w:t>when</w:t>
      </w:r>
      <w:r>
        <w:t xml:space="preserve"> stocks</w:t>
      </w:r>
      <w:r w:rsidR="009178F6">
        <w:t xml:space="preserve"> are</w:t>
      </w:r>
      <w:r>
        <w:t xml:space="preserve"> subject to a management plan.</w:t>
      </w:r>
      <w:r w:rsidR="001B46E8">
        <w:t xml:space="preserve"> </w:t>
      </w:r>
      <w:r w:rsidR="007B4E8B">
        <w:t xml:space="preserve">For EU Northeast Atlantic and Icelandic stocks, we compared advised </w:t>
      </w:r>
      <w:r w:rsidR="007B4E8B">
        <w:lastRenderedPageBreak/>
        <w:t>catch and agreed TACs over recent years (2010-2013) based on ICES (2014). For EU Northeast Atlantic stock, the information used in Marchal et al. (2009) to compare TACs and advised catches over the period 2002-2006 was also extracted in the same format to allow comparisons with the 2010-2013 period. In Table 4 and Figures 2a,c, we compare the proportions of cases (i.e., combinations of stocks and years) for which the agreed TAC exceeds advised catch, between periods (2002-2006 versus 2010-2013) for EU Northeast Atlantic fisheries, and between regions (EU Northeast Atlantic versus Iceland) for period 2010-2013. Although the frequency of EU TACs set above advice is still high (59%) in 2010-2013, it has significantly (p &lt; 0.05) decreased since 2002-2006 (67%). The frequency of TACs above advice is not significantly different between EU Northeast Atlantic and Icelandic stocks.</w:t>
      </w:r>
    </w:p>
    <w:p w:rsidR="00D0628D" w:rsidRPr="00BB5A6E" w:rsidRDefault="00A308E3" w:rsidP="00A51148">
      <w:pPr>
        <w:pStyle w:val="Brdtekst3"/>
        <w:spacing w:line="480" w:lineRule="auto"/>
        <w:ind w:right="283"/>
        <w:rPr>
          <w:i/>
        </w:rPr>
      </w:pPr>
      <w:r>
        <w:rPr>
          <w:i/>
        </w:rPr>
        <w:t>Catch limits</w:t>
      </w:r>
      <w:r w:rsidR="00D0628D" w:rsidRPr="00BB5A6E">
        <w:rPr>
          <w:i/>
        </w:rPr>
        <w:t xml:space="preserve"> and </w:t>
      </w:r>
      <w:r>
        <w:rPr>
          <w:i/>
        </w:rPr>
        <w:t xml:space="preserve">actual </w:t>
      </w:r>
      <w:r w:rsidR="00D0628D" w:rsidRPr="00BB5A6E">
        <w:rPr>
          <w:i/>
        </w:rPr>
        <w:t>catches</w:t>
      </w:r>
    </w:p>
    <w:p w:rsidR="00A308E3" w:rsidRDefault="00F10C66" w:rsidP="00A51148">
      <w:pPr>
        <w:pStyle w:val="Brdtekst3"/>
        <w:spacing w:line="480" w:lineRule="auto"/>
        <w:ind w:right="283"/>
      </w:pPr>
      <w:r w:rsidRPr="00F10C66">
        <w:t xml:space="preserve">We investigated </w:t>
      </w:r>
      <w:r w:rsidR="00D2613F">
        <w:t xml:space="preserve">here </w:t>
      </w:r>
      <w:r>
        <w:t xml:space="preserve">how efficiently </w:t>
      </w:r>
      <w:r w:rsidR="00A308E3">
        <w:t xml:space="preserve">catch limits </w:t>
      </w:r>
      <w:r>
        <w:t xml:space="preserve">constrain </w:t>
      </w:r>
      <w:r w:rsidR="00F646D4">
        <w:t>landing</w:t>
      </w:r>
      <w:r>
        <w:t>s</w:t>
      </w:r>
      <w:r w:rsidR="00D2613F">
        <w:t xml:space="preserve"> across the different regions</w:t>
      </w:r>
      <w:r>
        <w:t>.</w:t>
      </w:r>
      <w:r w:rsidR="00D2613F">
        <w:t xml:space="preserve"> </w:t>
      </w:r>
      <w:r w:rsidR="00A308E3">
        <w:t xml:space="preserve">For EU, Icelandic and Australian stocks, catch limits were represented by the TAC and compared to total annual </w:t>
      </w:r>
      <w:r w:rsidR="00F646D4">
        <w:t>landing</w:t>
      </w:r>
      <w:r w:rsidR="00A308E3">
        <w:t xml:space="preserve">s. For New Zealand stocks, the ACE (derived from TACC through ITQ) is the primary, annual currency for management. Compared to the TACC, </w:t>
      </w:r>
      <w:r w:rsidR="001C1CF5">
        <w:t xml:space="preserve">the </w:t>
      </w:r>
      <w:r w:rsidR="00A308E3">
        <w:t>ACE better portray</w:t>
      </w:r>
      <w:r w:rsidR="001C1CF5">
        <w:t>s</w:t>
      </w:r>
      <w:r w:rsidR="00A308E3">
        <w:t xml:space="preserve"> the c</w:t>
      </w:r>
      <w:r w:rsidR="001C1CF5">
        <w:t xml:space="preserve">onstraint exerted on </w:t>
      </w:r>
      <w:r w:rsidR="00A308E3">
        <w:t>fishers</w:t>
      </w:r>
      <w:r w:rsidR="001C1CF5">
        <w:t xml:space="preserve">, and it was here considered as the appropriate catch limit metric with regards </w:t>
      </w:r>
      <w:r w:rsidR="00801E43">
        <w:t xml:space="preserve">to </w:t>
      </w:r>
      <w:r w:rsidR="001C1CF5">
        <w:t>New Zealand stocks.</w:t>
      </w:r>
    </w:p>
    <w:p w:rsidR="001C1CF5" w:rsidRDefault="001C1CF5" w:rsidP="00A51148">
      <w:pPr>
        <w:pStyle w:val="Brdtekst3"/>
        <w:spacing w:line="480" w:lineRule="auto"/>
        <w:ind w:right="283"/>
      </w:pPr>
      <w:r>
        <w:t>In Table 5</w:t>
      </w:r>
      <w:r w:rsidR="00FA307D">
        <w:t xml:space="preserve"> and Figure </w:t>
      </w:r>
      <w:r w:rsidR="000C4709">
        <w:t>2</w:t>
      </w:r>
      <w:r w:rsidR="00FA307D">
        <w:t>b,d</w:t>
      </w:r>
      <w:r>
        <w:t xml:space="preserve">, we compared the frequency of </w:t>
      </w:r>
      <w:r w:rsidR="00FA307D">
        <w:t xml:space="preserve">realized </w:t>
      </w:r>
      <w:r>
        <w:t>catches above TAC (or, for New Zealand stocks, the frequency of individual catches above ACE)</w:t>
      </w:r>
      <w:r w:rsidR="00FA307D">
        <w:t xml:space="preserve">. </w:t>
      </w:r>
      <w:r>
        <w:t xml:space="preserve">Because </w:t>
      </w:r>
      <w:r w:rsidR="00036B3A">
        <w:t xml:space="preserve">limited </w:t>
      </w:r>
      <w:r>
        <w:t xml:space="preserve">carry-overs are </w:t>
      </w:r>
      <w:r w:rsidR="00036B3A">
        <w:t>allowed</w:t>
      </w:r>
      <w:r>
        <w:t xml:space="preserve"> in </w:t>
      </w:r>
      <w:r w:rsidR="00796356">
        <w:t>Iceland, Australia and New Zealand</w:t>
      </w:r>
      <w:r>
        <w:t xml:space="preserve">, we also compared </w:t>
      </w:r>
      <w:r w:rsidR="00FA307D">
        <w:t xml:space="preserve">in Table 5 </w:t>
      </w:r>
      <w:r>
        <w:t>the frequency of catches above the limit plus 10%.</w:t>
      </w:r>
    </w:p>
    <w:p w:rsidR="009701D4" w:rsidRDefault="008F7A0C" w:rsidP="00777842">
      <w:pPr>
        <w:pStyle w:val="Brdtekst3"/>
        <w:spacing w:line="480" w:lineRule="auto"/>
        <w:ind w:right="283"/>
      </w:pPr>
      <w:r>
        <w:t xml:space="preserve">The frequency of realized catches above </w:t>
      </w:r>
      <w:r w:rsidR="00117DEB">
        <w:t xml:space="preserve">the </w:t>
      </w:r>
      <w:r>
        <w:t>limit</w:t>
      </w:r>
      <w:r w:rsidR="009701D4">
        <w:t xml:space="preserve"> is higher </w:t>
      </w:r>
      <w:r w:rsidR="00796356">
        <w:t>for</w:t>
      </w:r>
      <w:r w:rsidR="009701D4">
        <w:t xml:space="preserve"> Icelandic stocks (57%) compared to EU Northeast Atlantic stocks (</w:t>
      </w:r>
      <w:r w:rsidR="00F646D4">
        <w:t>27</w:t>
      </w:r>
      <w:r w:rsidR="009701D4">
        <w:t xml:space="preserve">%), but the frequency of catch realization versus catch limit plus 10% is </w:t>
      </w:r>
      <w:r w:rsidR="00F646D4">
        <w:t xml:space="preserve">slightly </w:t>
      </w:r>
      <w:r w:rsidR="009701D4">
        <w:t>higher for EU stocks</w:t>
      </w:r>
      <w:r w:rsidR="00796356">
        <w:t xml:space="preserve"> (</w:t>
      </w:r>
      <w:r w:rsidR="00F646D4">
        <w:t>18</w:t>
      </w:r>
      <w:r w:rsidR="00796356">
        <w:t>%) compared to Icelandic stocks (12%)</w:t>
      </w:r>
      <w:r w:rsidR="009701D4">
        <w:t>.</w:t>
      </w:r>
      <w:r w:rsidR="00796356">
        <w:t xml:space="preserve"> This </w:t>
      </w:r>
      <w:r w:rsidR="003C2E3F">
        <w:t xml:space="preserve">could </w:t>
      </w:r>
      <w:r w:rsidR="004E5C62">
        <w:t>reflect that limited over-</w:t>
      </w:r>
      <w:r w:rsidR="00A67204">
        <w:t>quota catches</w:t>
      </w:r>
      <w:r w:rsidR="004E5C62">
        <w:t xml:space="preserve"> are more frequent in Iceland than in the EU (possibl</w:t>
      </w:r>
      <w:r w:rsidR="00C2540C">
        <w:t>y</w:t>
      </w:r>
      <w:r w:rsidR="004E5C62">
        <w:t xml:space="preserve"> due to the </w:t>
      </w:r>
      <w:r w:rsidR="004E5C62">
        <w:lastRenderedPageBreak/>
        <w:t>Icelandic carry-over allowance)</w:t>
      </w:r>
      <w:r w:rsidR="00A67204">
        <w:t xml:space="preserve">, but also that larger-scale over-quotas catches are more frequent in EU waters than in Icelandic waters. The frequency of over-quota catches is much lower (p &lt; 0.001) for Australian and New Zealand stocks (3-6%) compared to EU and Icelandic </w:t>
      </w:r>
      <w:r w:rsidR="003C2E3F">
        <w:t>stock</w:t>
      </w:r>
      <w:r w:rsidR="00A67204">
        <w:t>s</w:t>
      </w:r>
      <w:r w:rsidR="003C2E3F">
        <w:t xml:space="preserve"> (34-57%)</w:t>
      </w:r>
      <w:r w:rsidR="00A67204">
        <w:t>. Australian and New Zealand catches almost never exceed the catch limit plus 10%</w:t>
      </w:r>
      <w:r w:rsidR="003C2E3F">
        <w:t xml:space="preserve"> threshold</w:t>
      </w:r>
      <w:r w:rsidR="00A67204">
        <w:t xml:space="preserve">, which again may </w:t>
      </w:r>
      <w:r w:rsidR="00C1524D">
        <w:t>illustrate</w:t>
      </w:r>
      <w:r w:rsidR="00A67204">
        <w:t xml:space="preserve"> the limited carry-over a</w:t>
      </w:r>
      <w:r w:rsidR="00C1524D">
        <w:t>uthoriz</w:t>
      </w:r>
      <w:r w:rsidR="00A67204">
        <w:t>ed in these countries.</w:t>
      </w:r>
    </w:p>
    <w:p w:rsidR="00F10C66" w:rsidRPr="00F10C66" w:rsidRDefault="00F10C66" w:rsidP="00A51148">
      <w:pPr>
        <w:pStyle w:val="Brdtekst3"/>
        <w:spacing w:line="480" w:lineRule="auto"/>
        <w:ind w:right="283"/>
      </w:pPr>
    </w:p>
    <w:p w:rsidR="004443B5" w:rsidRPr="004F22C4" w:rsidRDefault="00BE4A4B" w:rsidP="00A51148">
      <w:pPr>
        <w:pStyle w:val="Brdtekst3"/>
        <w:spacing w:line="480" w:lineRule="auto"/>
        <w:ind w:right="283"/>
        <w:rPr>
          <w:b/>
        </w:rPr>
      </w:pPr>
      <w:r>
        <w:rPr>
          <w:b/>
        </w:rPr>
        <w:t>E</w:t>
      </w:r>
      <w:r w:rsidR="00D856C1">
        <w:rPr>
          <w:b/>
        </w:rPr>
        <w:t>conomic</w:t>
      </w:r>
      <w:r w:rsidR="004443B5" w:rsidRPr="004F22C4">
        <w:rPr>
          <w:b/>
        </w:rPr>
        <w:t>s</w:t>
      </w:r>
    </w:p>
    <w:p w:rsidR="00C1524D" w:rsidRDefault="006D6515" w:rsidP="00C1524D">
      <w:pPr>
        <w:suppressLineNumbers w:val="0"/>
        <w:spacing w:line="480" w:lineRule="auto"/>
        <w:rPr>
          <w:lang w:val="en-US"/>
        </w:rPr>
      </w:pPr>
      <w:r>
        <w:rPr>
          <w:rFonts w:cstheme="minorHAnsi"/>
          <w:lang w:val="en-US"/>
        </w:rPr>
        <w:t xml:space="preserve">Economic efficiency may be gauged by considering the </w:t>
      </w:r>
      <w:r w:rsidR="00427562">
        <w:rPr>
          <w:rFonts w:cstheme="minorHAnsi"/>
          <w:lang w:val="en-US"/>
        </w:rPr>
        <w:t xml:space="preserve">criterion of </w:t>
      </w:r>
      <w:r w:rsidR="00293E78">
        <w:rPr>
          <w:rFonts w:cstheme="minorHAnsi"/>
          <w:lang w:val="en-US"/>
        </w:rPr>
        <w:t xml:space="preserve">average </w:t>
      </w:r>
      <w:r>
        <w:rPr>
          <w:rFonts w:cstheme="minorHAnsi"/>
          <w:lang w:val="en-US"/>
        </w:rPr>
        <w:t>amount of government financial transfers (GFT), which could be made available across the four case studies (Table 1). The GFT figures should, however, be interpreted cautiously as information reported was occasionally missing or inconsistent (OECD 2013). GFT represented 14-15% of the total landing value</w:t>
      </w:r>
      <w:r w:rsidR="00293E78" w:rsidRPr="00293E78">
        <w:rPr>
          <w:rFonts w:cstheme="minorHAnsi"/>
          <w:lang w:val="en-US"/>
        </w:rPr>
        <w:t xml:space="preserve"> </w:t>
      </w:r>
      <w:r w:rsidR="00293E78">
        <w:rPr>
          <w:rFonts w:cstheme="minorHAnsi"/>
          <w:lang w:val="en-US"/>
        </w:rPr>
        <w:t xml:space="preserve">in the EU </w:t>
      </w:r>
      <w:r w:rsidR="003A28B5">
        <w:rPr>
          <w:rFonts w:cstheme="minorHAnsi"/>
          <w:lang w:val="en-US"/>
        </w:rPr>
        <w:t>(with considerable disparities across EU member states</w:t>
      </w:r>
      <w:r w:rsidR="00A43BD4">
        <w:rPr>
          <w:rFonts w:cstheme="minorHAnsi"/>
          <w:lang w:val="en-US"/>
        </w:rPr>
        <w:t>, due to different political attitudes towards subsidies</w:t>
      </w:r>
      <w:r w:rsidR="003A28B5">
        <w:rPr>
          <w:rFonts w:cstheme="minorHAnsi"/>
          <w:lang w:val="en-US"/>
        </w:rPr>
        <w:t xml:space="preserve">) </w:t>
      </w:r>
      <w:r w:rsidR="00293E78">
        <w:rPr>
          <w:rFonts w:cstheme="minorHAnsi"/>
          <w:lang w:val="en-US"/>
        </w:rPr>
        <w:t>and New Zealand</w:t>
      </w:r>
      <w:r>
        <w:rPr>
          <w:rFonts w:cstheme="minorHAnsi"/>
          <w:lang w:val="en-US"/>
        </w:rPr>
        <w:t>, a</w:t>
      </w:r>
      <w:r w:rsidR="00293E78">
        <w:rPr>
          <w:rFonts w:cstheme="minorHAnsi"/>
          <w:lang w:val="en-US"/>
        </w:rPr>
        <w:t>nd only</w:t>
      </w:r>
      <w:r>
        <w:rPr>
          <w:rFonts w:cstheme="minorHAnsi"/>
          <w:lang w:val="en-US"/>
        </w:rPr>
        <w:t xml:space="preserve"> 2-3% </w:t>
      </w:r>
      <w:r w:rsidR="00293E78">
        <w:rPr>
          <w:rFonts w:cstheme="minorHAnsi"/>
          <w:lang w:val="en-US"/>
        </w:rPr>
        <w:t>in</w:t>
      </w:r>
      <w:r>
        <w:rPr>
          <w:rFonts w:cstheme="minorHAnsi"/>
          <w:lang w:val="en-US"/>
        </w:rPr>
        <w:t xml:space="preserve"> Iceland and Australia.</w:t>
      </w:r>
      <w:r w:rsidR="00C91CD4">
        <w:rPr>
          <w:rFonts w:cstheme="minorHAnsi"/>
          <w:lang w:val="en-US"/>
        </w:rPr>
        <w:t xml:space="preserve"> A key difference between EU and New Zea</w:t>
      </w:r>
      <w:r w:rsidR="00293E78">
        <w:rPr>
          <w:rFonts w:cstheme="minorHAnsi"/>
          <w:lang w:val="en-US"/>
        </w:rPr>
        <w:t>land is that subsidies (</w:t>
      </w:r>
      <w:r w:rsidR="00C91CD4">
        <w:rPr>
          <w:rFonts w:cstheme="minorHAnsi"/>
          <w:lang w:val="en-US"/>
        </w:rPr>
        <w:t xml:space="preserve">direct payments and cost-reducing transfers) represent about 50% of the EU GFT, </w:t>
      </w:r>
      <w:r w:rsidR="00293E78">
        <w:rPr>
          <w:rFonts w:cstheme="minorHAnsi"/>
          <w:lang w:val="en-US"/>
        </w:rPr>
        <w:t>while</w:t>
      </w:r>
      <w:r w:rsidR="00C91CD4">
        <w:rPr>
          <w:rFonts w:cstheme="minorHAnsi"/>
          <w:lang w:val="en-US"/>
        </w:rPr>
        <w:t xml:space="preserve"> </w:t>
      </w:r>
      <w:r w:rsidR="00293E78">
        <w:rPr>
          <w:rFonts w:cstheme="minorHAnsi"/>
          <w:lang w:val="en-US"/>
        </w:rPr>
        <w:t xml:space="preserve">the totality </w:t>
      </w:r>
      <w:r w:rsidR="0069587C">
        <w:rPr>
          <w:rFonts w:cstheme="minorHAnsi"/>
          <w:lang w:val="en-US"/>
        </w:rPr>
        <w:t xml:space="preserve">of </w:t>
      </w:r>
      <w:r w:rsidR="00C91CD4">
        <w:rPr>
          <w:rFonts w:cstheme="minorHAnsi"/>
          <w:lang w:val="en-US"/>
        </w:rPr>
        <w:t>New Zealand GFT</w:t>
      </w:r>
      <w:r w:rsidR="00293E78">
        <w:rPr>
          <w:rFonts w:cstheme="minorHAnsi"/>
          <w:lang w:val="en-US"/>
        </w:rPr>
        <w:t xml:space="preserve"> covers</w:t>
      </w:r>
      <w:r w:rsidR="00C91CD4">
        <w:rPr>
          <w:rFonts w:cstheme="minorHAnsi"/>
          <w:lang w:val="en-US"/>
        </w:rPr>
        <w:t xml:space="preserve"> general services including management, research and enforcement. </w:t>
      </w:r>
      <w:r w:rsidR="00E84313">
        <w:rPr>
          <w:rFonts w:cstheme="minorHAnsi"/>
          <w:lang w:val="en-US"/>
        </w:rPr>
        <w:t xml:space="preserve">Another essential economic performance indication is that 36-65% of GFT are cost-recovered </w:t>
      </w:r>
      <w:r w:rsidR="00F626CA">
        <w:rPr>
          <w:rFonts w:cstheme="minorHAnsi"/>
          <w:lang w:val="en-US"/>
        </w:rPr>
        <w:t>from</w:t>
      </w:r>
      <w:r w:rsidR="00E84313">
        <w:rPr>
          <w:rFonts w:cstheme="minorHAnsi"/>
          <w:lang w:val="en-US"/>
        </w:rPr>
        <w:t xml:space="preserve"> the industry in Australia, New Zealand and Iceland, while the</w:t>
      </w:r>
      <w:r w:rsidR="00414575">
        <w:rPr>
          <w:rFonts w:cstheme="minorHAnsi"/>
          <w:lang w:val="en-US"/>
        </w:rPr>
        <w:t>y are</w:t>
      </w:r>
      <w:r w:rsidR="00E84313">
        <w:rPr>
          <w:rFonts w:cstheme="minorHAnsi"/>
          <w:lang w:val="en-US"/>
        </w:rPr>
        <w:t xml:space="preserve"> supported by tax-payers</w:t>
      </w:r>
      <w:r w:rsidR="00414575">
        <w:rPr>
          <w:rFonts w:cstheme="minorHAnsi"/>
          <w:lang w:val="en-US"/>
        </w:rPr>
        <w:t xml:space="preserve"> in the EU</w:t>
      </w:r>
      <w:r w:rsidR="00E84313">
        <w:rPr>
          <w:rFonts w:cstheme="minorHAnsi"/>
          <w:lang w:val="en-US"/>
        </w:rPr>
        <w:t>.</w:t>
      </w:r>
      <w:r w:rsidR="00A612E6">
        <w:rPr>
          <w:rFonts w:cstheme="minorHAnsi"/>
          <w:lang w:val="en-US"/>
        </w:rPr>
        <w:t xml:space="preserve"> </w:t>
      </w:r>
      <w:r w:rsidR="00C1524D" w:rsidRPr="00212A70">
        <w:rPr>
          <w:color w:val="000000"/>
          <w:lang w:val="en-US"/>
        </w:rPr>
        <w:t xml:space="preserve">Both the fleet size and the number of fishers employed on-board EU vessels have </w:t>
      </w:r>
      <w:r w:rsidR="00C1524D">
        <w:rPr>
          <w:color w:val="000000"/>
          <w:lang w:val="en-US"/>
        </w:rPr>
        <w:t>declined</w:t>
      </w:r>
      <w:r w:rsidR="00C1524D" w:rsidRPr="00212A70">
        <w:rPr>
          <w:color w:val="000000"/>
          <w:lang w:val="en-US"/>
        </w:rPr>
        <w:t xml:space="preserve"> considerably since the </w:t>
      </w:r>
      <w:r w:rsidR="00C1524D">
        <w:rPr>
          <w:color w:val="000000"/>
          <w:lang w:val="en-US"/>
        </w:rPr>
        <w:t>mid-nineties</w:t>
      </w:r>
      <w:r w:rsidR="00D165C9">
        <w:rPr>
          <w:color w:val="000000"/>
          <w:lang w:val="en-US"/>
        </w:rPr>
        <w:t xml:space="preserve"> </w:t>
      </w:r>
      <w:r w:rsidR="00D165C9">
        <w:rPr>
          <w:lang w:val="en-US"/>
        </w:rPr>
        <w:t>(</w:t>
      </w:r>
      <w:r w:rsidR="00D165C9" w:rsidRPr="00A660B1">
        <w:rPr>
          <w:lang w:val="en-US"/>
        </w:rPr>
        <w:t>STECF 2013</w:t>
      </w:r>
      <w:r w:rsidR="00D165C9">
        <w:rPr>
          <w:lang w:val="en-US"/>
        </w:rPr>
        <w:t>b</w:t>
      </w:r>
      <w:r w:rsidR="00D165C9" w:rsidRPr="00A660B1">
        <w:rPr>
          <w:lang w:val="en-US"/>
        </w:rPr>
        <w:t>)</w:t>
      </w:r>
      <w:r w:rsidR="00D165C9">
        <w:rPr>
          <w:color w:val="000000"/>
          <w:lang w:val="en-US"/>
        </w:rPr>
        <w:t>.</w:t>
      </w:r>
      <w:r w:rsidR="00C1524D" w:rsidRPr="00212A70">
        <w:rPr>
          <w:color w:val="000000"/>
          <w:lang w:val="en-US"/>
        </w:rPr>
        <w:t xml:space="preserve"> These decreasing trends </w:t>
      </w:r>
      <w:r w:rsidR="00C1524D">
        <w:rPr>
          <w:color w:val="000000"/>
          <w:lang w:val="en-US"/>
        </w:rPr>
        <w:t>a</w:t>
      </w:r>
      <w:r w:rsidR="00C1524D" w:rsidRPr="00212A70">
        <w:rPr>
          <w:color w:val="000000"/>
          <w:lang w:val="en-US"/>
        </w:rPr>
        <w:t>re still notable in more recent years</w:t>
      </w:r>
      <w:r w:rsidR="00C1524D">
        <w:rPr>
          <w:color w:val="000000"/>
          <w:lang w:val="en-US"/>
        </w:rPr>
        <w:t>, where</w:t>
      </w:r>
      <w:r w:rsidR="00C1524D" w:rsidRPr="00212A70">
        <w:rPr>
          <w:color w:val="000000"/>
          <w:lang w:val="en-US"/>
        </w:rPr>
        <w:t xml:space="preserve"> </w:t>
      </w:r>
      <w:r w:rsidR="00C1524D">
        <w:rPr>
          <w:color w:val="000000"/>
          <w:lang w:val="en-US"/>
        </w:rPr>
        <w:t xml:space="preserve">both </w:t>
      </w:r>
      <w:r w:rsidR="00C1524D">
        <w:rPr>
          <w:lang w:val="en-US"/>
        </w:rPr>
        <w:t>the size of</w:t>
      </w:r>
      <w:r w:rsidR="00C1524D" w:rsidRPr="00212A70">
        <w:rPr>
          <w:lang w:val="en-US"/>
        </w:rPr>
        <w:t xml:space="preserve"> the EU fishing fleet </w:t>
      </w:r>
      <w:r w:rsidR="00C1524D">
        <w:rPr>
          <w:lang w:val="en-US"/>
        </w:rPr>
        <w:t xml:space="preserve">and the number of fishers it employs </w:t>
      </w:r>
      <w:r w:rsidR="00C1524D" w:rsidRPr="00212A70">
        <w:rPr>
          <w:color w:val="000000"/>
          <w:lang w:val="en-US"/>
        </w:rPr>
        <w:t>ha</w:t>
      </w:r>
      <w:r w:rsidR="00C1524D">
        <w:rPr>
          <w:color w:val="000000"/>
          <w:lang w:val="en-US"/>
        </w:rPr>
        <w:t>ve</w:t>
      </w:r>
      <w:r w:rsidR="00C1524D" w:rsidRPr="00212A70">
        <w:rPr>
          <w:color w:val="000000"/>
          <w:lang w:val="en-US"/>
        </w:rPr>
        <w:t xml:space="preserve"> reduced by </w:t>
      </w:r>
      <w:r w:rsidR="00C1524D">
        <w:rPr>
          <w:color w:val="000000"/>
          <w:lang w:val="en-US"/>
        </w:rPr>
        <w:t>2</w:t>
      </w:r>
      <w:r w:rsidR="00C1524D" w:rsidRPr="00212A70">
        <w:rPr>
          <w:color w:val="000000"/>
          <w:lang w:val="en-US"/>
        </w:rPr>
        <w:t xml:space="preserve">% </w:t>
      </w:r>
      <w:r w:rsidR="00C1524D">
        <w:rPr>
          <w:color w:val="000000"/>
          <w:lang w:val="en-US"/>
        </w:rPr>
        <w:t>and 3% respectively</w:t>
      </w:r>
      <w:r w:rsidR="00C1524D">
        <w:rPr>
          <w:lang w:val="en-US"/>
        </w:rPr>
        <w:t xml:space="preserve"> (Table 1)</w:t>
      </w:r>
      <w:r w:rsidR="00C1524D" w:rsidRPr="00212A70">
        <w:rPr>
          <w:lang w:val="en-US"/>
        </w:rPr>
        <w:t xml:space="preserve">. </w:t>
      </w:r>
      <w:r w:rsidR="00C1524D" w:rsidRPr="00CC2562">
        <w:rPr>
          <w:color w:val="000000"/>
          <w:lang w:val="en-US"/>
        </w:rPr>
        <w:t xml:space="preserve">The size of the New Zealand fishing fleet has </w:t>
      </w:r>
      <w:r w:rsidR="00C1524D">
        <w:rPr>
          <w:color w:val="000000"/>
          <w:lang w:val="en-US"/>
        </w:rPr>
        <w:t xml:space="preserve">remained stable, while employment in the harvest sector has </w:t>
      </w:r>
      <w:r w:rsidR="00C1524D" w:rsidRPr="00CC2562">
        <w:rPr>
          <w:color w:val="000000"/>
          <w:lang w:val="en-US"/>
        </w:rPr>
        <w:t>s</w:t>
      </w:r>
      <w:r w:rsidR="00C1524D">
        <w:rPr>
          <w:color w:val="000000"/>
          <w:lang w:val="en-US"/>
        </w:rPr>
        <w:t>lightl</w:t>
      </w:r>
      <w:r w:rsidR="00C1524D" w:rsidRPr="00CC2562">
        <w:rPr>
          <w:color w:val="000000"/>
          <w:lang w:val="en-US"/>
        </w:rPr>
        <w:t xml:space="preserve">y declined </w:t>
      </w:r>
      <w:r w:rsidR="00C1524D">
        <w:rPr>
          <w:color w:val="000000"/>
          <w:lang w:val="en-US"/>
        </w:rPr>
        <w:t xml:space="preserve">(by 2%) </w:t>
      </w:r>
      <w:r w:rsidR="00C1524D" w:rsidRPr="00CC2562">
        <w:rPr>
          <w:color w:val="000000"/>
          <w:lang w:val="en-US"/>
        </w:rPr>
        <w:t xml:space="preserve">over </w:t>
      </w:r>
      <w:r w:rsidR="00C1524D">
        <w:rPr>
          <w:color w:val="000000"/>
          <w:lang w:val="en-US"/>
        </w:rPr>
        <w:t>recent</w:t>
      </w:r>
      <w:r w:rsidR="00C1524D" w:rsidRPr="00CC2562">
        <w:rPr>
          <w:color w:val="000000"/>
          <w:lang w:val="en-US"/>
        </w:rPr>
        <w:t xml:space="preserve"> years</w:t>
      </w:r>
      <w:r w:rsidR="00C1524D">
        <w:rPr>
          <w:color w:val="000000"/>
          <w:lang w:val="en-US"/>
        </w:rPr>
        <w:t>. T</w:t>
      </w:r>
      <w:r w:rsidR="00C1524D" w:rsidRPr="00CC2562">
        <w:rPr>
          <w:color w:val="000000"/>
          <w:lang w:val="en-US"/>
        </w:rPr>
        <w:t xml:space="preserve">he size of the Australian Commonwealth fishing fleet </w:t>
      </w:r>
      <w:r w:rsidR="00C1524D">
        <w:rPr>
          <w:color w:val="000000"/>
          <w:lang w:val="en-US"/>
        </w:rPr>
        <w:t>and the number of fishers have</w:t>
      </w:r>
      <w:r w:rsidR="00C1524D" w:rsidRPr="00CC2562">
        <w:rPr>
          <w:color w:val="000000"/>
          <w:lang w:val="en-US"/>
        </w:rPr>
        <w:t xml:space="preserve"> reduced by </w:t>
      </w:r>
      <w:r w:rsidR="00C1524D">
        <w:rPr>
          <w:color w:val="000000"/>
          <w:lang w:val="en-US"/>
        </w:rPr>
        <w:t>1</w:t>
      </w:r>
      <w:r w:rsidR="00C1524D" w:rsidRPr="00CC2562">
        <w:rPr>
          <w:color w:val="000000"/>
          <w:lang w:val="en-US"/>
        </w:rPr>
        <w:t>%</w:t>
      </w:r>
      <w:r w:rsidR="00C1524D">
        <w:rPr>
          <w:color w:val="000000"/>
          <w:lang w:val="en-US"/>
        </w:rPr>
        <w:t xml:space="preserve"> and 5%, respectively</w:t>
      </w:r>
      <w:r w:rsidR="00C1524D" w:rsidRPr="00CC2562">
        <w:rPr>
          <w:color w:val="000000"/>
          <w:lang w:val="en-US"/>
        </w:rPr>
        <w:t>.</w:t>
      </w:r>
      <w:r w:rsidR="00C1524D">
        <w:rPr>
          <w:color w:val="000000"/>
          <w:lang w:val="en-US"/>
        </w:rPr>
        <w:t xml:space="preserve"> In contrast, t</w:t>
      </w:r>
      <w:r w:rsidR="00C1524D">
        <w:rPr>
          <w:lang w:val="en-US"/>
        </w:rPr>
        <w:t xml:space="preserve">he Icelandic fishing fleet size and employment in the harvesting sector have gradually increased (by 2% and 21% </w:t>
      </w:r>
      <w:r w:rsidR="00C1524D">
        <w:rPr>
          <w:lang w:val="en-US"/>
        </w:rPr>
        <w:lastRenderedPageBreak/>
        <w:t>respectively) in recent years.</w:t>
      </w:r>
    </w:p>
    <w:p w:rsidR="00425358" w:rsidRPr="00C877FA" w:rsidRDefault="00425358" w:rsidP="00A51148">
      <w:pPr>
        <w:pStyle w:val="Brdtekst3"/>
        <w:spacing w:line="480" w:lineRule="auto"/>
        <w:ind w:right="283"/>
        <w:rPr>
          <w:lang w:val="en-NZ"/>
        </w:rPr>
      </w:pPr>
    </w:p>
    <w:p w:rsidR="002007A5" w:rsidRPr="004F22C4" w:rsidRDefault="002007A5" w:rsidP="00A51148">
      <w:pPr>
        <w:pStyle w:val="Brdtekst3"/>
        <w:spacing w:line="480" w:lineRule="auto"/>
        <w:ind w:right="283"/>
        <w:rPr>
          <w:b/>
          <w:sz w:val="28"/>
          <w:szCs w:val="28"/>
        </w:rPr>
      </w:pPr>
      <w:r>
        <w:rPr>
          <w:b/>
          <w:sz w:val="28"/>
          <w:szCs w:val="28"/>
        </w:rPr>
        <w:t>Conclusions</w:t>
      </w:r>
    </w:p>
    <w:p w:rsidR="008158F0" w:rsidRDefault="00594CA6" w:rsidP="008158F0">
      <w:pPr>
        <w:suppressLineNumbers w:val="0"/>
        <w:spacing w:line="480" w:lineRule="auto"/>
        <w:rPr>
          <w:lang w:val="en-NZ"/>
        </w:rPr>
      </w:pPr>
      <w:r>
        <w:rPr>
          <w:lang w:val="en-NZ"/>
        </w:rPr>
        <w:t>Comparing the respective strengths and weaknesses of fisheries management in countries of similar levels of development such as the EU, New Zealand, Australia</w:t>
      </w:r>
      <w:r w:rsidR="00EA29F2">
        <w:rPr>
          <w:lang w:val="en-NZ"/>
        </w:rPr>
        <w:t>,</w:t>
      </w:r>
      <w:r>
        <w:rPr>
          <w:lang w:val="en-NZ"/>
        </w:rPr>
        <w:t xml:space="preserve"> and Iceland is an instructive exerci</w:t>
      </w:r>
      <w:r w:rsidR="00293E78">
        <w:rPr>
          <w:lang w:val="en-NZ"/>
        </w:rPr>
        <w:t>se</w:t>
      </w:r>
      <w:r w:rsidR="001F5B2E">
        <w:rPr>
          <w:lang w:val="en-NZ"/>
        </w:rPr>
        <w:t xml:space="preserve"> (Table 2)</w:t>
      </w:r>
      <w:r w:rsidR="00293E78">
        <w:rPr>
          <w:lang w:val="en-NZ"/>
        </w:rPr>
        <w:t xml:space="preserve">. </w:t>
      </w:r>
      <w:r>
        <w:rPr>
          <w:lang w:val="en-NZ"/>
        </w:rPr>
        <w:t xml:space="preserve">New Zealand, Australia and Iceland have paved the way of modern fisheries management in many respects. </w:t>
      </w:r>
      <w:r w:rsidR="006310D7">
        <w:rPr>
          <w:lang w:val="en-NZ"/>
        </w:rPr>
        <w:t>It is important to note, however, that other countries, e.g., Norway, USA, Canada, South Africa, have also been at the forefront of implementing innovative fisheries management</w:t>
      </w:r>
      <w:r w:rsidR="00873234">
        <w:rPr>
          <w:lang w:val="en-NZ"/>
        </w:rPr>
        <w:t xml:space="preserve">. Examples of innovative management features in these countries include the management of catch-quota balancing by full observer and/or </w:t>
      </w:r>
      <w:r w:rsidR="00F571FD">
        <w:rPr>
          <w:lang w:val="en-NZ"/>
        </w:rPr>
        <w:t>closed circuit television</w:t>
      </w:r>
      <w:r w:rsidR="00873234">
        <w:rPr>
          <w:lang w:val="en-NZ"/>
        </w:rPr>
        <w:t xml:space="preserve"> on</w:t>
      </w:r>
      <w:r w:rsidR="003D6EB9">
        <w:rPr>
          <w:lang w:val="en-NZ"/>
        </w:rPr>
        <w:t>-</w:t>
      </w:r>
      <w:r w:rsidR="00873234">
        <w:rPr>
          <w:lang w:val="en-NZ"/>
        </w:rPr>
        <w:t>board fishing vessels in some Canadian ITQ fisheries (Branch et al. 2006)</w:t>
      </w:r>
      <w:r w:rsidR="006310D7">
        <w:rPr>
          <w:lang w:val="en-NZ"/>
        </w:rPr>
        <w:t xml:space="preserve">, </w:t>
      </w:r>
      <w:r w:rsidR="008B4991">
        <w:rPr>
          <w:lang w:val="en-NZ"/>
        </w:rPr>
        <w:t>or the spatial management of by</w:t>
      </w:r>
      <w:r w:rsidR="003D6EB9">
        <w:rPr>
          <w:lang w:val="en-NZ"/>
        </w:rPr>
        <w:t>-</w:t>
      </w:r>
      <w:r w:rsidR="008B4991">
        <w:rPr>
          <w:lang w:val="en-NZ"/>
        </w:rPr>
        <w:t xml:space="preserve">catch and discards in various US fisheries (Little et al. 2014), which </w:t>
      </w:r>
      <w:r w:rsidR="006310D7">
        <w:rPr>
          <w:lang w:val="en-NZ"/>
        </w:rPr>
        <w:t>could in future investigations be considered to broaden the scope of this comparative review.</w:t>
      </w:r>
    </w:p>
    <w:p w:rsidR="008158F0" w:rsidRPr="008158F0" w:rsidRDefault="00594CA6" w:rsidP="008158F0">
      <w:pPr>
        <w:suppressLineNumbers w:val="0"/>
        <w:spacing w:line="480" w:lineRule="auto"/>
        <w:rPr>
          <w:lang w:val="en-US"/>
        </w:rPr>
      </w:pPr>
      <w:r>
        <w:rPr>
          <w:lang w:val="en-NZ"/>
        </w:rPr>
        <w:t xml:space="preserve">Australia and New Zealand have been at the forefront of </w:t>
      </w:r>
      <w:r w:rsidR="00744904">
        <w:rPr>
          <w:lang w:val="en-NZ"/>
        </w:rPr>
        <w:t>incorporating</w:t>
      </w:r>
      <w:r>
        <w:rPr>
          <w:lang w:val="en-NZ"/>
        </w:rPr>
        <w:t xml:space="preserve"> stakeholder involvement at all levels of the decision-making </w:t>
      </w:r>
      <w:r w:rsidR="00A73F93">
        <w:rPr>
          <w:lang w:val="en-NZ"/>
        </w:rPr>
        <w:t xml:space="preserve">and science </w:t>
      </w:r>
      <w:r w:rsidR="00293E78">
        <w:rPr>
          <w:lang w:val="en-NZ"/>
        </w:rPr>
        <w:t>process</w:t>
      </w:r>
      <w:r>
        <w:rPr>
          <w:lang w:val="en-NZ"/>
        </w:rPr>
        <w:t xml:space="preserve">, including funding </w:t>
      </w:r>
      <w:r w:rsidR="007152E5" w:rsidRPr="00624E7E">
        <w:rPr>
          <w:i/>
          <w:lang w:val="en-NZ"/>
        </w:rPr>
        <w:t>via</w:t>
      </w:r>
      <w:r>
        <w:rPr>
          <w:lang w:val="en-NZ"/>
        </w:rPr>
        <w:t xml:space="preserve"> cost recovery levies. </w:t>
      </w:r>
      <w:r w:rsidR="00A73F93">
        <w:rPr>
          <w:lang w:val="en-NZ"/>
        </w:rPr>
        <w:t xml:space="preserve">Thus, the cost recovery system does incentivise engagement in parts of the science planning and stock assessment processes. </w:t>
      </w:r>
      <w:r>
        <w:rPr>
          <w:lang w:val="en-NZ"/>
        </w:rPr>
        <w:t xml:space="preserve">The EU has more recently taken significant steps to better </w:t>
      </w:r>
      <w:r w:rsidR="00540469">
        <w:rPr>
          <w:lang w:val="en-NZ"/>
        </w:rPr>
        <w:t xml:space="preserve">organise the </w:t>
      </w:r>
      <w:r>
        <w:rPr>
          <w:lang w:val="en-NZ"/>
        </w:rPr>
        <w:t>stakeholders</w:t>
      </w:r>
      <w:r w:rsidR="00540469">
        <w:rPr>
          <w:lang w:val="en-NZ"/>
        </w:rPr>
        <w:t>’ consultation process</w:t>
      </w:r>
      <w:r w:rsidR="00F4312A">
        <w:rPr>
          <w:lang w:val="en-NZ"/>
        </w:rPr>
        <w:t xml:space="preserve"> by promoting </w:t>
      </w:r>
      <w:r>
        <w:rPr>
          <w:lang w:val="en-NZ"/>
        </w:rPr>
        <w:t xml:space="preserve">ACs. Although the role of the </w:t>
      </w:r>
      <w:r w:rsidR="00540469">
        <w:rPr>
          <w:lang w:val="en-NZ"/>
        </w:rPr>
        <w:t>AC</w:t>
      </w:r>
      <w:r>
        <w:rPr>
          <w:lang w:val="en-NZ"/>
        </w:rPr>
        <w:t>s</w:t>
      </w:r>
      <w:r w:rsidR="007A7095">
        <w:rPr>
          <w:lang w:val="en-NZ"/>
        </w:rPr>
        <w:t xml:space="preserve"> </w:t>
      </w:r>
      <w:r>
        <w:rPr>
          <w:lang w:val="en-NZ"/>
        </w:rPr>
        <w:t>in the decision-making process is still limited, there are examples where they have been influential</w:t>
      </w:r>
      <w:r w:rsidR="005237DE">
        <w:rPr>
          <w:lang w:val="en-NZ"/>
        </w:rPr>
        <w:t>, particularly in relation to pelagic fisheries</w:t>
      </w:r>
      <w:r>
        <w:rPr>
          <w:lang w:val="en-NZ"/>
        </w:rPr>
        <w:t>. EU stakeholders’ involvement, however, does not go as far as funding fisheries management and research. A cost recovery system</w:t>
      </w:r>
      <w:r w:rsidR="00AF71C8">
        <w:rPr>
          <w:lang w:val="en-NZ"/>
        </w:rPr>
        <w:t xml:space="preserve"> such as that operated in Australia and New Zealand</w:t>
      </w:r>
      <w:r>
        <w:rPr>
          <w:lang w:val="en-NZ"/>
        </w:rPr>
        <w:t xml:space="preserve"> </w:t>
      </w:r>
      <w:r w:rsidR="00E60333">
        <w:rPr>
          <w:lang w:val="en-NZ"/>
        </w:rPr>
        <w:t xml:space="preserve">may provide advantages for stakeholder engagement in science and management, and it </w:t>
      </w:r>
      <w:r w:rsidR="00D04E5F">
        <w:rPr>
          <w:lang w:val="en-NZ"/>
        </w:rPr>
        <w:t>could</w:t>
      </w:r>
      <w:r w:rsidR="00E60333">
        <w:rPr>
          <w:lang w:val="en-NZ"/>
        </w:rPr>
        <w:t xml:space="preserve"> also</w:t>
      </w:r>
      <w:r w:rsidR="00D04E5F">
        <w:rPr>
          <w:lang w:val="en-NZ"/>
        </w:rPr>
        <w:t xml:space="preserve"> </w:t>
      </w:r>
      <w:r>
        <w:rPr>
          <w:lang w:val="en-NZ"/>
        </w:rPr>
        <w:t xml:space="preserve">be </w:t>
      </w:r>
      <w:r w:rsidR="00D04E5F">
        <w:rPr>
          <w:lang w:val="en-NZ"/>
        </w:rPr>
        <w:t>attractive to</w:t>
      </w:r>
      <w:r w:rsidR="00231999">
        <w:rPr>
          <w:lang w:val="en-NZ"/>
        </w:rPr>
        <w:t xml:space="preserve"> some</w:t>
      </w:r>
      <w:r>
        <w:rPr>
          <w:lang w:val="en-NZ"/>
        </w:rPr>
        <w:t xml:space="preserve"> EU </w:t>
      </w:r>
      <w:r w:rsidR="00231999">
        <w:rPr>
          <w:lang w:val="en-NZ"/>
        </w:rPr>
        <w:t>member states, the social policy of which makes them reluctant to fund fish</w:t>
      </w:r>
      <w:r w:rsidR="004D52A8">
        <w:rPr>
          <w:lang w:val="en-NZ"/>
        </w:rPr>
        <w:t>eries management and research</w:t>
      </w:r>
      <w:r w:rsidR="00231999">
        <w:rPr>
          <w:lang w:val="en-NZ"/>
        </w:rPr>
        <w:t xml:space="preserve"> with public money</w:t>
      </w:r>
      <w:r w:rsidR="00E60333">
        <w:rPr>
          <w:lang w:val="en-NZ"/>
        </w:rPr>
        <w:t xml:space="preserve">. </w:t>
      </w:r>
      <w:r w:rsidR="00790FD2">
        <w:rPr>
          <w:lang w:val="en-NZ"/>
        </w:rPr>
        <w:t xml:space="preserve">Indeed, we showed that the amount of </w:t>
      </w:r>
      <w:r w:rsidR="00C3081F">
        <w:rPr>
          <w:lang w:val="en-NZ"/>
        </w:rPr>
        <w:t>GFT (expressed as a proportion of landings value)</w:t>
      </w:r>
      <w:r w:rsidR="00790FD2">
        <w:rPr>
          <w:lang w:val="en-NZ"/>
        </w:rPr>
        <w:t xml:space="preserve"> was substantially lower in Iceland, New Zealand </w:t>
      </w:r>
      <w:r w:rsidR="00790FD2">
        <w:rPr>
          <w:lang w:val="en-NZ"/>
        </w:rPr>
        <w:lastRenderedPageBreak/>
        <w:t xml:space="preserve">and Australia compared to the EU. </w:t>
      </w:r>
      <w:r>
        <w:rPr>
          <w:lang w:val="en-NZ"/>
        </w:rPr>
        <w:t>The</w:t>
      </w:r>
      <w:r w:rsidR="007F480D">
        <w:rPr>
          <w:lang w:val="en-NZ"/>
        </w:rPr>
        <w:t>re are, however,</w:t>
      </w:r>
      <w:r>
        <w:rPr>
          <w:lang w:val="en-NZ"/>
        </w:rPr>
        <w:t xml:space="preserve"> </w:t>
      </w:r>
      <w:r w:rsidR="008158F0">
        <w:rPr>
          <w:lang w:val="en-NZ"/>
        </w:rPr>
        <w:t xml:space="preserve">important </w:t>
      </w:r>
      <w:r>
        <w:rPr>
          <w:lang w:val="en-NZ"/>
        </w:rPr>
        <w:t>downside</w:t>
      </w:r>
      <w:r w:rsidR="007F480D">
        <w:rPr>
          <w:lang w:val="en-NZ"/>
        </w:rPr>
        <w:t>s to implementing</w:t>
      </w:r>
      <w:r>
        <w:rPr>
          <w:lang w:val="en-NZ"/>
        </w:rPr>
        <w:t xml:space="preserve"> </w:t>
      </w:r>
      <w:r w:rsidR="00C629DC">
        <w:rPr>
          <w:lang w:val="en-NZ"/>
        </w:rPr>
        <w:t xml:space="preserve">a </w:t>
      </w:r>
      <w:r>
        <w:rPr>
          <w:lang w:val="en-NZ"/>
        </w:rPr>
        <w:t>cost recovery system</w:t>
      </w:r>
      <w:r w:rsidR="008158F0">
        <w:rPr>
          <w:lang w:val="en-NZ"/>
        </w:rPr>
        <w:t xml:space="preserve"> at EU level</w:t>
      </w:r>
      <w:r w:rsidR="00141607">
        <w:rPr>
          <w:lang w:val="en-NZ"/>
        </w:rPr>
        <w:t xml:space="preserve"> (Karagian</w:t>
      </w:r>
      <w:r w:rsidR="002F7250">
        <w:rPr>
          <w:lang w:val="en-NZ"/>
        </w:rPr>
        <w:t>n</w:t>
      </w:r>
      <w:r w:rsidR="00141607">
        <w:rPr>
          <w:lang w:val="en-NZ"/>
        </w:rPr>
        <w:t>akos 1996; Motos and Wilson 2006)</w:t>
      </w:r>
      <w:r w:rsidR="007F480D">
        <w:rPr>
          <w:lang w:val="en-NZ"/>
        </w:rPr>
        <w:t xml:space="preserve">. </w:t>
      </w:r>
      <w:r w:rsidR="00C2540C">
        <w:rPr>
          <w:lang w:val="en-NZ"/>
        </w:rPr>
        <w:t>For instance</w:t>
      </w:r>
      <w:r>
        <w:rPr>
          <w:lang w:val="en-NZ"/>
        </w:rPr>
        <w:t xml:space="preserve">, the amount of funding available </w:t>
      </w:r>
      <w:r w:rsidR="00C629DC">
        <w:rPr>
          <w:lang w:val="en-NZ"/>
        </w:rPr>
        <w:t xml:space="preserve">for </w:t>
      </w:r>
      <w:r>
        <w:rPr>
          <w:lang w:val="en-NZ"/>
        </w:rPr>
        <w:t xml:space="preserve">science </w:t>
      </w:r>
      <w:r w:rsidR="00C629DC">
        <w:rPr>
          <w:lang w:val="en-NZ"/>
        </w:rPr>
        <w:t>to support decision-</w:t>
      </w:r>
      <w:r w:rsidR="00C629DC" w:rsidRPr="008158F0">
        <w:rPr>
          <w:lang w:val="en-NZ"/>
        </w:rPr>
        <w:t>making processes requiring technical input could</w:t>
      </w:r>
      <w:r w:rsidRPr="008158F0">
        <w:rPr>
          <w:lang w:val="en-NZ"/>
        </w:rPr>
        <w:t xml:space="preserve"> be more limited than in </w:t>
      </w:r>
      <w:r w:rsidR="002616A7" w:rsidRPr="008158F0">
        <w:rPr>
          <w:lang w:val="en-NZ"/>
        </w:rPr>
        <w:t>a</w:t>
      </w:r>
      <w:r w:rsidRPr="008158F0">
        <w:rPr>
          <w:lang w:val="en-NZ"/>
        </w:rPr>
        <w:t xml:space="preserve"> </w:t>
      </w:r>
      <w:r w:rsidR="005D631A" w:rsidRPr="008158F0">
        <w:rPr>
          <w:lang w:val="en-NZ"/>
        </w:rPr>
        <w:t xml:space="preserve">fully </w:t>
      </w:r>
      <w:r w:rsidRPr="008158F0">
        <w:rPr>
          <w:lang w:val="en-NZ"/>
        </w:rPr>
        <w:t xml:space="preserve">public-funded </w:t>
      </w:r>
      <w:r w:rsidR="002616A7" w:rsidRPr="008158F0">
        <w:rPr>
          <w:lang w:val="en-NZ"/>
        </w:rPr>
        <w:t>scheme,</w:t>
      </w:r>
      <w:r w:rsidRPr="008158F0">
        <w:rPr>
          <w:lang w:val="en-NZ"/>
        </w:rPr>
        <w:t xml:space="preserve"> especially when landings </w:t>
      </w:r>
      <w:r w:rsidR="00736828" w:rsidRPr="008158F0">
        <w:rPr>
          <w:lang w:val="en-NZ"/>
        </w:rPr>
        <w:t xml:space="preserve">and/or fish prices </w:t>
      </w:r>
      <w:r w:rsidRPr="008158F0">
        <w:rPr>
          <w:lang w:val="en-NZ"/>
        </w:rPr>
        <w:t>are low.</w:t>
      </w:r>
      <w:r w:rsidR="007F480D" w:rsidRPr="008158F0">
        <w:rPr>
          <w:lang w:val="en-NZ"/>
        </w:rPr>
        <w:t xml:space="preserve"> </w:t>
      </w:r>
      <w:r w:rsidR="008158F0" w:rsidRPr="008158F0">
        <w:rPr>
          <w:lang w:val="en-US"/>
        </w:rPr>
        <w:t>The complexity of certain steps in the scientific process in E</w:t>
      </w:r>
      <w:r w:rsidR="003D6EB9">
        <w:rPr>
          <w:lang w:val="en-US"/>
        </w:rPr>
        <w:t>U</w:t>
      </w:r>
      <w:r w:rsidR="008158F0" w:rsidRPr="008158F0">
        <w:rPr>
          <w:lang w:val="en-US"/>
        </w:rPr>
        <w:t xml:space="preserve"> fisheries, as for example the data collection and integration (Gascuel et al. 2012), </w:t>
      </w:r>
      <w:r w:rsidR="009C1432">
        <w:rPr>
          <w:lang w:val="en-US"/>
        </w:rPr>
        <w:t xml:space="preserve">particularly for non-targeted species, </w:t>
      </w:r>
      <w:r w:rsidR="008158F0" w:rsidRPr="008158F0">
        <w:rPr>
          <w:lang w:val="en-US"/>
        </w:rPr>
        <w:t>makes it more demanding in funding tha</w:t>
      </w:r>
      <w:r w:rsidR="009C1432">
        <w:rPr>
          <w:lang w:val="en-US"/>
        </w:rPr>
        <w:t>n</w:t>
      </w:r>
      <w:r w:rsidR="008158F0" w:rsidRPr="008158F0">
        <w:rPr>
          <w:lang w:val="en-US"/>
        </w:rPr>
        <w:t xml:space="preserve"> </w:t>
      </w:r>
      <w:r w:rsidR="002B76EF">
        <w:rPr>
          <w:lang w:val="en-US"/>
        </w:rPr>
        <w:t xml:space="preserve">in </w:t>
      </w:r>
      <w:r w:rsidR="008158F0" w:rsidRPr="008158F0">
        <w:rPr>
          <w:lang w:val="en-US"/>
        </w:rPr>
        <w:t>single</w:t>
      </w:r>
      <w:r w:rsidR="009C1432">
        <w:rPr>
          <w:lang w:val="en-US"/>
        </w:rPr>
        <w:t>-nation</w:t>
      </w:r>
      <w:r w:rsidR="008158F0" w:rsidRPr="008158F0">
        <w:rPr>
          <w:lang w:val="en-US"/>
        </w:rPr>
        <w:t xml:space="preserve"> fisheries, thus making it difficult to cover by cost recovery alone.</w:t>
      </w:r>
      <w:r w:rsidR="00D51231">
        <w:rPr>
          <w:lang w:val="en-US"/>
        </w:rPr>
        <w:t xml:space="preserve"> In addition, applying a cost</w:t>
      </w:r>
      <w:r w:rsidR="00AE7FDF">
        <w:rPr>
          <w:lang w:val="en-US"/>
        </w:rPr>
        <w:t xml:space="preserve"> </w:t>
      </w:r>
      <w:r w:rsidR="00D51231">
        <w:rPr>
          <w:lang w:val="en-US"/>
        </w:rPr>
        <w:t>recovery system requires solving core questions such as how levies would be applied to fishers and/or quota holders (Motos and Wilson 2006), which in the EU supra-national context could be a thorny issue.</w:t>
      </w:r>
    </w:p>
    <w:p w:rsidR="00594CA6" w:rsidRDefault="00686FA7" w:rsidP="00A51148">
      <w:pPr>
        <w:suppressLineNumbers w:val="0"/>
        <w:spacing w:line="480" w:lineRule="auto"/>
        <w:rPr>
          <w:lang w:val="en-NZ"/>
        </w:rPr>
      </w:pPr>
      <w:r>
        <w:rPr>
          <w:lang w:val="en-NZ"/>
        </w:rPr>
        <w:t xml:space="preserve">For over two decades, </w:t>
      </w:r>
      <w:r w:rsidR="00594CA6">
        <w:rPr>
          <w:lang w:val="en-NZ"/>
        </w:rPr>
        <w:t xml:space="preserve">New Zealand and Australia </w:t>
      </w:r>
      <w:r w:rsidR="00C741C4">
        <w:rPr>
          <w:lang w:val="en-NZ"/>
        </w:rPr>
        <w:t xml:space="preserve">have </w:t>
      </w:r>
      <w:r w:rsidR="00594CA6">
        <w:rPr>
          <w:lang w:val="en-NZ"/>
        </w:rPr>
        <w:t>ha</w:t>
      </w:r>
      <w:r>
        <w:rPr>
          <w:lang w:val="en-NZ"/>
        </w:rPr>
        <w:t>d</w:t>
      </w:r>
      <w:r w:rsidR="00594CA6">
        <w:rPr>
          <w:lang w:val="en-NZ"/>
        </w:rPr>
        <w:t xml:space="preserve"> explicit legally-binding fisheries management targets in their founding decrees. To achieve these targets, New Zealand and Australian authorities adopted management strategies </w:t>
      </w:r>
      <w:r w:rsidR="00E63D65">
        <w:rPr>
          <w:lang w:val="en-NZ"/>
        </w:rPr>
        <w:t>applicable to</w:t>
      </w:r>
      <w:r w:rsidR="00594CA6">
        <w:rPr>
          <w:lang w:val="en-NZ"/>
        </w:rPr>
        <w:t xml:space="preserve"> almost all fisheries resources, including data-limited species</w:t>
      </w:r>
      <w:r w:rsidR="00EF5A1A">
        <w:rPr>
          <w:lang w:val="en-NZ"/>
        </w:rPr>
        <w:t xml:space="preserve"> (DLS)</w:t>
      </w:r>
      <w:r w:rsidR="005C38DE">
        <w:rPr>
          <w:lang w:val="en-NZ"/>
        </w:rPr>
        <w:t xml:space="preserve"> (Dowling et al 2014)</w:t>
      </w:r>
      <w:r w:rsidR="00594CA6">
        <w:rPr>
          <w:lang w:val="en-NZ"/>
        </w:rPr>
        <w:t>. This approach to comprehensive and objective-based management has generally brought TAC</w:t>
      </w:r>
      <w:r w:rsidR="003D6EB9">
        <w:rPr>
          <w:lang w:val="en-NZ"/>
        </w:rPr>
        <w:t>-</w:t>
      </w:r>
      <w:r w:rsidR="00594CA6">
        <w:rPr>
          <w:lang w:val="en-NZ"/>
        </w:rPr>
        <w:t xml:space="preserve">setting </w:t>
      </w:r>
      <w:r w:rsidR="005B79ED">
        <w:rPr>
          <w:lang w:val="en-NZ"/>
        </w:rPr>
        <w:t xml:space="preserve">equal or </w:t>
      </w:r>
      <w:r w:rsidR="00594CA6">
        <w:rPr>
          <w:lang w:val="en-NZ"/>
        </w:rPr>
        <w:t xml:space="preserve">close to </w:t>
      </w:r>
      <w:r w:rsidR="00594CA6" w:rsidRPr="0012328C">
        <w:rPr>
          <w:rFonts w:cstheme="minorHAnsi"/>
          <w:lang w:val="en-NZ"/>
        </w:rPr>
        <w:t xml:space="preserve">scientific advice in these countries. </w:t>
      </w:r>
      <w:r w:rsidR="00655C89" w:rsidRPr="00150C17">
        <w:rPr>
          <w:rFonts w:cstheme="minorHAnsi"/>
          <w:lang w:val="en-NZ"/>
        </w:rPr>
        <w:t>I</w:t>
      </w:r>
      <w:r w:rsidR="00655C89" w:rsidRPr="00150C17">
        <w:rPr>
          <w:rFonts w:cstheme="minorHAnsi"/>
          <w:lang w:val="en-US"/>
        </w:rPr>
        <w:t>n the EU</w:t>
      </w:r>
      <w:r w:rsidR="00655C89">
        <w:rPr>
          <w:rFonts w:cstheme="minorHAnsi"/>
          <w:lang w:val="en-US"/>
        </w:rPr>
        <w:t xml:space="preserve"> and in Iceland</w:t>
      </w:r>
      <w:r w:rsidR="00655C89" w:rsidRPr="00150C17">
        <w:rPr>
          <w:rFonts w:cstheme="minorHAnsi"/>
          <w:lang w:val="en-US"/>
        </w:rPr>
        <w:t>,</w:t>
      </w:r>
      <w:r w:rsidR="00655C89">
        <w:rPr>
          <w:rFonts w:cstheme="minorHAnsi"/>
          <w:lang w:val="en-US"/>
        </w:rPr>
        <w:t xml:space="preserve"> </w:t>
      </w:r>
      <w:r w:rsidR="00655C89" w:rsidRPr="00150C17">
        <w:rPr>
          <w:rFonts w:cstheme="minorHAnsi"/>
          <w:lang w:val="en-US"/>
        </w:rPr>
        <w:t xml:space="preserve">the </w:t>
      </w:r>
      <w:r w:rsidR="00655C89">
        <w:rPr>
          <w:rFonts w:cstheme="minorHAnsi"/>
          <w:lang w:val="en-US"/>
        </w:rPr>
        <w:t xml:space="preserve">lack of quantitative management objectives, until recently, </w:t>
      </w:r>
      <w:r w:rsidR="00655C89" w:rsidRPr="00150C17">
        <w:rPr>
          <w:rFonts w:cstheme="minorHAnsi"/>
          <w:lang w:val="en-US"/>
        </w:rPr>
        <w:t>for those fisheries not subject to a management plan often resulted in TAC</w:t>
      </w:r>
      <w:r w:rsidR="00655C89">
        <w:rPr>
          <w:rFonts w:cstheme="minorHAnsi"/>
          <w:lang w:val="en-US"/>
        </w:rPr>
        <w:t>s</w:t>
      </w:r>
      <w:r w:rsidR="00655C89" w:rsidRPr="00150C17">
        <w:rPr>
          <w:rFonts w:cstheme="minorHAnsi"/>
          <w:lang w:val="en-US"/>
        </w:rPr>
        <w:t xml:space="preserve"> being set above </w:t>
      </w:r>
      <w:r w:rsidR="00655C89">
        <w:rPr>
          <w:rFonts w:cstheme="minorHAnsi"/>
          <w:lang w:val="en-US"/>
        </w:rPr>
        <w:t>a</w:t>
      </w:r>
      <w:r w:rsidR="00655C89" w:rsidRPr="00150C17">
        <w:rPr>
          <w:rFonts w:cstheme="minorHAnsi"/>
          <w:lang w:val="en-US"/>
        </w:rPr>
        <w:t xml:space="preserve">dvised </w:t>
      </w:r>
      <w:r w:rsidR="00655C89">
        <w:rPr>
          <w:rFonts w:cstheme="minorHAnsi"/>
          <w:lang w:val="en-US"/>
        </w:rPr>
        <w:t>catches. The deviation between TAC setting and scientific advice has also likely been nurtured, in Iceland</w:t>
      </w:r>
      <w:r w:rsidR="000570C2">
        <w:rPr>
          <w:rFonts w:cstheme="minorHAnsi"/>
          <w:lang w:val="en-US"/>
        </w:rPr>
        <w:t>, by quota carry-over allowances, and i</w:t>
      </w:r>
      <w:r w:rsidR="00594CA6" w:rsidRPr="00150C17">
        <w:rPr>
          <w:rFonts w:cstheme="minorHAnsi"/>
          <w:lang w:val="en-US"/>
        </w:rPr>
        <w:t>n the EU,</w:t>
      </w:r>
      <w:r w:rsidR="00EF5A1A">
        <w:rPr>
          <w:rFonts w:cstheme="minorHAnsi"/>
          <w:lang w:val="en-US"/>
        </w:rPr>
        <w:t xml:space="preserve"> </w:t>
      </w:r>
      <w:r w:rsidR="000570C2">
        <w:rPr>
          <w:rFonts w:cstheme="minorHAnsi"/>
          <w:lang w:val="en-US"/>
        </w:rPr>
        <w:t xml:space="preserve">by </w:t>
      </w:r>
      <w:r w:rsidR="00EF5A1A" w:rsidRPr="00150C17">
        <w:rPr>
          <w:rFonts w:cstheme="minorHAnsi"/>
          <w:lang w:val="en-US"/>
        </w:rPr>
        <w:t>the complexity of regulations</w:t>
      </w:r>
      <w:r w:rsidR="000570C2">
        <w:rPr>
          <w:rFonts w:cstheme="minorHAnsi"/>
          <w:lang w:val="en-US"/>
        </w:rPr>
        <w:t xml:space="preserve"> and</w:t>
      </w:r>
      <w:r w:rsidR="00EF5A1A" w:rsidRPr="00150C17">
        <w:rPr>
          <w:rFonts w:cstheme="minorHAnsi"/>
          <w:lang w:val="en-US"/>
        </w:rPr>
        <w:t xml:space="preserve"> differing </w:t>
      </w:r>
      <w:r w:rsidR="00525E76">
        <w:rPr>
          <w:rFonts w:cstheme="minorHAnsi"/>
          <w:lang w:val="en-US"/>
        </w:rPr>
        <w:t xml:space="preserve">socio-economic </w:t>
      </w:r>
      <w:r w:rsidR="00EF5A1A" w:rsidRPr="00150C17">
        <w:rPr>
          <w:rFonts w:cstheme="minorHAnsi"/>
          <w:lang w:val="en-US"/>
        </w:rPr>
        <w:t xml:space="preserve">interests between member states. </w:t>
      </w:r>
      <w:r w:rsidR="000570C2">
        <w:rPr>
          <w:rFonts w:cstheme="minorHAnsi"/>
          <w:lang w:val="en-US"/>
        </w:rPr>
        <w:t>We also showed, however</w:t>
      </w:r>
      <w:r w:rsidR="00191B7C">
        <w:rPr>
          <w:rFonts w:cstheme="minorHAnsi"/>
          <w:lang w:val="en-US"/>
        </w:rPr>
        <w:t xml:space="preserve">, </w:t>
      </w:r>
      <w:r w:rsidR="000570C2">
        <w:rPr>
          <w:rFonts w:cstheme="minorHAnsi"/>
          <w:lang w:val="en-US"/>
        </w:rPr>
        <w:t xml:space="preserve">that </w:t>
      </w:r>
      <w:r w:rsidR="00191B7C">
        <w:rPr>
          <w:rFonts w:cstheme="minorHAnsi"/>
          <w:lang w:val="en-US"/>
        </w:rPr>
        <w:t>t</w:t>
      </w:r>
      <w:r w:rsidR="00EF5A1A" w:rsidRPr="00150C17">
        <w:rPr>
          <w:rFonts w:cstheme="minorHAnsi"/>
          <w:lang w:val="en-US"/>
        </w:rPr>
        <w:t xml:space="preserve">he </w:t>
      </w:r>
      <w:r w:rsidR="00191B7C">
        <w:rPr>
          <w:rFonts w:cstheme="minorHAnsi"/>
          <w:lang w:val="en-US"/>
        </w:rPr>
        <w:t>development</w:t>
      </w:r>
      <w:r w:rsidR="00594CA6" w:rsidRPr="00150C17">
        <w:rPr>
          <w:rFonts w:cstheme="minorHAnsi"/>
          <w:lang w:val="en-US"/>
        </w:rPr>
        <w:t xml:space="preserve"> of management plans </w:t>
      </w:r>
      <w:r w:rsidR="00191B7C">
        <w:rPr>
          <w:rFonts w:cstheme="minorHAnsi"/>
          <w:lang w:val="en-US"/>
        </w:rPr>
        <w:t>for</w:t>
      </w:r>
      <w:r w:rsidR="00594CA6" w:rsidRPr="00150C17">
        <w:rPr>
          <w:rFonts w:cstheme="minorHAnsi"/>
          <w:lang w:val="en-US"/>
        </w:rPr>
        <w:t xml:space="preserve"> several key stocks has alleviated the discrepancy between </w:t>
      </w:r>
      <w:r w:rsidR="000570C2">
        <w:rPr>
          <w:rFonts w:cstheme="minorHAnsi"/>
          <w:lang w:val="en-US"/>
        </w:rPr>
        <w:t xml:space="preserve">EU </w:t>
      </w:r>
      <w:r w:rsidR="00594CA6" w:rsidRPr="00150C17">
        <w:rPr>
          <w:rFonts w:cstheme="minorHAnsi"/>
          <w:lang w:val="en-US"/>
        </w:rPr>
        <w:t xml:space="preserve">TACs and ICES </w:t>
      </w:r>
      <w:r w:rsidR="00594CA6" w:rsidRPr="006C556D">
        <w:rPr>
          <w:rFonts w:cstheme="minorHAnsi"/>
          <w:lang w:val="en-US"/>
        </w:rPr>
        <w:t>advice in the North-East Atlantic</w:t>
      </w:r>
      <w:r w:rsidR="00396E5E" w:rsidRPr="006C556D">
        <w:rPr>
          <w:rFonts w:cstheme="minorHAnsi"/>
          <w:lang w:val="en-US"/>
        </w:rPr>
        <w:t xml:space="preserve">. </w:t>
      </w:r>
      <w:r w:rsidR="00FD0C1F" w:rsidRPr="006C556D">
        <w:rPr>
          <w:rFonts w:cstheme="minorHAnsi"/>
          <w:lang w:val="en-US"/>
        </w:rPr>
        <w:t>Following the 201</w:t>
      </w:r>
      <w:r w:rsidR="006C556D" w:rsidRPr="006C556D">
        <w:rPr>
          <w:rFonts w:cstheme="minorHAnsi"/>
          <w:lang w:val="en-US"/>
        </w:rPr>
        <w:t>3</w:t>
      </w:r>
      <w:r w:rsidR="00FD0C1F" w:rsidRPr="006C556D">
        <w:rPr>
          <w:rFonts w:cstheme="minorHAnsi"/>
          <w:lang w:val="en-US"/>
        </w:rPr>
        <w:t xml:space="preserve"> CFP Reform</w:t>
      </w:r>
      <w:r w:rsidR="001009CB">
        <w:rPr>
          <w:rFonts w:cstheme="minorHAnsi"/>
          <w:lang w:val="en-US"/>
        </w:rPr>
        <w:t>,</w:t>
      </w:r>
      <w:r w:rsidR="00FD0C1F" w:rsidRPr="006C556D">
        <w:rPr>
          <w:rFonts w:cstheme="minorHAnsi"/>
          <w:lang w:val="en-US"/>
        </w:rPr>
        <w:t xml:space="preserve"> the gradual establishment of</w:t>
      </w:r>
      <w:r w:rsidR="00FD0C1F">
        <w:rPr>
          <w:rFonts w:cstheme="minorHAnsi"/>
          <w:lang w:val="en-US"/>
        </w:rPr>
        <w:t xml:space="preserve"> MSY as a management target for all fish stocks</w:t>
      </w:r>
      <w:r w:rsidR="007561A3">
        <w:rPr>
          <w:rFonts w:cstheme="minorHAnsi"/>
          <w:lang w:val="en-US"/>
        </w:rPr>
        <w:t xml:space="preserve"> (</w:t>
      </w:r>
      <w:r w:rsidR="00FD0C1F">
        <w:rPr>
          <w:rFonts w:cstheme="minorHAnsi"/>
          <w:lang w:val="en-US"/>
        </w:rPr>
        <w:t>including DLS</w:t>
      </w:r>
      <w:r w:rsidR="007561A3">
        <w:rPr>
          <w:rFonts w:cstheme="minorHAnsi"/>
          <w:lang w:val="en-US"/>
        </w:rPr>
        <w:t>)</w:t>
      </w:r>
      <w:r w:rsidR="00FD0C1F">
        <w:rPr>
          <w:rFonts w:cstheme="minorHAnsi"/>
          <w:lang w:val="en-US"/>
        </w:rPr>
        <w:t xml:space="preserve"> </w:t>
      </w:r>
      <w:r w:rsidR="001009CB">
        <w:rPr>
          <w:rFonts w:cstheme="minorHAnsi"/>
          <w:lang w:val="en-US"/>
        </w:rPr>
        <w:t>may potentially render</w:t>
      </w:r>
      <w:r w:rsidR="00C167CC">
        <w:rPr>
          <w:lang w:val="en-NZ"/>
        </w:rPr>
        <w:t xml:space="preserve"> EU</w:t>
      </w:r>
      <w:r w:rsidR="00594CA6" w:rsidRPr="00150C17">
        <w:rPr>
          <w:lang w:val="en-NZ"/>
        </w:rPr>
        <w:t xml:space="preserve"> </w:t>
      </w:r>
      <w:r w:rsidR="00FD0C1F">
        <w:rPr>
          <w:lang w:val="en-NZ"/>
        </w:rPr>
        <w:t xml:space="preserve">TAC decision-making increasingly </w:t>
      </w:r>
      <w:r w:rsidR="00C167CC">
        <w:rPr>
          <w:lang w:val="en-NZ"/>
        </w:rPr>
        <w:t>consistent</w:t>
      </w:r>
      <w:r w:rsidR="00FD0C1F">
        <w:rPr>
          <w:lang w:val="en-NZ"/>
        </w:rPr>
        <w:t xml:space="preserve"> with scientific advice</w:t>
      </w:r>
      <w:r w:rsidR="00594CA6" w:rsidRPr="00150C17">
        <w:rPr>
          <w:rFonts w:cstheme="minorHAnsi"/>
          <w:lang w:val="en-US"/>
        </w:rPr>
        <w:t>.</w:t>
      </w:r>
      <w:r w:rsidR="00594CA6" w:rsidRPr="00150C17">
        <w:rPr>
          <w:lang w:val="en-NZ"/>
        </w:rPr>
        <w:t xml:space="preserve"> It is also worth not</w:t>
      </w:r>
      <w:r w:rsidR="00C218DB">
        <w:rPr>
          <w:lang w:val="en-NZ"/>
        </w:rPr>
        <w:t>ing</w:t>
      </w:r>
      <w:r w:rsidR="00594CA6" w:rsidRPr="00150C17">
        <w:rPr>
          <w:lang w:val="en-NZ"/>
        </w:rPr>
        <w:t xml:space="preserve"> that ICES is now providing advice for most commercial fish stocks in the </w:t>
      </w:r>
      <w:r w:rsidR="00C218DB">
        <w:rPr>
          <w:lang w:val="en-NZ"/>
        </w:rPr>
        <w:t>Northeast Atlantic</w:t>
      </w:r>
      <w:r w:rsidR="00594CA6" w:rsidRPr="00150C17">
        <w:rPr>
          <w:lang w:val="en-NZ"/>
        </w:rPr>
        <w:t xml:space="preserve">, </w:t>
      </w:r>
      <w:r w:rsidR="00594CA6" w:rsidRPr="00150C17">
        <w:rPr>
          <w:lang w:val="en-NZ"/>
        </w:rPr>
        <w:lastRenderedPageBreak/>
        <w:t>thereby providing a scientific rationale to support the application of future EU management plans to a broader range of fisheries.</w:t>
      </w:r>
      <w:r w:rsidR="005C38DE">
        <w:rPr>
          <w:lang w:val="en-NZ"/>
        </w:rPr>
        <w:t xml:space="preserve"> The situation in the Mediterranean</w:t>
      </w:r>
      <w:r w:rsidR="00F0215E">
        <w:rPr>
          <w:lang w:val="en-NZ"/>
        </w:rPr>
        <w:t>, however,</w:t>
      </w:r>
      <w:r w:rsidR="005C38DE">
        <w:rPr>
          <w:lang w:val="en-NZ"/>
        </w:rPr>
        <w:t xml:space="preserve"> is more difficult and progress less clear (Smith and Garcia 2014</w:t>
      </w:r>
      <w:r w:rsidR="00084983">
        <w:rPr>
          <w:lang w:val="en-NZ"/>
        </w:rPr>
        <w:t>; Vasilakopoulos et al. 2014</w:t>
      </w:r>
      <w:r w:rsidR="005C38DE">
        <w:rPr>
          <w:lang w:val="en-NZ"/>
        </w:rPr>
        <w:t>).</w:t>
      </w:r>
      <w:r w:rsidR="009B6232">
        <w:rPr>
          <w:lang w:val="en-NZ"/>
        </w:rPr>
        <w:t xml:space="preserve"> The EU is showing increasing concerns about Mediterranean stocks, and the C</w:t>
      </w:r>
      <w:r w:rsidR="00AE7FDF">
        <w:rPr>
          <w:lang w:val="en-NZ"/>
        </w:rPr>
        <w:t xml:space="preserve">ommission has </w:t>
      </w:r>
      <w:r w:rsidR="009B6232">
        <w:rPr>
          <w:lang w:val="en-NZ"/>
        </w:rPr>
        <w:t xml:space="preserve">in several occasions </w:t>
      </w:r>
      <w:r w:rsidR="00AE7FDF">
        <w:rPr>
          <w:lang w:val="en-NZ"/>
        </w:rPr>
        <w:t xml:space="preserve">expressed </w:t>
      </w:r>
      <w:r w:rsidR="009B6232">
        <w:rPr>
          <w:lang w:val="en-NZ"/>
        </w:rPr>
        <w:t xml:space="preserve">the view that the recovery of Mediterranean stocks should now be regarded </w:t>
      </w:r>
      <w:r w:rsidR="003D6EB9">
        <w:rPr>
          <w:lang w:val="en-NZ"/>
        </w:rPr>
        <w:t>with</w:t>
      </w:r>
      <w:r w:rsidR="009B6232">
        <w:rPr>
          <w:lang w:val="en-NZ"/>
        </w:rPr>
        <w:t xml:space="preserve"> the highest priority (EC 2015).</w:t>
      </w:r>
    </w:p>
    <w:p w:rsidR="00063C74" w:rsidRDefault="00DA21B0" w:rsidP="00A51148">
      <w:pPr>
        <w:suppressLineNumbers w:val="0"/>
        <w:spacing w:line="480" w:lineRule="auto"/>
        <w:rPr>
          <w:lang w:val="en-NZ"/>
        </w:rPr>
      </w:pPr>
      <w:r>
        <w:rPr>
          <w:lang w:val="en-NZ"/>
        </w:rPr>
        <w:t>Minimum mesh sizes</w:t>
      </w:r>
      <w:r w:rsidR="00594CA6">
        <w:rPr>
          <w:lang w:val="en-NZ"/>
        </w:rPr>
        <w:t xml:space="preserve"> are </w:t>
      </w:r>
      <w:r w:rsidR="001E33BF">
        <w:rPr>
          <w:lang w:val="en-NZ"/>
        </w:rPr>
        <w:t xml:space="preserve">generally larger in </w:t>
      </w:r>
      <w:r w:rsidR="00594CA6">
        <w:rPr>
          <w:lang w:val="en-NZ"/>
        </w:rPr>
        <w:t>Iceland</w:t>
      </w:r>
      <w:r>
        <w:rPr>
          <w:lang w:val="en-NZ"/>
        </w:rPr>
        <w:t>,</w:t>
      </w:r>
      <w:r w:rsidR="00594CA6">
        <w:rPr>
          <w:lang w:val="en-NZ"/>
        </w:rPr>
        <w:t xml:space="preserve"> compared to the EU Northeast Atlantic fisheries, and even more </w:t>
      </w:r>
      <w:r w:rsidR="00C218DB">
        <w:rPr>
          <w:lang w:val="en-NZ"/>
        </w:rPr>
        <w:t xml:space="preserve">so </w:t>
      </w:r>
      <w:r w:rsidR="00594CA6">
        <w:rPr>
          <w:lang w:val="en-NZ"/>
        </w:rPr>
        <w:t>compared to the EU Mediterranean fisheries.</w:t>
      </w:r>
      <w:r w:rsidR="00B64730">
        <w:rPr>
          <w:lang w:val="en-NZ"/>
        </w:rPr>
        <w:t xml:space="preserve"> </w:t>
      </w:r>
      <w:r w:rsidR="00202954">
        <w:rPr>
          <w:lang w:val="en-NZ"/>
        </w:rPr>
        <w:t>While t</w:t>
      </w:r>
      <w:r w:rsidR="00B64730">
        <w:rPr>
          <w:lang w:val="en-NZ"/>
        </w:rPr>
        <w:t xml:space="preserve">he larger mesh size </w:t>
      </w:r>
      <w:r w:rsidR="00202954">
        <w:rPr>
          <w:lang w:val="en-NZ"/>
        </w:rPr>
        <w:t xml:space="preserve">used </w:t>
      </w:r>
      <w:r w:rsidR="00B64730">
        <w:rPr>
          <w:lang w:val="en-NZ"/>
        </w:rPr>
        <w:t xml:space="preserve">in Iceland </w:t>
      </w:r>
      <w:r w:rsidR="00202954">
        <w:rPr>
          <w:lang w:val="en-NZ"/>
        </w:rPr>
        <w:t xml:space="preserve">allows catching older fish, it is also important to note that for the same species, the age/size at maturity is substantially lower in EU waters. This is </w:t>
      </w:r>
      <w:r w:rsidR="00B64730">
        <w:rPr>
          <w:lang w:val="en-NZ"/>
        </w:rPr>
        <w:t>also reflect</w:t>
      </w:r>
      <w:r w:rsidR="00202954">
        <w:rPr>
          <w:lang w:val="en-NZ"/>
        </w:rPr>
        <w:t>ed by</w:t>
      </w:r>
      <w:r w:rsidR="00B64730">
        <w:rPr>
          <w:lang w:val="en-NZ"/>
        </w:rPr>
        <w:t xml:space="preserve"> larger </w:t>
      </w:r>
      <w:r w:rsidR="006935D8">
        <w:rPr>
          <w:lang w:val="en-NZ"/>
        </w:rPr>
        <w:t>m</w:t>
      </w:r>
      <w:r w:rsidR="00B64730">
        <w:rPr>
          <w:lang w:val="en-NZ"/>
        </w:rPr>
        <w:t xml:space="preserve">inimum </w:t>
      </w:r>
      <w:r w:rsidR="006935D8">
        <w:rPr>
          <w:lang w:val="en-NZ"/>
        </w:rPr>
        <w:t>c</w:t>
      </w:r>
      <w:r w:rsidR="00202954">
        <w:rPr>
          <w:lang w:val="en-NZ"/>
        </w:rPr>
        <w:t>atch/</w:t>
      </w:r>
      <w:r w:rsidR="006935D8">
        <w:rPr>
          <w:lang w:val="en-NZ"/>
        </w:rPr>
        <w:t>landing s</w:t>
      </w:r>
      <w:r w:rsidR="00B64730">
        <w:rPr>
          <w:lang w:val="en-NZ"/>
        </w:rPr>
        <w:t>izes</w:t>
      </w:r>
      <w:r w:rsidR="00202954">
        <w:rPr>
          <w:lang w:val="en-NZ"/>
        </w:rPr>
        <w:t xml:space="preserve"> in Icelandic Seas in comparison to EU waters</w:t>
      </w:r>
      <w:r w:rsidR="006F097B">
        <w:rPr>
          <w:lang w:val="en-NZ"/>
        </w:rPr>
        <w:t xml:space="preserve"> (ICES 2015a; ICES 2015b)</w:t>
      </w:r>
      <w:r w:rsidR="00B64730">
        <w:rPr>
          <w:lang w:val="en-NZ"/>
        </w:rPr>
        <w:t>. Considering cod</w:t>
      </w:r>
      <w:r w:rsidR="006935D8">
        <w:rPr>
          <w:lang w:val="en-NZ"/>
        </w:rPr>
        <w:t xml:space="preserve"> as an example</w:t>
      </w:r>
      <w:r w:rsidR="00B64730">
        <w:rPr>
          <w:lang w:val="en-NZ"/>
        </w:rPr>
        <w:t xml:space="preserve">, </w:t>
      </w:r>
      <w:r w:rsidR="006F097B">
        <w:rPr>
          <w:lang w:val="en-NZ"/>
        </w:rPr>
        <w:t>s</w:t>
      </w:r>
      <w:r w:rsidR="006935D8">
        <w:rPr>
          <w:lang w:val="en-NZ"/>
        </w:rPr>
        <w:t xml:space="preserve">tudies carried out in the Baltic Sea and the North Sea suggest that the L50 (length at half retention) range obtained with current mesh sizes </w:t>
      </w:r>
      <w:r w:rsidR="00EE5008">
        <w:rPr>
          <w:lang w:val="en-NZ"/>
        </w:rPr>
        <w:t xml:space="preserve">and gear configurations </w:t>
      </w:r>
      <w:r w:rsidR="006935D8">
        <w:rPr>
          <w:lang w:val="en-NZ"/>
        </w:rPr>
        <w:t xml:space="preserve">used by </w:t>
      </w:r>
      <w:r w:rsidR="006E685E">
        <w:rPr>
          <w:lang w:val="en-NZ"/>
        </w:rPr>
        <w:t>trawl</w:t>
      </w:r>
      <w:r w:rsidR="006935D8">
        <w:rPr>
          <w:lang w:val="en-NZ"/>
        </w:rPr>
        <w:t xml:space="preserve">ers </w:t>
      </w:r>
      <w:r w:rsidR="00EE5008">
        <w:rPr>
          <w:lang w:val="en-NZ"/>
        </w:rPr>
        <w:t>is</w:t>
      </w:r>
      <w:r w:rsidR="00825502">
        <w:rPr>
          <w:lang w:val="en-NZ"/>
        </w:rPr>
        <w:t xml:space="preserve"> generally</w:t>
      </w:r>
      <w:r w:rsidR="00EE5008">
        <w:rPr>
          <w:lang w:val="en-NZ"/>
        </w:rPr>
        <w:t xml:space="preserve"> above </w:t>
      </w:r>
      <w:r w:rsidR="006F097B">
        <w:rPr>
          <w:lang w:val="en-NZ"/>
        </w:rPr>
        <w:t>MLS</w:t>
      </w:r>
      <w:r w:rsidR="00EE5008">
        <w:rPr>
          <w:lang w:val="en-NZ"/>
        </w:rPr>
        <w:t xml:space="preserve"> </w:t>
      </w:r>
      <w:r w:rsidR="00825502">
        <w:rPr>
          <w:lang w:val="en-NZ"/>
        </w:rPr>
        <w:t xml:space="preserve">except </w:t>
      </w:r>
      <w:r w:rsidR="00EE5008">
        <w:rPr>
          <w:lang w:val="en-NZ"/>
        </w:rPr>
        <w:t xml:space="preserve">when </w:t>
      </w:r>
      <w:r w:rsidR="00825502">
        <w:rPr>
          <w:lang w:val="en-NZ"/>
        </w:rPr>
        <w:t xml:space="preserve">they </w:t>
      </w:r>
      <w:r w:rsidR="00EE5008">
        <w:rPr>
          <w:lang w:val="en-NZ"/>
        </w:rPr>
        <w:t xml:space="preserve">target other species </w:t>
      </w:r>
      <w:r w:rsidR="00825502">
        <w:rPr>
          <w:lang w:val="en-NZ"/>
        </w:rPr>
        <w:t xml:space="preserve">than cod </w:t>
      </w:r>
      <w:r w:rsidR="00EE5008">
        <w:rPr>
          <w:lang w:val="en-NZ"/>
        </w:rPr>
        <w:t xml:space="preserve">(Graham et al. 2004; </w:t>
      </w:r>
      <w:r w:rsidR="00251527">
        <w:rPr>
          <w:lang w:val="en-NZ"/>
        </w:rPr>
        <w:t xml:space="preserve">Graham et al. </w:t>
      </w:r>
      <w:r w:rsidR="00A25368">
        <w:rPr>
          <w:lang w:val="en-NZ"/>
        </w:rPr>
        <w:t>200</w:t>
      </w:r>
      <w:r w:rsidR="00251527">
        <w:rPr>
          <w:lang w:val="en-NZ"/>
        </w:rPr>
        <w:t>7</w:t>
      </w:r>
      <w:r w:rsidR="00A25368">
        <w:rPr>
          <w:lang w:val="en-NZ"/>
        </w:rPr>
        <w:t>; Madsen 2007</w:t>
      </w:r>
      <w:r w:rsidR="00EE5008">
        <w:rPr>
          <w:lang w:val="en-NZ"/>
        </w:rPr>
        <w:t>).</w:t>
      </w:r>
      <w:r w:rsidR="00D02BD8">
        <w:rPr>
          <w:lang w:val="en-NZ"/>
        </w:rPr>
        <w:t xml:space="preserve"> Although we were not aware of </w:t>
      </w:r>
      <w:r w:rsidR="006B5FBA">
        <w:rPr>
          <w:lang w:val="en-NZ"/>
        </w:rPr>
        <w:t>recent</w:t>
      </w:r>
      <w:r w:rsidR="00D02BD8">
        <w:rPr>
          <w:lang w:val="en-NZ"/>
        </w:rPr>
        <w:t xml:space="preserve"> selectivity studies </w:t>
      </w:r>
      <w:r w:rsidR="006B5FBA">
        <w:rPr>
          <w:lang w:val="en-NZ"/>
        </w:rPr>
        <w:t>focused on</w:t>
      </w:r>
      <w:r w:rsidR="00D02BD8">
        <w:rPr>
          <w:lang w:val="en-NZ"/>
        </w:rPr>
        <w:t xml:space="preserve"> Icelandic </w:t>
      </w:r>
      <w:r w:rsidR="006B5FBA">
        <w:rPr>
          <w:lang w:val="en-NZ"/>
        </w:rPr>
        <w:t>cod</w:t>
      </w:r>
      <w:r w:rsidR="00D02BD8">
        <w:rPr>
          <w:lang w:val="en-NZ"/>
        </w:rPr>
        <w:t>, experiments carried out in the Barents Sea</w:t>
      </w:r>
      <w:r w:rsidR="006935D8">
        <w:rPr>
          <w:lang w:val="en-NZ"/>
        </w:rPr>
        <w:t xml:space="preserve"> </w:t>
      </w:r>
      <w:r w:rsidR="00D02BD8">
        <w:rPr>
          <w:lang w:val="en-NZ"/>
        </w:rPr>
        <w:t xml:space="preserve">(i.e., at a comparable latitude to Icelandic waters) </w:t>
      </w:r>
      <w:r w:rsidR="005805C3">
        <w:rPr>
          <w:lang w:val="en-NZ"/>
        </w:rPr>
        <w:t xml:space="preserve">suggest that the L50 obtained with the current range of </w:t>
      </w:r>
      <w:r w:rsidR="006E685E">
        <w:rPr>
          <w:lang w:val="en-NZ"/>
        </w:rPr>
        <w:t xml:space="preserve">trawl </w:t>
      </w:r>
      <w:r w:rsidR="005805C3">
        <w:rPr>
          <w:lang w:val="en-NZ"/>
        </w:rPr>
        <w:t xml:space="preserve">mesh sizes used in Iceland is larger than the </w:t>
      </w:r>
      <w:r w:rsidR="006F097B">
        <w:rPr>
          <w:lang w:val="en-NZ"/>
        </w:rPr>
        <w:t>MC</w:t>
      </w:r>
      <w:r w:rsidR="007B2D8B">
        <w:rPr>
          <w:lang w:val="en-NZ"/>
        </w:rPr>
        <w:t>S</w:t>
      </w:r>
      <w:r w:rsidR="006F097B">
        <w:rPr>
          <w:lang w:val="en-NZ"/>
        </w:rPr>
        <w:t xml:space="preserve"> </w:t>
      </w:r>
      <w:r w:rsidR="005805C3">
        <w:rPr>
          <w:lang w:val="en-NZ"/>
        </w:rPr>
        <w:t>when targeting cod</w:t>
      </w:r>
      <w:r w:rsidR="004B6B49">
        <w:rPr>
          <w:lang w:val="en-NZ"/>
        </w:rPr>
        <w:t xml:space="preserve">, </w:t>
      </w:r>
      <w:r w:rsidR="005805C3">
        <w:rPr>
          <w:lang w:val="en-NZ"/>
        </w:rPr>
        <w:t xml:space="preserve">but not when targeting redfish (Sistiaga et al. 2011). </w:t>
      </w:r>
      <w:r w:rsidR="001E33BF">
        <w:rPr>
          <w:lang w:val="en-NZ"/>
        </w:rPr>
        <w:t xml:space="preserve"> </w:t>
      </w:r>
      <w:r w:rsidR="00063C74">
        <w:rPr>
          <w:lang w:val="en-NZ"/>
        </w:rPr>
        <w:t xml:space="preserve">These results suggest that </w:t>
      </w:r>
      <w:r w:rsidR="006E685E">
        <w:rPr>
          <w:lang w:val="en-NZ"/>
        </w:rPr>
        <w:t xml:space="preserve">current </w:t>
      </w:r>
      <w:r w:rsidR="00063C74">
        <w:rPr>
          <w:lang w:val="en-NZ"/>
        </w:rPr>
        <w:t xml:space="preserve">mesh sizes used by Icelandic and EU Northeast Atlantic </w:t>
      </w:r>
      <w:r w:rsidR="006E685E">
        <w:rPr>
          <w:lang w:val="en-NZ"/>
        </w:rPr>
        <w:t xml:space="preserve">trawl </w:t>
      </w:r>
      <w:r w:rsidR="00063C74">
        <w:rPr>
          <w:lang w:val="en-NZ"/>
        </w:rPr>
        <w:t xml:space="preserve">fisheries are reasonably consistent with prevailing MCS/MLS </w:t>
      </w:r>
      <w:r w:rsidR="00D64FAE">
        <w:rPr>
          <w:lang w:val="en-NZ"/>
        </w:rPr>
        <w:t xml:space="preserve">regulations </w:t>
      </w:r>
      <w:r w:rsidR="00063C74">
        <w:rPr>
          <w:lang w:val="en-NZ"/>
        </w:rPr>
        <w:t xml:space="preserve">when targeting cod, but not when targeting other species. This is </w:t>
      </w:r>
      <w:r w:rsidR="006F097B">
        <w:rPr>
          <w:lang w:val="en-NZ"/>
        </w:rPr>
        <w:t xml:space="preserve">perhaps </w:t>
      </w:r>
      <w:r w:rsidR="00063C74">
        <w:rPr>
          <w:lang w:val="en-NZ"/>
        </w:rPr>
        <w:t xml:space="preserve">not a </w:t>
      </w:r>
      <w:r w:rsidR="006F097B">
        <w:rPr>
          <w:lang w:val="en-NZ"/>
        </w:rPr>
        <w:t>major</w:t>
      </w:r>
      <w:r w:rsidR="00063C74">
        <w:rPr>
          <w:lang w:val="en-NZ"/>
        </w:rPr>
        <w:t xml:space="preserve"> issue for the directed Icelandic cod fisheries</w:t>
      </w:r>
      <w:r w:rsidR="006E685E">
        <w:rPr>
          <w:lang w:val="en-NZ"/>
        </w:rPr>
        <w:t>, but it is an important one for complex EU trawl fisheries catching a variety of species of different life-history characteristics</w:t>
      </w:r>
      <w:r w:rsidR="004C6BA6">
        <w:rPr>
          <w:lang w:val="en-NZ"/>
        </w:rPr>
        <w:t xml:space="preserve"> (Marchal and Horwood 1996)</w:t>
      </w:r>
      <w:r w:rsidR="006E685E">
        <w:rPr>
          <w:lang w:val="en-NZ"/>
        </w:rPr>
        <w:t>.</w:t>
      </w:r>
    </w:p>
    <w:p w:rsidR="00594CA6" w:rsidRDefault="00594CA6" w:rsidP="00A51148">
      <w:pPr>
        <w:suppressLineNumbers w:val="0"/>
        <w:spacing w:line="480" w:lineRule="auto"/>
        <w:rPr>
          <w:lang w:val="en-NZ"/>
        </w:rPr>
      </w:pPr>
      <w:r>
        <w:rPr>
          <w:lang w:val="en-NZ"/>
        </w:rPr>
        <w:t>Attitudes towards discarding also differ across the different case studies, with a ban in New Zealand</w:t>
      </w:r>
      <w:r w:rsidR="00CE09BA">
        <w:rPr>
          <w:lang w:val="en-NZ"/>
        </w:rPr>
        <w:t>,</w:t>
      </w:r>
      <w:r>
        <w:rPr>
          <w:lang w:val="en-NZ"/>
        </w:rPr>
        <w:t xml:space="preserve"> Iceland, and some tolerance in the EU and Australia</w:t>
      </w:r>
      <w:r w:rsidR="001458E7">
        <w:rPr>
          <w:lang w:val="en-NZ"/>
        </w:rPr>
        <w:t xml:space="preserve">. </w:t>
      </w:r>
      <w:r w:rsidR="00F56424">
        <w:rPr>
          <w:lang w:val="en-NZ"/>
        </w:rPr>
        <w:t xml:space="preserve">However, it is difficult to evaluate the extent to </w:t>
      </w:r>
      <w:r w:rsidR="00F56424">
        <w:rPr>
          <w:lang w:val="en-NZ"/>
        </w:rPr>
        <w:lastRenderedPageBreak/>
        <w:t xml:space="preserve">which these diverging discard policies contributed to the contrasted management performances found in the different regions under investigation. In the EU Northeast Atlantic, the </w:t>
      </w:r>
      <w:r w:rsidR="001A7D8D">
        <w:rPr>
          <w:lang w:val="en-NZ"/>
        </w:rPr>
        <w:t>lack</w:t>
      </w:r>
      <w:r w:rsidR="00F56424">
        <w:rPr>
          <w:lang w:val="en-NZ"/>
        </w:rPr>
        <w:t xml:space="preserve"> of discard time series has </w:t>
      </w:r>
      <w:r w:rsidR="001A7D8D">
        <w:rPr>
          <w:lang w:val="en-NZ"/>
        </w:rPr>
        <w:t>for a long time hampered</w:t>
      </w:r>
      <w:r w:rsidR="00F56424">
        <w:rPr>
          <w:lang w:val="en-NZ"/>
        </w:rPr>
        <w:t xml:space="preserve"> the assessment accuracy of several fish stocks, and thereby the main scientific source for TAC-setting</w:t>
      </w:r>
      <w:r w:rsidR="001A7D8D">
        <w:rPr>
          <w:lang w:val="en-NZ"/>
        </w:rPr>
        <w:t xml:space="preserve"> (Viana et al. 2011)</w:t>
      </w:r>
      <w:r w:rsidR="00F56424">
        <w:rPr>
          <w:lang w:val="en-NZ"/>
        </w:rPr>
        <w:t>.</w:t>
      </w:r>
      <w:r w:rsidR="001A7D8D">
        <w:rPr>
          <w:lang w:val="en-NZ"/>
        </w:rPr>
        <w:t xml:space="preserve"> </w:t>
      </w:r>
      <w:r w:rsidR="00CA1B78">
        <w:rPr>
          <w:lang w:val="en-NZ"/>
        </w:rPr>
        <w:t>T</w:t>
      </w:r>
      <w:r w:rsidR="001A7D8D">
        <w:rPr>
          <w:lang w:val="en-NZ"/>
        </w:rPr>
        <w:t xml:space="preserve">he situation has improved since 2002 with the implementation of systematic discard sampling on-board fishing fleets, </w:t>
      </w:r>
      <w:r w:rsidR="00CA1B78">
        <w:rPr>
          <w:lang w:val="en-NZ"/>
        </w:rPr>
        <w:t>and some discards estimates are now available for almost all stocks</w:t>
      </w:r>
      <w:r w:rsidR="00217445">
        <w:rPr>
          <w:lang w:val="en-NZ"/>
        </w:rPr>
        <w:t xml:space="preserve"> (</w:t>
      </w:r>
      <w:r w:rsidR="00CA1B78">
        <w:rPr>
          <w:lang w:val="en-NZ"/>
        </w:rPr>
        <w:t>ICES 2013</w:t>
      </w:r>
      <w:r w:rsidR="00217445">
        <w:rPr>
          <w:lang w:val="en-NZ"/>
        </w:rPr>
        <w:t>)</w:t>
      </w:r>
      <w:r w:rsidR="001A7D8D">
        <w:rPr>
          <w:lang w:val="en-NZ"/>
        </w:rPr>
        <w:t>.</w:t>
      </w:r>
      <w:r w:rsidR="00F56424">
        <w:rPr>
          <w:lang w:val="en-NZ"/>
        </w:rPr>
        <w:t xml:space="preserve"> </w:t>
      </w:r>
      <w:r w:rsidR="001A7D8D">
        <w:rPr>
          <w:lang w:val="en-NZ"/>
        </w:rPr>
        <w:t>A</w:t>
      </w:r>
      <w:r w:rsidR="00E27EF0">
        <w:rPr>
          <w:lang w:val="en-NZ"/>
        </w:rPr>
        <w:t xml:space="preserve"> binding landing obligation</w:t>
      </w:r>
      <w:r w:rsidR="001458E7">
        <w:rPr>
          <w:lang w:val="en-NZ"/>
        </w:rPr>
        <w:t xml:space="preserve"> </w:t>
      </w:r>
      <w:r w:rsidR="006C556D">
        <w:rPr>
          <w:lang w:val="en-NZ"/>
        </w:rPr>
        <w:t>is</w:t>
      </w:r>
      <w:r w:rsidR="001458E7">
        <w:rPr>
          <w:lang w:val="en-NZ"/>
        </w:rPr>
        <w:t xml:space="preserve"> gradually com</w:t>
      </w:r>
      <w:r w:rsidR="006C556D">
        <w:rPr>
          <w:lang w:val="en-NZ"/>
        </w:rPr>
        <w:t>ing</w:t>
      </w:r>
      <w:r w:rsidR="001458E7">
        <w:rPr>
          <w:lang w:val="en-NZ"/>
        </w:rPr>
        <w:t xml:space="preserve"> into force </w:t>
      </w:r>
      <w:r>
        <w:rPr>
          <w:lang w:val="en-NZ"/>
        </w:rPr>
        <w:t>in the EU</w:t>
      </w:r>
      <w:r w:rsidR="001458E7">
        <w:rPr>
          <w:lang w:val="en-NZ"/>
        </w:rPr>
        <w:t xml:space="preserve"> over 2015-2019 (EC 2013</w:t>
      </w:r>
      <w:r>
        <w:rPr>
          <w:lang w:val="en-NZ"/>
        </w:rPr>
        <w:t>).</w:t>
      </w:r>
      <w:r w:rsidR="00F56424">
        <w:rPr>
          <w:lang w:val="en-NZ"/>
        </w:rPr>
        <w:t xml:space="preserve"> It remains to be seen </w:t>
      </w:r>
      <w:r w:rsidR="00C741C4">
        <w:rPr>
          <w:lang w:val="en-NZ"/>
        </w:rPr>
        <w:t xml:space="preserve">whether and </w:t>
      </w:r>
      <w:r w:rsidR="00351DD4">
        <w:rPr>
          <w:lang w:val="en-NZ"/>
        </w:rPr>
        <w:t>how</w:t>
      </w:r>
      <w:r w:rsidR="001A7D8D">
        <w:rPr>
          <w:lang w:val="en-NZ"/>
        </w:rPr>
        <w:t xml:space="preserve"> the EU landing obligation </w:t>
      </w:r>
      <w:r w:rsidR="00F56424">
        <w:rPr>
          <w:lang w:val="en-NZ"/>
        </w:rPr>
        <w:t xml:space="preserve">will </w:t>
      </w:r>
      <w:r w:rsidR="00351DD4">
        <w:rPr>
          <w:lang w:val="en-NZ"/>
        </w:rPr>
        <w:t>a</w:t>
      </w:r>
      <w:r w:rsidR="00F56424">
        <w:rPr>
          <w:lang w:val="en-NZ"/>
        </w:rPr>
        <w:t xml:space="preserve">ffect </w:t>
      </w:r>
      <w:r w:rsidR="001A7D8D">
        <w:rPr>
          <w:lang w:val="en-NZ"/>
        </w:rPr>
        <w:t xml:space="preserve">the precision of stock assessments and, more generally, the </w:t>
      </w:r>
      <w:r w:rsidR="00F56424">
        <w:rPr>
          <w:lang w:val="en-NZ"/>
        </w:rPr>
        <w:t xml:space="preserve">performances of the </w:t>
      </w:r>
      <w:r w:rsidR="001A7D8D">
        <w:rPr>
          <w:lang w:val="en-NZ"/>
        </w:rPr>
        <w:t xml:space="preserve">fisheries management </w:t>
      </w:r>
      <w:r w:rsidR="00F56424">
        <w:rPr>
          <w:lang w:val="en-NZ"/>
        </w:rPr>
        <w:t>system.</w:t>
      </w:r>
    </w:p>
    <w:p w:rsidR="001A7D8D" w:rsidRDefault="001A7D8D" w:rsidP="001A7D8D">
      <w:pPr>
        <w:suppressLineNumbers w:val="0"/>
        <w:spacing w:line="480" w:lineRule="auto"/>
        <w:rPr>
          <w:lang w:val="en-NZ"/>
        </w:rPr>
      </w:pPr>
      <w:r>
        <w:rPr>
          <w:lang w:val="en-NZ"/>
        </w:rPr>
        <w:t>Closed areas have been implemented in the different regions being investigated. It is, however, difficult to evaluate how successful such measures have been in achieving conservation benefits. In the North Sea, reviews of the “Plaice Box” conservation performances have suggested</w:t>
      </w:r>
      <w:r>
        <w:rPr>
          <w:lang w:val="en-US"/>
        </w:rPr>
        <w:t xml:space="preserve"> limited success (Beare et al. 2013). In Iceland, a preliminary evaluation of real-time closures suggests limited effects on juveniles’ protection. While larger areas closed for a longer time period could force vessels fishing in other areas, their effects have not been evaluated (ICES 2013).</w:t>
      </w:r>
    </w:p>
    <w:p w:rsidR="00396E5E" w:rsidRDefault="00594CA6" w:rsidP="00396E5E">
      <w:pPr>
        <w:suppressLineNumbers w:val="0"/>
        <w:spacing w:line="480" w:lineRule="auto"/>
        <w:rPr>
          <w:lang w:val="en-NZ"/>
        </w:rPr>
      </w:pPr>
      <w:r>
        <w:rPr>
          <w:lang w:val="en-NZ"/>
        </w:rPr>
        <w:t xml:space="preserve">Considering access regulation, New Zealand and Iceland have been pioneers </w:t>
      </w:r>
      <w:r w:rsidR="00951113">
        <w:rPr>
          <w:lang w:val="en-NZ"/>
        </w:rPr>
        <w:t>in implementing</w:t>
      </w:r>
      <w:r>
        <w:rPr>
          <w:lang w:val="en-NZ"/>
        </w:rPr>
        <w:t xml:space="preserve"> a generalized ITQ system to regulate access to their fisheries. Regulating fisheries by means of ITQs provides a cost-efficient way to reduce fleet overcapacity and improve economic results</w:t>
      </w:r>
      <w:r w:rsidR="00C643D3">
        <w:rPr>
          <w:lang w:val="en-NZ"/>
        </w:rPr>
        <w:t xml:space="preserve"> (Mace et al. 2014)</w:t>
      </w:r>
      <w:r>
        <w:rPr>
          <w:lang w:val="en-NZ"/>
        </w:rPr>
        <w:t xml:space="preserve">. </w:t>
      </w:r>
      <w:r w:rsidR="00AF71C8" w:rsidRPr="00F66432">
        <w:rPr>
          <w:rFonts w:cstheme="minorHAnsi"/>
          <w:color w:val="000000"/>
          <w:lang w:val="en-US"/>
        </w:rPr>
        <w:t xml:space="preserve">Since the inception of the ITQ system, </w:t>
      </w:r>
      <w:r w:rsidR="00AF71C8">
        <w:rPr>
          <w:rFonts w:cstheme="minorHAnsi"/>
          <w:color w:val="000000"/>
          <w:lang w:val="en-US"/>
        </w:rPr>
        <w:t xml:space="preserve">the </w:t>
      </w:r>
      <w:r w:rsidR="00AF71C8" w:rsidRPr="00F66432">
        <w:rPr>
          <w:rFonts w:cstheme="minorHAnsi"/>
          <w:color w:val="000000"/>
          <w:lang w:val="en-US"/>
        </w:rPr>
        <w:t xml:space="preserve">productivity </w:t>
      </w:r>
      <w:r w:rsidR="00AF71C8">
        <w:rPr>
          <w:rFonts w:cstheme="minorHAnsi"/>
          <w:color w:val="000000"/>
          <w:lang w:val="en-US"/>
        </w:rPr>
        <w:t>of</w:t>
      </w:r>
      <w:r w:rsidR="00AF71C8" w:rsidRPr="00F66432">
        <w:rPr>
          <w:rFonts w:cstheme="minorHAnsi"/>
          <w:color w:val="000000"/>
          <w:lang w:val="en-US"/>
        </w:rPr>
        <w:t xml:space="preserve"> the Icelandic </w:t>
      </w:r>
      <w:r w:rsidR="00F62E07">
        <w:rPr>
          <w:rFonts w:cstheme="minorHAnsi"/>
          <w:color w:val="000000"/>
          <w:lang w:val="en-US"/>
        </w:rPr>
        <w:t xml:space="preserve">and New Zealand </w:t>
      </w:r>
      <w:r w:rsidR="00AF71C8" w:rsidRPr="00F66432">
        <w:rPr>
          <w:rFonts w:cstheme="minorHAnsi"/>
          <w:color w:val="000000"/>
          <w:lang w:val="en-US"/>
        </w:rPr>
        <w:t>fishing industr</w:t>
      </w:r>
      <w:r w:rsidR="00F62E07">
        <w:rPr>
          <w:rFonts w:cstheme="minorHAnsi"/>
          <w:color w:val="000000"/>
          <w:lang w:val="en-US"/>
        </w:rPr>
        <w:t>ies</w:t>
      </w:r>
      <w:r w:rsidR="00AF71C8" w:rsidRPr="00F66432">
        <w:rPr>
          <w:rFonts w:cstheme="minorHAnsi"/>
          <w:color w:val="000000"/>
          <w:lang w:val="en-US"/>
        </w:rPr>
        <w:t xml:space="preserve"> ha</w:t>
      </w:r>
      <w:r w:rsidR="00D44699">
        <w:rPr>
          <w:rFonts w:cstheme="minorHAnsi"/>
          <w:color w:val="000000"/>
          <w:lang w:val="en-US"/>
        </w:rPr>
        <w:t>s</w:t>
      </w:r>
      <w:r w:rsidR="00AF71C8">
        <w:rPr>
          <w:rFonts w:cstheme="minorHAnsi"/>
          <w:color w:val="000000"/>
          <w:lang w:val="en-US"/>
        </w:rPr>
        <w:t xml:space="preserve"> increased substantially</w:t>
      </w:r>
      <w:r w:rsidR="00AF71C8" w:rsidRPr="00F66432">
        <w:rPr>
          <w:rFonts w:cstheme="minorHAnsi"/>
          <w:color w:val="000000"/>
          <w:lang w:val="en-US"/>
        </w:rPr>
        <w:t xml:space="preserve"> (</w:t>
      </w:r>
      <w:r w:rsidR="00F62E07" w:rsidRPr="00F66432">
        <w:rPr>
          <w:rFonts w:cstheme="minorHAnsi"/>
          <w:color w:val="000000"/>
          <w:lang w:val="en-US"/>
        </w:rPr>
        <w:t xml:space="preserve">Clark </w:t>
      </w:r>
      <w:r w:rsidR="00831E98">
        <w:rPr>
          <w:rFonts w:cstheme="minorHAnsi"/>
          <w:color w:val="000000"/>
          <w:lang w:val="en-US"/>
        </w:rPr>
        <w:t>and Major</w:t>
      </w:r>
      <w:r w:rsidR="00F62E07" w:rsidRPr="00F66432">
        <w:rPr>
          <w:rFonts w:cstheme="minorHAnsi"/>
          <w:color w:val="000000"/>
          <w:lang w:val="en-US"/>
        </w:rPr>
        <w:t xml:space="preserve"> 1988; Dewees 1988; Annala 1996</w:t>
      </w:r>
      <w:r w:rsidR="00F62E07">
        <w:rPr>
          <w:rFonts w:cstheme="minorHAnsi"/>
          <w:color w:val="000000"/>
          <w:lang w:val="en-US"/>
        </w:rPr>
        <w:t xml:space="preserve">; </w:t>
      </w:r>
      <w:r w:rsidR="00AF71C8" w:rsidRPr="00F66432">
        <w:rPr>
          <w:rFonts w:cstheme="minorHAnsi"/>
          <w:color w:val="000000"/>
          <w:lang w:val="en-US"/>
        </w:rPr>
        <w:t>Agnarsson 2011; Arnason 2003).</w:t>
      </w:r>
      <w:r w:rsidR="00683A55">
        <w:rPr>
          <w:rFonts w:cstheme="minorHAnsi"/>
          <w:color w:val="000000"/>
          <w:lang w:val="en-US"/>
        </w:rPr>
        <w:t xml:space="preserve"> </w:t>
      </w:r>
      <w:r>
        <w:rPr>
          <w:lang w:val="en-NZ"/>
        </w:rPr>
        <w:t xml:space="preserve">The New Zealand </w:t>
      </w:r>
      <w:r w:rsidR="00683A55">
        <w:rPr>
          <w:lang w:val="en-NZ"/>
        </w:rPr>
        <w:t>ITQ</w:t>
      </w:r>
      <w:r>
        <w:rPr>
          <w:lang w:val="en-NZ"/>
        </w:rPr>
        <w:t xml:space="preserve"> system is more </w:t>
      </w:r>
      <w:r w:rsidR="00777FCE">
        <w:rPr>
          <w:lang w:val="en-NZ"/>
        </w:rPr>
        <w:t>flexible</w:t>
      </w:r>
      <w:r>
        <w:rPr>
          <w:lang w:val="en-NZ"/>
        </w:rPr>
        <w:t xml:space="preserve"> than the Icelandic one, as any New Zealand citizen may acquire </w:t>
      </w:r>
      <w:r w:rsidR="00F120C5">
        <w:rPr>
          <w:lang w:val="en-NZ"/>
        </w:rPr>
        <w:t>ITQ or ACE</w:t>
      </w:r>
      <w:r w:rsidR="001E036D">
        <w:rPr>
          <w:lang w:val="en-NZ"/>
        </w:rPr>
        <w:t xml:space="preserve"> </w:t>
      </w:r>
      <w:r>
        <w:rPr>
          <w:lang w:val="en-NZ"/>
        </w:rPr>
        <w:t xml:space="preserve">while in Iceland, quota ownership is restricted </w:t>
      </w:r>
      <w:r w:rsidR="00F62E07">
        <w:rPr>
          <w:lang w:val="en-NZ"/>
        </w:rPr>
        <w:t xml:space="preserve">to </w:t>
      </w:r>
      <w:r w:rsidR="00146AEB">
        <w:rPr>
          <w:lang w:val="en-NZ"/>
        </w:rPr>
        <w:t>vessel own</w:t>
      </w:r>
      <w:r w:rsidR="00F62E07">
        <w:rPr>
          <w:lang w:val="en-NZ"/>
        </w:rPr>
        <w:t xml:space="preserve">ers. </w:t>
      </w:r>
      <w:r>
        <w:rPr>
          <w:lang w:val="en-NZ"/>
        </w:rPr>
        <w:t>ITQs are not fully market-driven, either in New Zealand or Iceland, where a combination of quota concentration limits and</w:t>
      </w:r>
      <w:r w:rsidR="00F120C5">
        <w:rPr>
          <w:lang w:val="en-NZ"/>
        </w:rPr>
        <w:t>/or</w:t>
      </w:r>
      <w:r>
        <w:rPr>
          <w:lang w:val="en-NZ"/>
        </w:rPr>
        <w:t xml:space="preserve"> fixed quota share allocations have been imposed to safeguard the fishing opportunities of specific communities</w:t>
      </w:r>
      <w:r w:rsidR="00996F05">
        <w:rPr>
          <w:lang w:val="en-NZ"/>
        </w:rPr>
        <w:t xml:space="preserve">, although the extent to which </w:t>
      </w:r>
      <w:r w:rsidR="00996F05">
        <w:rPr>
          <w:lang w:val="en-NZ"/>
        </w:rPr>
        <w:lastRenderedPageBreak/>
        <w:t>this has been achieved is subject to debate (</w:t>
      </w:r>
      <w:r w:rsidR="00F73F7C">
        <w:rPr>
          <w:lang w:val="en-NZ"/>
        </w:rPr>
        <w:t xml:space="preserve">Eythorsson 2000; </w:t>
      </w:r>
      <w:r w:rsidR="00996F05">
        <w:rPr>
          <w:lang w:val="en-NZ"/>
        </w:rPr>
        <w:t>Benediktsson and Karlsdottir 2013)</w:t>
      </w:r>
      <w:r>
        <w:rPr>
          <w:lang w:val="en-NZ"/>
        </w:rPr>
        <w:t xml:space="preserve">. </w:t>
      </w:r>
      <w:r w:rsidR="003A20AB">
        <w:rPr>
          <w:lang w:val="en-NZ"/>
        </w:rPr>
        <w:t>T</w:t>
      </w:r>
      <w:r>
        <w:rPr>
          <w:lang w:val="en-NZ"/>
        </w:rPr>
        <w:t>he EU has not vested authority to allocate quotas to individual fishers</w:t>
      </w:r>
      <w:r w:rsidR="00F62E07">
        <w:rPr>
          <w:lang w:val="en-NZ"/>
        </w:rPr>
        <w:t xml:space="preserve">, </w:t>
      </w:r>
      <w:r w:rsidR="003A20AB">
        <w:rPr>
          <w:lang w:val="en-NZ"/>
        </w:rPr>
        <w:t xml:space="preserve">and only </w:t>
      </w:r>
      <w:r w:rsidR="00F62E07">
        <w:rPr>
          <w:lang w:val="en-NZ"/>
        </w:rPr>
        <w:t>s</w:t>
      </w:r>
      <w:r>
        <w:rPr>
          <w:lang w:val="en-NZ"/>
        </w:rPr>
        <w:t xml:space="preserve">ome member states have </w:t>
      </w:r>
      <w:r w:rsidR="00F62E07">
        <w:rPr>
          <w:lang w:val="en-NZ"/>
        </w:rPr>
        <w:t xml:space="preserve">formally or informally </w:t>
      </w:r>
      <w:r>
        <w:rPr>
          <w:lang w:val="en-NZ"/>
        </w:rPr>
        <w:t>adopted IQ or ITQs for some of their fisheries.</w:t>
      </w:r>
    </w:p>
    <w:p w:rsidR="001655B5" w:rsidRDefault="00EC7763" w:rsidP="000148E3">
      <w:pPr>
        <w:suppressLineNumbers w:val="0"/>
        <w:spacing w:line="480" w:lineRule="auto"/>
        <w:rPr>
          <w:lang w:val="en-NZ"/>
        </w:rPr>
      </w:pPr>
      <w:r>
        <w:rPr>
          <w:lang w:val="en-NZ"/>
        </w:rPr>
        <w:t xml:space="preserve">Overall, </w:t>
      </w:r>
      <w:r w:rsidR="006F4659">
        <w:rPr>
          <w:lang w:val="en-NZ"/>
        </w:rPr>
        <w:t xml:space="preserve">the </w:t>
      </w:r>
      <w:r w:rsidR="00594CA6">
        <w:rPr>
          <w:lang w:val="en-NZ"/>
        </w:rPr>
        <w:t xml:space="preserve">management </w:t>
      </w:r>
      <w:r w:rsidR="006F4659">
        <w:rPr>
          <w:lang w:val="en-NZ"/>
        </w:rPr>
        <w:t xml:space="preserve">of domestic fisheries </w:t>
      </w:r>
      <w:r w:rsidR="00594CA6">
        <w:rPr>
          <w:lang w:val="en-NZ"/>
        </w:rPr>
        <w:t>in Australia</w:t>
      </w:r>
      <w:r w:rsidR="00C0463E">
        <w:rPr>
          <w:lang w:val="en-NZ"/>
        </w:rPr>
        <w:t xml:space="preserve"> and</w:t>
      </w:r>
      <w:r w:rsidR="00594CA6">
        <w:rPr>
          <w:lang w:val="en-NZ"/>
        </w:rPr>
        <w:t xml:space="preserve"> New Zealand has performed better than in the EU, in terms of </w:t>
      </w:r>
      <w:r w:rsidR="00154430">
        <w:rPr>
          <w:lang w:val="en-NZ"/>
        </w:rPr>
        <w:t xml:space="preserve">bringing fishing mortalities below limit reference points. However, </w:t>
      </w:r>
      <w:r w:rsidR="007F4AC8">
        <w:rPr>
          <w:lang w:val="en-NZ"/>
        </w:rPr>
        <w:t xml:space="preserve">considering </w:t>
      </w:r>
      <w:r w:rsidR="00154430">
        <w:rPr>
          <w:lang w:val="en-NZ"/>
        </w:rPr>
        <w:t xml:space="preserve">the proportion of stocks </w:t>
      </w:r>
      <w:r w:rsidR="007942C3">
        <w:rPr>
          <w:lang w:val="en-NZ"/>
        </w:rPr>
        <w:t xml:space="preserve">above </w:t>
      </w:r>
      <w:r w:rsidR="00154430">
        <w:rPr>
          <w:lang w:val="en-NZ"/>
        </w:rPr>
        <w:t xml:space="preserve">limit </w:t>
      </w:r>
      <w:r w:rsidR="007F4AC8">
        <w:rPr>
          <w:lang w:val="en-NZ"/>
        </w:rPr>
        <w:t>biomass, we also showed that the gap</w:t>
      </w:r>
      <w:r w:rsidR="00154430">
        <w:rPr>
          <w:lang w:val="en-NZ"/>
        </w:rPr>
        <w:t xml:space="preserve"> has </w:t>
      </w:r>
      <w:r w:rsidR="007F4AC8">
        <w:rPr>
          <w:lang w:val="en-NZ"/>
        </w:rPr>
        <w:t>been substantially reduced between the EU and the other jurisdictions</w:t>
      </w:r>
      <w:r w:rsidR="00154430">
        <w:rPr>
          <w:lang w:val="en-NZ"/>
        </w:rPr>
        <w:t xml:space="preserve">. </w:t>
      </w:r>
      <w:r w:rsidR="002D3135">
        <w:rPr>
          <w:lang w:val="en-NZ"/>
        </w:rPr>
        <w:t>Although i</w:t>
      </w:r>
      <w:r w:rsidR="00C0463E">
        <w:rPr>
          <w:lang w:val="en-NZ"/>
        </w:rPr>
        <w:t xml:space="preserve">t was not possible to </w:t>
      </w:r>
      <w:r w:rsidR="002D3135">
        <w:rPr>
          <w:lang w:val="en-NZ"/>
        </w:rPr>
        <w:t>test</w:t>
      </w:r>
      <w:r w:rsidR="00C0463E">
        <w:rPr>
          <w:lang w:val="en-NZ"/>
        </w:rPr>
        <w:t xml:space="preserve"> the </w:t>
      </w:r>
      <w:r w:rsidR="002D3135">
        <w:rPr>
          <w:lang w:val="en-NZ"/>
        </w:rPr>
        <w:t>differences between</w:t>
      </w:r>
      <w:r w:rsidR="00C0463E">
        <w:rPr>
          <w:lang w:val="en-NZ"/>
        </w:rPr>
        <w:t xml:space="preserve"> EU and Icelandic stocks</w:t>
      </w:r>
      <w:r w:rsidR="002D3135">
        <w:rPr>
          <w:lang w:val="en-NZ"/>
        </w:rPr>
        <w:t xml:space="preserve"> conservation status, due to the limited number of Icelandic stocks being considered, it is perhaps noteworthy that none of the Icelandic stocks were harvested beyond limit reference points</w:t>
      </w:r>
      <w:r w:rsidR="00C0463E">
        <w:rPr>
          <w:lang w:val="en-NZ"/>
        </w:rPr>
        <w:t xml:space="preserve">. </w:t>
      </w:r>
      <w:r>
        <w:rPr>
          <w:lang w:val="en-NZ"/>
        </w:rPr>
        <w:t xml:space="preserve"> </w:t>
      </w:r>
      <w:r w:rsidR="006F4659">
        <w:rPr>
          <w:lang w:val="en-NZ"/>
        </w:rPr>
        <w:t xml:space="preserve">It is, however, important to </w:t>
      </w:r>
      <w:r w:rsidR="00044043">
        <w:rPr>
          <w:lang w:val="en-NZ"/>
        </w:rPr>
        <w:t>keep in mind</w:t>
      </w:r>
      <w:r w:rsidR="006F4659">
        <w:rPr>
          <w:lang w:val="en-NZ"/>
        </w:rPr>
        <w:t xml:space="preserve"> that </w:t>
      </w:r>
      <w:r w:rsidR="00044043">
        <w:rPr>
          <w:lang w:val="en-NZ"/>
        </w:rPr>
        <w:t>our analysis did not consider</w:t>
      </w:r>
      <w:r w:rsidR="006F4659">
        <w:rPr>
          <w:lang w:val="en-NZ"/>
        </w:rPr>
        <w:t xml:space="preserve"> highly migratory species and/or straddling stocks </w:t>
      </w:r>
      <w:r w:rsidR="00DC3279">
        <w:rPr>
          <w:lang w:val="en-NZ"/>
        </w:rPr>
        <w:t xml:space="preserve">not subject to </w:t>
      </w:r>
      <w:r w:rsidR="002D3135">
        <w:rPr>
          <w:lang w:val="en-NZ"/>
        </w:rPr>
        <w:t xml:space="preserve">a </w:t>
      </w:r>
      <w:r w:rsidR="006F4659">
        <w:rPr>
          <w:lang w:val="en-NZ"/>
        </w:rPr>
        <w:t>management agreement</w:t>
      </w:r>
      <w:r w:rsidR="00044043">
        <w:rPr>
          <w:lang w:val="en-NZ"/>
        </w:rPr>
        <w:t>, as commented below</w:t>
      </w:r>
      <w:r w:rsidR="006F4659">
        <w:rPr>
          <w:lang w:val="en-NZ"/>
        </w:rPr>
        <w:t xml:space="preserve">. </w:t>
      </w:r>
      <w:r>
        <w:rPr>
          <w:lang w:val="en-NZ"/>
        </w:rPr>
        <w:t>In the EU, the lack of management objectives</w:t>
      </w:r>
      <w:r w:rsidR="003C21FC">
        <w:rPr>
          <w:lang w:val="en-NZ"/>
        </w:rPr>
        <w:t>,</w:t>
      </w:r>
      <w:r>
        <w:rPr>
          <w:lang w:val="en-NZ"/>
        </w:rPr>
        <w:t xml:space="preserve"> enforcement</w:t>
      </w:r>
      <w:r w:rsidR="003C21FC">
        <w:rPr>
          <w:lang w:val="en-NZ"/>
        </w:rPr>
        <w:t xml:space="preserve"> and stakeholder involvement in decision-making</w:t>
      </w:r>
      <w:r>
        <w:rPr>
          <w:lang w:val="en-NZ"/>
        </w:rPr>
        <w:t xml:space="preserve"> ha</w:t>
      </w:r>
      <w:r w:rsidR="003C21FC">
        <w:rPr>
          <w:lang w:val="en-NZ"/>
        </w:rPr>
        <w:t>ve</w:t>
      </w:r>
      <w:r>
        <w:rPr>
          <w:lang w:val="en-NZ"/>
        </w:rPr>
        <w:t xml:space="preserve"> repeatedly been pointed out</w:t>
      </w:r>
      <w:r w:rsidR="003C21FC">
        <w:rPr>
          <w:lang w:val="en-NZ"/>
        </w:rPr>
        <w:t xml:space="preserve"> as a likely cause for poor stock recovery (Holden 1994; </w:t>
      </w:r>
      <w:r w:rsidR="00B97E28">
        <w:rPr>
          <w:lang w:val="en-NZ"/>
        </w:rPr>
        <w:t xml:space="preserve">Sissenwine and Symes 2007; </w:t>
      </w:r>
      <w:r w:rsidR="003C21FC">
        <w:rPr>
          <w:lang w:val="en-NZ"/>
        </w:rPr>
        <w:t xml:space="preserve">Cardinale and Svedang 2008; O’Leary 2011; Da Rocha et al. 2012; Santiago et al. 2015). </w:t>
      </w:r>
      <w:r w:rsidR="001655B5">
        <w:rPr>
          <w:lang w:val="en-NZ"/>
        </w:rPr>
        <w:t xml:space="preserve">Yet, we could </w:t>
      </w:r>
      <w:r>
        <w:rPr>
          <w:lang w:val="en-NZ"/>
        </w:rPr>
        <w:t xml:space="preserve">also </w:t>
      </w:r>
      <w:r w:rsidR="001655B5">
        <w:rPr>
          <w:lang w:val="en-NZ"/>
        </w:rPr>
        <w:t xml:space="preserve">show in this study that the overall status of EU Northeast Atlantic fish stocks has substantially improved </w:t>
      </w:r>
      <w:r w:rsidR="00790FD2">
        <w:rPr>
          <w:lang w:val="en-NZ"/>
        </w:rPr>
        <w:t>over the period</w:t>
      </w:r>
      <w:r w:rsidR="001655B5">
        <w:rPr>
          <w:lang w:val="en-NZ"/>
        </w:rPr>
        <w:t xml:space="preserve"> </w:t>
      </w:r>
      <w:r w:rsidR="00790FD2">
        <w:rPr>
          <w:lang w:val="en-NZ"/>
        </w:rPr>
        <w:t>2004-</w:t>
      </w:r>
      <w:r w:rsidR="001655B5">
        <w:rPr>
          <w:lang w:val="en-NZ"/>
        </w:rPr>
        <w:t>2013</w:t>
      </w:r>
      <w:r>
        <w:rPr>
          <w:lang w:val="en-NZ"/>
        </w:rPr>
        <w:t xml:space="preserve"> (Table 3)</w:t>
      </w:r>
      <w:r w:rsidR="001655B5">
        <w:rPr>
          <w:lang w:val="en-NZ"/>
        </w:rPr>
        <w:t xml:space="preserve">, and also that TAC setting </w:t>
      </w:r>
      <w:r>
        <w:rPr>
          <w:lang w:val="en-NZ"/>
        </w:rPr>
        <w:t xml:space="preserve">is becoming </w:t>
      </w:r>
      <w:r w:rsidR="00005490">
        <w:rPr>
          <w:lang w:val="en-NZ"/>
        </w:rPr>
        <w:t>increasingly</w:t>
      </w:r>
      <w:r>
        <w:rPr>
          <w:lang w:val="en-NZ"/>
        </w:rPr>
        <w:t xml:space="preserve"> in line with scientific advice (Table 4, Figure</w:t>
      </w:r>
      <w:r w:rsidR="00790FD2">
        <w:rPr>
          <w:lang w:val="en-NZ"/>
        </w:rPr>
        <w:t>s</w:t>
      </w:r>
      <w:r>
        <w:rPr>
          <w:lang w:val="en-NZ"/>
        </w:rPr>
        <w:t xml:space="preserve"> </w:t>
      </w:r>
      <w:r w:rsidR="00A77F65">
        <w:rPr>
          <w:lang w:val="en-NZ"/>
        </w:rPr>
        <w:t>1</w:t>
      </w:r>
      <w:r w:rsidR="00790FD2">
        <w:rPr>
          <w:lang w:val="en-NZ"/>
        </w:rPr>
        <w:t xml:space="preserve"> and 2</w:t>
      </w:r>
      <w:r>
        <w:rPr>
          <w:lang w:val="en-NZ"/>
        </w:rPr>
        <w:t>).</w:t>
      </w:r>
      <w:r w:rsidR="00005490">
        <w:rPr>
          <w:lang w:val="en-NZ"/>
        </w:rPr>
        <w:t xml:space="preserve"> </w:t>
      </w:r>
      <w:r w:rsidR="007F4AC8">
        <w:rPr>
          <w:lang w:val="en-NZ"/>
        </w:rPr>
        <w:t>Our results also</w:t>
      </w:r>
      <w:r w:rsidR="00005490">
        <w:rPr>
          <w:lang w:val="en-NZ"/>
        </w:rPr>
        <w:t xml:space="preserve"> confirm </w:t>
      </w:r>
      <w:r w:rsidR="001655B5">
        <w:rPr>
          <w:lang w:val="en-NZ"/>
        </w:rPr>
        <w:t xml:space="preserve">that the pressure exerted by EU </w:t>
      </w:r>
      <w:r w:rsidR="000477BD">
        <w:rPr>
          <w:lang w:val="en-NZ"/>
        </w:rPr>
        <w:t xml:space="preserve">Northeast Atlantic </w:t>
      </w:r>
      <w:r w:rsidR="001655B5" w:rsidRPr="00150C17">
        <w:rPr>
          <w:lang w:val="en-NZ"/>
        </w:rPr>
        <w:t>fisheries has</w:t>
      </w:r>
      <w:r w:rsidR="001655B5">
        <w:rPr>
          <w:lang w:val="en-NZ"/>
        </w:rPr>
        <w:t xml:space="preserve"> decreased </w:t>
      </w:r>
      <w:r w:rsidR="001655B5" w:rsidRPr="00150C17">
        <w:rPr>
          <w:lang w:val="en-NZ"/>
        </w:rPr>
        <w:t xml:space="preserve">in the past ten years, </w:t>
      </w:r>
      <w:r w:rsidR="001655B5">
        <w:rPr>
          <w:lang w:val="en-NZ"/>
        </w:rPr>
        <w:t>as a result of increasingly eff</w:t>
      </w:r>
      <w:r w:rsidR="007815FE">
        <w:rPr>
          <w:lang w:val="en-NZ"/>
        </w:rPr>
        <w:t>ective</w:t>
      </w:r>
      <w:r w:rsidR="001655B5">
        <w:rPr>
          <w:lang w:val="en-NZ"/>
        </w:rPr>
        <w:t xml:space="preserve"> management</w:t>
      </w:r>
      <w:r w:rsidR="001655B5" w:rsidRPr="00150C17">
        <w:rPr>
          <w:lang w:val="en-NZ"/>
        </w:rPr>
        <w:t xml:space="preserve"> (Cardinale et al. 2011; Cardinale et al 2013</w:t>
      </w:r>
      <w:r w:rsidR="00FD1D87">
        <w:rPr>
          <w:lang w:val="en-NZ"/>
        </w:rPr>
        <w:t>; Fernandes and Cook 2013</w:t>
      </w:r>
      <w:r w:rsidR="001655B5" w:rsidRPr="00150C17">
        <w:rPr>
          <w:lang w:val="en-NZ"/>
        </w:rPr>
        <w:t>)</w:t>
      </w:r>
      <w:r w:rsidR="000477BD">
        <w:rPr>
          <w:color w:val="000000"/>
          <w:lang w:val="en-US"/>
        </w:rPr>
        <w:t>, although intended fishing mortality reductions have likely been limited by adaptive fleets’ responses (</w:t>
      </w:r>
      <w:r w:rsidR="000477BD">
        <w:rPr>
          <w:lang w:val="en-US"/>
        </w:rPr>
        <w:t>Hatcher 2000;</w:t>
      </w:r>
      <w:r w:rsidR="000477BD" w:rsidRPr="00A660B1">
        <w:rPr>
          <w:lang w:val="en-US"/>
        </w:rPr>
        <w:t xml:space="preserve"> Lindebo 2005</w:t>
      </w:r>
      <w:r w:rsidR="000477BD">
        <w:rPr>
          <w:lang w:val="en-US"/>
        </w:rPr>
        <w:t>; Marchal et al. 2007</w:t>
      </w:r>
      <w:r w:rsidR="0013254D">
        <w:rPr>
          <w:lang w:val="en-US"/>
        </w:rPr>
        <w:t>; STECF 2014b</w:t>
      </w:r>
      <w:r w:rsidR="000477BD">
        <w:rPr>
          <w:color w:val="000000"/>
          <w:lang w:val="en-US"/>
        </w:rPr>
        <w:t>)</w:t>
      </w:r>
      <w:r w:rsidR="001655B5" w:rsidRPr="00150C17">
        <w:rPr>
          <w:lang w:val="en-NZ"/>
        </w:rPr>
        <w:t xml:space="preserve">. </w:t>
      </w:r>
      <w:r w:rsidR="001655B5">
        <w:rPr>
          <w:lang w:val="en-NZ"/>
        </w:rPr>
        <w:t>Biomass recovery, however, has been slow and recruitment has been poor in many cases</w:t>
      </w:r>
      <w:r w:rsidR="00E20589">
        <w:rPr>
          <w:lang w:val="en-NZ"/>
        </w:rPr>
        <w:t xml:space="preserve"> (Gascuel et al. 2014)</w:t>
      </w:r>
      <w:r w:rsidR="001655B5">
        <w:rPr>
          <w:lang w:val="en-NZ"/>
        </w:rPr>
        <w:t>.</w:t>
      </w:r>
      <w:r w:rsidR="000477BD">
        <w:rPr>
          <w:lang w:val="en-NZ"/>
        </w:rPr>
        <w:t xml:space="preserve"> </w:t>
      </w:r>
      <w:r w:rsidR="001655B5">
        <w:rPr>
          <w:lang w:val="en-NZ"/>
        </w:rPr>
        <w:t xml:space="preserve"> It is also important to stress that t</w:t>
      </w:r>
      <w:r w:rsidR="001655B5" w:rsidRPr="00396E5E">
        <w:rPr>
          <w:lang w:val="en-US"/>
        </w:rPr>
        <w:t xml:space="preserve">he </w:t>
      </w:r>
      <w:r w:rsidR="001655B5">
        <w:rPr>
          <w:lang w:val="en-US"/>
        </w:rPr>
        <w:t xml:space="preserve">CFP, which </w:t>
      </w:r>
      <w:r w:rsidR="001655B5" w:rsidRPr="00396E5E">
        <w:rPr>
          <w:lang w:val="en-US"/>
        </w:rPr>
        <w:t>has assisted in improving</w:t>
      </w:r>
      <w:r w:rsidR="001655B5">
        <w:rPr>
          <w:lang w:val="en-US"/>
        </w:rPr>
        <w:t xml:space="preserve"> </w:t>
      </w:r>
      <w:r w:rsidR="001655B5" w:rsidRPr="00396E5E">
        <w:rPr>
          <w:lang w:val="en-US"/>
        </w:rPr>
        <w:t xml:space="preserve">the state of </w:t>
      </w:r>
      <w:r w:rsidR="001655B5">
        <w:rPr>
          <w:lang w:val="en-US"/>
        </w:rPr>
        <w:t xml:space="preserve">EU </w:t>
      </w:r>
      <w:r w:rsidR="001655B5" w:rsidRPr="00396E5E">
        <w:rPr>
          <w:lang w:val="en-US"/>
        </w:rPr>
        <w:t>N</w:t>
      </w:r>
      <w:r w:rsidR="001655B5">
        <w:rPr>
          <w:lang w:val="en-US"/>
        </w:rPr>
        <w:t>ortheast</w:t>
      </w:r>
      <w:r w:rsidR="001655B5" w:rsidRPr="00396E5E">
        <w:rPr>
          <w:lang w:val="en-US"/>
        </w:rPr>
        <w:t xml:space="preserve"> Atlantic fish stocks </w:t>
      </w:r>
      <w:r w:rsidR="001655B5">
        <w:rPr>
          <w:lang w:val="en-US"/>
        </w:rPr>
        <w:t>over</w:t>
      </w:r>
      <w:r w:rsidR="001655B5" w:rsidRPr="00396E5E">
        <w:rPr>
          <w:lang w:val="en-US"/>
        </w:rPr>
        <w:t xml:space="preserve"> the past </w:t>
      </w:r>
      <w:r w:rsidR="00127136">
        <w:rPr>
          <w:lang w:val="en-US"/>
        </w:rPr>
        <w:t>ten</w:t>
      </w:r>
      <w:r w:rsidR="001655B5" w:rsidRPr="00396E5E">
        <w:rPr>
          <w:lang w:val="en-US"/>
        </w:rPr>
        <w:t xml:space="preserve"> years</w:t>
      </w:r>
      <w:r w:rsidR="001655B5">
        <w:rPr>
          <w:lang w:val="en-US"/>
        </w:rPr>
        <w:t>,</w:t>
      </w:r>
      <w:r w:rsidR="001655B5" w:rsidRPr="00396E5E">
        <w:rPr>
          <w:lang w:val="en-US"/>
        </w:rPr>
        <w:t xml:space="preserve"> has failed to</w:t>
      </w:r>
      <w:r w:rsidR="001655B5">
        <w:rPr>
          <w:lang w:val="en-US"/>
        </w:rPr>
        <w:t xml:space="preserve"> </w:t>
      </w:r>
      <w:r w:rsidR="001655B5" w:rsidRPr="00396E5E">
        <w:rPr>
          <w:lang w:val="en-US"/>
        </w:rPr>
        <w:t>deliver similar results for Mediterrane</w:t>
      </w:r>
      <w:r w:rsidR="001655B5">
        <w:rPr>
          <w:lang w:val="en-US"/>
        </w:rPr>
        <w:t>an fisheries</w:t>
      </w:r>
      <w:r w:rsidR="007F4B1B">
        <w:rPr>
          <w:lang w:val="en-US"/>
        </w:rPr>
        <w:t xml:space="preserve"> (Smith 2013; Smith and Garcia </w:t>
      </w:r>
      <w:r w:rsidR="007F4B1B">
        <w:rPr>
          <w:lang w:val="en-US"/>
        </w:rPr>
        <w:lastRenderedPageBreak/>
        <w:t>2014)</w:t>
      </w:r>
      <w:r w:rsidR="001655B5" w:rsidRPr="00396E5E">
        <w:rPr>
          <w:lang w:val="en-US"/>
        </w:rPr>
        <w:t xml:space="preserve">. </w:t>
      </w:r>
      <w:r w:rsidR="00C92A72">
        <w:rPr>
          <w:lang w:val="en-US"/>
        </w:rPr>
        <w:t xml:space="preserve">In this region, efficient conservation action has in particular been strained because the jurisdiction of coastal states is generally limited to 6-12 miles (200 miles in the Northeast Atlantic), and because GFCM recommendations have only been binding for EU member states. </w:t>
      </w:r>
      <w:r w:rsidR="001655B5" w:rsidRPr="00396E5E">
        <w:rPr>
          <w:lang w:val="en-US"/>
        </w:rPr>
        <w:t>Limiting juvenile exploitation, advancing management plans and</w:t>
      </w:r>
      <w:r w:rsidR="001655B5">
        <w:rPr>
          <w:lang w:val="en-US"/>
        </w:rPr>
        <w:t xml:space="preserve"> </w:t>
      </w:r>
      <w:r w:rsidR="001655B5" w:rsidRPr="00396E5E">
        <w:rPr>
          <w:lang w:val="en-US"/>
        </w:rPr>
        <w:t>strengthening</w:t>
      </w:r>
      <w:r w:rsidR="001655B5">
        <w:rPr>
          <w:lang w:val="en-US"/>
        </w:rPr>
        <w:t xml:space="preserve"> </w:t>
      </w:r>
      <w:r w:rsidR="001655B5" w:rsidRPr="00396E5E">
        <w:rPr>
          <w:lang w:val="en-US"/>
        </w:rPr>
        <w:t>compliance, control and enforcement could promote fisheries sustainability</w:t>
      </w:r>
      <w:r w:rsidR="001655B5">
        <w:rPr>
          <w:lang w:val="en-US"/>
        </w:rPr>
        <w:t xml:space="preserve"> </w:t>
      </w:r>
      <w:r w:rsidR="001655B5" w:rsidRPr="00396E5E">
        <w:rPr>
          <w:lang w:val="en-US"/>
        </w:rPr>
        <w:t>in the Mediterranean</w:t>
      </w:r>
      <w:r w:rsidR="001655B5">
        <w:rPr>
          <w:lang w:val="en-US"/>
        </w:rPr>
        <w:t xml:space="preserve"> (Vasilakopoulos et al. 2014)</w:t>
      </w:r>
      <w:r w:rsidR="001655B5" w:rsidRPr="00396E5E">
        <w:rPr>
          <w:lang w:val="en-US"/>
        </w:rPr>
        <w:t>.</w:t>
      </w:r>
      <w:r w:rsidR="001655B5">
        <w:rPr>
          <w:lang w:val="en-US"/>
        </w:rPr>
        <w:t xml:space="preserve"> STECF (2013c) also suggests that the economic performance of EU fishing fleets operating in the Mediterranean has generally deteriorated compared to those fishing in the </w:t>
      </w:r>
      <w:r w:rsidR="0049752A">
        <w:rPr>
          <w:lang w:val="en-US"/>
        </w:rPr>
        <w:t>Northeast Atlantic</w:t>
      </w:r>
      <w:r w:rsidR="001655B5">
        <w:rPr>
          <w:rFonts w:cstheme="minorHAnsi"/>
          <w:lang w:val="en-US"/>
        </w:rPr>
        <w:t>.</w:t>
      </w:r>
    </w:p>
    <w:p w:rsidR="00465158" w:rsidRPr="00E81376" w:rsidRDefault="0076288A" w:rsidP="00E81376">
      <w:pPr>
        <w:pStyle w:val="FormateretHTML"/>
        <w:spacing w:line="480" w:lineRule="auto"/>
        <w:jc w:val="both"/>
        <w:rPr>
          <w:rFonts w:ascii="Times New Roman" w:eastAsia="Times New Roman" w:hAnsi="Times New Roman"/>
          <w:sz w:val="24"/>
          <w:szCs w:val="24"/>
          <w:lang w:val="en-US"/>
        </w:rPr>
      </w:pPr>
      <w:r w:rsidRPr="00E81376">
        <w:rPr>
          <w:rFonts w:ascii="Times New Roman" w:hAnsi="Times New Roman"/>
          <w:sz w:val="24"/>
          <w:szCs w:val="24"/>
          <w:lang w:val="en-NZ"/>
        </w:rPr>
        <w:t>T</w:t>
      </w:r>
      <w:r w:rsidR="00594CA6" w:rsidRPr="00E81376">
        <w:rPr>
          <w:rFonts w:ascii="Times New Roman" w:hAnsi="Times New Roman"/>
          <w:sz w:val="24"/>
          <w:szCs w:val="24"/>
          <w:lang w:val="en-NZ"/>
        </w:rPr>
        <w:t>he implementation of ITQs in New Zealand and Iceland has resulted in a rationalisation of the fleets. The EU</w:t>
      </w:r>
      <w:r w:rsidR="00DF4A21" w:rsidRPr="00E81376">
        <w:rPr>
          <w:rFonts w:ascii="Times New Roman" w:hAnsi="Times New Roman"/>
          <w:sz w:val="24"/>
          <w:szCs w:val="24"/>
          <w:lang w:val="en-NZ"/>
        </w:rPr>
        <w:t xml:space="preserve"> fleet capacity </w:t>
      </w:r>
      <w:r w:rsidR="00594CA6" w:rsidRPr="00E81376">
        <w:rPr>
          <w:rFonts w:ascii="Times New Roman" w:hAnsi="Times New Roman"/>
          <w:sz w:val="24"/>
          <w:szCs w:val="24"/>
          <w:lang w:val="en-NZ"/>
        </w:rPr>
        <w:t>was also subject to substantial reductions</w:t>
      </w:r>
      <w:r w:rsidR="00DF4A21" w:rsidRPr="00E81376">
        <w:rPr>
          <w:rFonts w:ascii="Times New Roman" w:hAnsi="Times New Roman"/>
          <w:sz w:val="24"/>
          <w:szCs w:val="24"/>
          <w:lang w:val="en-NZ"/>
        </w:rPr>
        <w:t>,</w:t>
      </w:r>
      <w:r w:rsidR="00594CA6" w:rsidRPr="00E81376">
        <w:rPr>
          <w:rFonts w:ascii="Times New Roman" w:hAnsi="Times New Roman"/>
          <w:sz w:val="24"/>
          <w:szCs w:val="24"/>
          <w:lang w:val="en-NZ"/>
        </w:rPr>
        <w:t xml:space="preserve"> but th</w:t>
      </w:r>
      <w:r w:rsidR="003B5BF7" w:rsidRPr="00E81376">
        <w:rPr>
          <w:rFonts w:ascii="Times New Roman" w:hAnsi="Times New Roman"/>
          <w:sz w:val="24"/>
          <w:szCs w:val="24"/>
          <w:lang w:val="en-NZ"/>
        </w:rPr>
        <w:t>ese</w:t>
      </w:r>
      <w:r w:rsidR="00594CA6" w:rsidRPr="00E81376">
        <w:rPr>
          <w:rFonts w:ascii="Times New Roman" w:hAnsi="Times New Roman"/>
          <w:sz w:val="24"/>
          <w:szCs w:val="24"/>
          <w:lang w:val="en-NZ"/>
        </w:rPr>
        <w:t xml:space="preserve"> w</w:t>
      </w:r>
      <w:r w:rsidR="003B5BF7" w:rsidRPr="00E81376">
        <w:rPr>
          <w:rFonts w:ascii="Times New Roman" w:hAnsi="Times New Roman"/>
          <w:sz w:val="24"/>
          <w:szCs w:val="24"/>
          <w:lang w:val="en-NZ"/>
        </w:rPr>
        <w:t>ere</w:t>
      </w:r>
      <w:r w:rsidR="00594CA6" w:rsidRPr="00E81376">
        <w:rPr>
          <w:rFonts w:ascii="Times New Roman" w:hAnsi="Times New Roman"/>
          <w:sz w:val="24"/>
          <w:szCs w:val="24"/>
          <w:lang w:val="en-NZ"/>
        </w:rPr>
        <w:t xml:space="preserve"> often </w:t>
      </w:r>
      <w:r w:rsidR="00F94FD4">
        <w:rPr>
          <w:rFonts w:ascii="Times New Roman" w:hAnsi="Times New Roman"/>
          <w:sz w:val="24"/>
          <w:szCs w:val="24"/>
          <w:lang w:val="en-NZ"/>
        </w:rPr>
        <w:t xml:space="preserve">slower and </w:t>
      </w:r>
      <w:r w:rsidR="00594CA6" w:rsidRPr="00E81376">
        <w:rPr>
          <w:rFonts w:ascii="Times New Roman" w:hAnsi="Times New Roman"/>
          <w:sz w:val="24"/>
          <w:szCs w:val="24"/>
          <w:lang w:val="en-NZ"/>
        </w:rPr>
        <w:t>incentivized by public subsidies, and not market-driv</w:t>
      </w:r>
      <w:r w:rsidR="00D44699" w:rsidRPr="00E81376">
        <w:rPr>
          <w:rFonts w:ascii="Times New Roman" w:hAnsi="Times New Roman"/>
          <w:sz w:val="24"/>
          <w:szCs w:val="24"/>
          <w:lang w:val="en-NZ"/>
        </w:rPr>
        <w:t>en</w:t>
      </w:r>
      <w:r w:rsidR="00594CA6" w:rsidRPr="00E81376">
        <w:rPr>
          <w:rFonts w:ascii="Times New Roman" w:hAnsi="Times New Roman"/>
          <w:sz w:val="24"/>
          <w:szCs w:val="24"/>
          <w:lang w:val="en-NZ"/>
        </w:rPr>
        <w:t xml:space="preserve">. </w:t>
      </w:r>
      <w:r w:rsidR="00DF4A21" w:rsidRPr="00E81376">
        <w:rPr>
          <w:rFonts w:ascii="Times New Roman" w:hAnsi="Times New Roman"/>
          <w:sz w:val="24"/>
          <w:szCs w:val="24"/>
          <w:lang w:val="en-NZ"/>
        </w:rPr>
        <w:t xml:space="preserve">It is, however, fair to mention that, compared to New Zealand and Iceland, overcapacity was probably more of an issue in the EU </w:t>
      </w:r>
      <w:r w:rsidR="007F7F36" w:rsidRPr="00E81376">
        <w:rPr>
          <w:rFonts w:ascii="Times New Roman" w:hAnsi="Times New Roman"/>
          <w:sz w:val="24"/>
          <w:szCs w:val="24"/>
          <w:lang w:val="en-NZ"/>
        </w:rPr>
        <w:t>at the start of</w:t>
      </w:r>
      <w:r w:rsidR="00DF4A21" w:rsidRPr="00E81376">
        <w:rPr>
          <w:rFonts w:ascii="Times New Roman" w:hAnsi="Times New Roman"/>
          <w:sz w:val="24"/>
          <w:szCs w:val="24"/>
          <w:lang w:val="en-NZ"/>
        </w:rPr>
        <w:t xml:space="preserve"> (CFP-driven) management actions, thereby </w:t>
      </w:r>
      <w:r w:rsidR="007F7F36" w:rsidRPr="00E81376">
        <w:rPr>
          <w:rFonts w:ascii="Times New Roman" w:hAnsi="Times New Roman"/>
          <w:sz w:val="24"/>
          <w:szCs w:val="24"/>
          <w:lang w:val="en-NZ"/>
        </w:rPr>
        <w:t>providing an additional challenge</w:t>
      </w:r>
      <w:r w:rsidR="00F10F5B" w:rsidRPr="00E81376">
        <w:rPr>
          <w:rFonts w:ascii="Times New Roman" w:hAnsi="Times New Roman"/>
          <w:sz w:val="24"/>
          <w:szCs w:val="24"/>
          <w:lang w:val="en-NZ"/>
        </w:rPr>
        <w:t xml:space="preserve"> (Mace et al. 2014)</w:t>
      </w:r>
      <w:r w:rsidR="001655B5" w:rsidRPr="00E81376">
        <w:rPr>
          <w:rFonts w:ascii="Times New Roman" w:hAnsi="Times New Roman"/>
          <w:sz w:val="24"/>
          <w:szCs w:val="24"/>
          <w:lang w:val="en-NZ"/>
        </w:rPr>
        <w:t>.</w:t>
      </w:r>
      <w:r w:rsidR="00465158" w:rsidRPr="00E81376">
        <w:rPr>
          <w:rFonts w:ascii="Times New Roman" w:hAnsi="Times New Roman"/>
          <w:sz w:val="24"/>
          <w:szCs w:val="24"/>
          <w:lang w:val="en-US"/>
        </w:rPr>
        <w:t xml:space="preserve"> </w:t>
      </w:r>
      <w:r w:rsidR="00465158" w:rsidRPr="00E81376">
        <w:rPr>
          <w:rFonts w:ascii="Times New Roman" w:eastAsia="Times New Roman" w:hAnsi="Times New Roman"/>
          <w:sz w:val="24"/>
          <w:szCs w:val="24"/>
          <w:lang w:val="en-US"/>
        </w:rPr>
        <w:t>After W</w:t>
      </w:r>
      <w:r w:rsidR="00E81376">
        <w:rPr>
          <w:rFonts w:ascii="Times New Roman" w:eastAsia="Times New Roman" w:hAnsi="Times New Roman"/>
          <w:sz w:val="24"/>
          <w:szCs w:val="24"/>
          <w:lang w:val="en-US"/>
        </w:rPr>
        <w:t xml:space="preserve">orld </w:t>
      </w:r>
      <w:r w:rsidR="00465158" w:rsidRPr="00E81376">
        <w:rPr>
          <w:rFonts w:ascii="Times New Roman" w:eastAsia="Times New Roman" w:hAnsi="Times New Roman"/>
          <w:sz w:val="24"/>
          <w:szCs w:val="24"/>
          <w:lang w:val="en-US"/>
        </w:rPr>
        <w:t>W</w:t>
      </w:r>
      <w:r w:rsidR="00E81376">
        <w:rPr>
          <w:rFonts w:ascii="Times New Roman" w:eastAsia="Times New Roman" w:hAnsi="Times New Roman"/>
          <w:sz w:val="24"/>
          <w:szCs w:val="24"/>
          <w:lang w:val="en-US"/>
        </w:rPr>
        <w:t xml:space="preserve">ar </w:t>
      </w:r>
      <w:r w:rsidR="00465158" w:rsidRPr="00E81376">
        <w:rPr>
          <w:rFonts w:ascii="Times New Roman" w:eastAsia="Times New Roman" w:hAnsi="Times New Roman"/>
          <w:sz w:val="24"/>
          <w:szCs w:val="24"/>
          <w:lang w:val="en-US"/>
        </w:rPr>
        <w:t>2 most European countries were financially stressed</w:t>
      </w:r>
      <w:r w:rsidR="00E81376">
        <w:rPr>
          <w:rFonts w:ascii="Times New Roman" w:eastAsia="Times New Roman" w:hAnsi="Times New Roman"/>
          <w:sz w:val="24"/>
          <w:szCs w:val="24"/>
          <w:lang w:val="en-US"/>
        </w:rPr>
        <w:t>, so</w:t>
      </w:r>
      <w:r w:rsidR="00465158" w:rsidRPr="00E81376">
        <w:rPr>
          <w:rFonts w:ascii="Times New Roman" w:eastAsia="Times New Roman" w:hAnsi="Times New Roman"/>
          <w:sz w:val="24"/>
          <w:szCs w:val="24"/>
          <w:lang w:val="en-US"/>
        </w:rPr>
        <w:t xml:space="preserve"> </w:t>
      </w:r>
      <w:r w:rsidR="00E81376">
        <w:rPr>
          <w:rFonts w:ascii="Times New Roman" w:eastAsia="Times New Roman" w:hAnsi="Times New Roman"/>
          <w:sz w:val="24"/>
          <w:szCs w:val="24"/>
          <w:lang w:val="en-US"/>
        </w:rPr>
        <w:t xml:space="preserve">governments wanted </w:t>
      </w:r>
      <w:r w:rsidR="00465158" w:rsidRPr="00E81376">
        <w:rPr>
          <w:rFonts w:ascii="Times New Roman" w:eastAsia="Times New Roman" w:hAnsi="Times New Roman"/>
          <w:sz w:val="24"/>
          <w:szCs w:val="24"/>
          <w:lang w:val="en-US"/>
        </w:rPr>
        <w:t>to secure large volumes of food</w:t>
      </w:r>
      <w:r w:rsidR="00E81376">
        <w:rPr>
          <w:rFonts w:ascii="Times New Roman" w:eastAsia="Times New Roman" w:hAnsi="Times New Roman"/>
          <w:sz w:val="24"/>
          <w:szCs w:val="24"/>
          <w:lang w:val="en-US"/>
        </w:rPr>
        <w:t xml:space="preserve"> supplies</w:t>
      </w:r>
      <w:r w:rsidR="00465158" w:rsidRPr="00E81376">
        <w:rPr>
          <w:rFonts w:ascii="Times New Roman" w:eastAsia="Times New Roman" w:hAnsi="Times New Roman"/>
          <w:sz w:val="24"/>
          <w:szCs w:val="24"/>
          <w:lang w:val="en-US"/>
        </w:rPr>
        <w:t xml:space="preserve"> to feed their populations</w:t>
      </w:r>
      <w:r w:rsidR="00D06033">
        <w:rPr>
          <w:rFonts w:ascii="Times New Roman" w:eastAsia="Times New Roman" w:hAnsi="Times New Roman"/>
          <w:sz w:val="24"/>
          <w:szCs w:val="24"/>
          <w:lang w:val="en-US"/>
        </w:rPr>
        <w:t>,</w:t>
      </w:r>
      <w:r w:rsidR="00465158" w:rsidRPr="00E81376">
        <w:rPr>
          <w:rFonts w:ascii="Times New Roman" w:eastAsia="Times New Roman" w:hAnsi="Times New Roman"/>
          <w:sz w:val="24"/>
          <w:szCs w:val="24"/>
          <w:lang w:val="en-US"/>
        </w:rPr>
        <w:t xml:space="preserve"> and fish were an obvious source. </w:t>
      </w:r>
      <w:r w:rsidR="00E81376">
        <w:rPr>
          <w:rFonts w:ascii="Times New Roman" w:eastAsia="Times New Roman" w:hAnsi="Times New Roman"/>
          <w:sz w:val="24"/>
          <w:szCs w:val="24"/>
          <w:lang w:val="en-US"/>
        </w:rPr>
        <w:t>There were no fears of overproduction, as experts were forecasting at that time a world shortage of food (Holden 1994)</w:t>
      </w:r>
      <w:r w:rsidR="00D06033">
        <w:rPr>
          <w:rFonts w:ascii="Times New Roman" w:eastAsia="Times New Roman" w:hAnsi="Times New Roman"/>
          <w:sz w:val="24"/>
          <w:szCs w:val="24"/>
          <w:lang w:val="en-US"/>
        </w:rPr>
        <w:t xml:space="preserve">. For these reasons, </w:t>
      </w:r>
      <w:r w:rsidR="00465158" w:rsidRPr="00E81376">
        <w:rPr>
          <w:rFonts w:ascii="Times New Roman" w:eastAsia="Times New Roman" w:hAnsi="Times New Roman"/>
          <w:sz w:val="24"/>
          <w:szCs w:val="24"/>
          <w:lang w:val="en-US"/>
        </w:rPr>
        <w:t xml:space="preserve">fishing capacity </w:t>
      </w:r>
      <w:r w:rsidR="00D06033">
        <w:rPr>
          <w:rFonts w:ascii="Times New Roman" w:eastAsia="Times New Roman" w:hAnsi="Times New Roman"/>
          <w:sz w:val="24"/>
          <w:szCs w:val="24"/>
          <w:lang w:val="en-US"/>
        </w:rPr>
        <w:t xml:space="preserve">investments were encouraged and </w:t>
      </w:r>
      <w:r w:rsidR="00F94FD4">
        <w:rPr>
          <w:rFonts w:ascii="Times New Roman" w:eastAsia="Times New Roman" w:hAnsi="Times New Roman"/>
          <w:sz w:val="24"/>
          <w:szCs w:val="24"/>
          <w:lang w:val="en-US"/>
        </w:rPr>
        <w:t>subsidized</w:t>
      </w:r>
      <w:r w:rsidR="00C841EC">
        <w:rPr>
          <w:rFonts w:ascii="Times New Roman" w:eastAsia="Times New Roman" w:hAnsi="Times New Roman"/>
          <w:sz w:val="24"/>
          <w:szCs w:val="24"/>
          <w:lang w:val="en-US"/>
        </w:rPr>
        <w:t xml:space="preserve"> (FAO 1988; Holden 1994)</w:t>
      </w:r>
      <w:r w:rsidR="00465158" w:rsidRPr="00E81376">
        <w:rPr>
          <w:rFonts w:ascii="Times New Roman" w:eastAsia="Times New Roman" w:hAnsi="Times New Roman"/>
          <w:sz w:val="24"/>
          <w:szCs w:val="24"/>
          <w:lang w:val="en-US"/>
        </w:rPr>
        <w:t xml:space="preserve">. Much of </w:t>
      </w:r>
      <w:r w:rsidR="00D06033">
        <w:rPr>
          <w:rFonts w:ascii="Times New Roman" w:eastAsia="Times New Roman" w:hAnsi="Times New Roman"/>
          <w:sz w:val="24"/>
          <w:szCs w:val="24"/>
          <w:lang w:val="en-US"/>
        </w:rPr>
        <w:t>the new</w:t>
      </w:r>
      <w:r w:rsidR="00465158" w:rsidRPr="00E81376">
        <w:rPr>
          <w:rFonts w:ascii="Times New Roman" w:eastAsia="Times New Roman" w:hAnsi="Times New Roman"/>
          <w:sz w:val="24"/>
          <w:szCs w:val="24"/>
          <w:lang w:val="en-US"/>
        </w:rPr>
        <w:t xml:space="preserve"> capacity was deployed in distant waters such as Canada, </w:t>
      </w:r>
      <w:r w:rsidR="00406A99">
        <w:rPr>
          <w:rFonts w:ascii="Times New Roman" w:eastAsia="Times New Roman" w:hAnsi="Times New Roman"/>
          <w:sz w:val="24"/>
          <w:szCs w:val="24"/>
          <w:lang w:val="en-US"/>
        </w:rPr>
        <w:t xml:space="preserve">and </w:t>
      </w:r>
      <w:r w:rsidR="00465158" w:rsidRPr="00E81376">
        <w:rPr>
          <w:rFonts w:ascii="Times New Roman" w:eastAsia="Times New Roman" w:hAnsi="Times New Roman"/>
          <w:sz w:val="24"/>
          <w:szCs w:val="24"/>
          <w:lang w:val="en-US"/>
        </w:rPr>
        <w:t xml:space="preserve">Iceland. It meant that when EEZs were declared in the 1970s that capacity was redeployed in </w:t>
      </w:r>
      <w:r w:rsidR="00FF74B2">
        <w:rPr>
          <w:rFonts w:ascii="Times New Roman" w:eastAsia="Times New Roman" w:hAnsi="Times New Roman"/>
          <w:sz w:val="24"/>
          <w:szCs w:val="24"/>
          <w:lang w:val="en-US"/>
        </w:rPr>
        <w:t>EU</w:t>
      </w:r>
      <w:r w:rsidR="00465158" w:rsidRPr="00E81376">
        <w:rPr>
          <w:rFonts w:ascii="Times New Roman" w:eastAsia="Times New Roman" w:hAnsi="Times New Roman"/>
          <w:sz w:val="24"/>
          <w:szCs w:val="24"/>
          <w:lang w:val="en-US"/>
        </w:rPr>
        <w:t xml:space="preserve"> waters with an inevitable excessive pressure on fish stocks ultimately reducing </w:t>
      </w:r>
      <w:r w:rsidR="00D06033">
        <w:rPr>
          <w:rFonts w:ascii="Times New Roman" w:eastAsia="Times New Roman" w:hAnsi="Times New Roman"/>
          <w:sz w:val="24"/>
          <w:szCs w:val="24"/>
          <w:lang w:val="en-US"/>
        </w:rPr>
        <w:t xml:space="preserve">some of </w:t>
      </w:r>
      <w:r w:rsidR="00465158" w:rsidRPr="00E81376">
        <w:rPr>
          <w:rFonts w:ascii="Times New Roman" w:eastAsia="Times New Roman" w:hAnsi="Times New Roman"/>
          <w:sz w:val="24"/>
          <w:szCs w:val="24"/>
          <w:lang w:val="en-US"/>
        </w:rPr>
        <w:t xml:space="preserve">them to a very poor state. </w:t>
      </w:r>
      <w:r w:rsidR="00FF74B2">
        <w:rPr>
          <w:rFonts w:ascii="Times New Roman" w:eastAsia="Times New Roman" w:hAnsi="Times New Roman"/>
          <w:sz w:val="24"/>
          <w:szCs w:val="24"/>
          <w:lang w:val="en-US"/>
        </w:rPr>
        <w:t>Conversely</w:t>
      </w:r>
      <w:r w:rsidR="00D06033">
        <w:rPr>
          <w:rFonts w:ascii="Times New Roman" w:eastAsia="Times New Roman" w:hAnsi="Times New Roman"/>
          <w:sz w:val="24"/>
          <w:szCs w:val="24"/>
          <w:lang w:val="en-US"/>
        </w:rPr>
        <w:t xml:space="preserve">, </w:t>
      </w:r>
      <w:r w:rsidR="00FF74B2">
        <w:rPr>
          <w:rFonts w:ascii="Times New Roman" w:eastAsia="Times New Roman" w:hAnsi="Times New Roman"/>
          <w:sz w:val="24"/>
          <w:szCs w:val="24"/>
          <w:lang w:val="en-US"/>
        </w:rPr>
        <w:t>overcapacity in Icelandic waters was alleviated with the</w:t>
      </w:r>
      <w:r w:rsidR="009577D6">
        <w:rPr>
          <w:rFonts w:ascii="Times New Roman" w:eastAsia="Times New Roman" w:hAnsi="Times New Roman"/>
          <w:sz w:val="24"/>
          <w:szCs w:val="24"/>
          <w:lang w:val="en-US"/>
        </w:rPr>
        <w:t xml:space="preserve"> removal</w:t>
      </w:r>
      <w:r w:rsidR="00FF74B2">
        <w:rPr>
          <w:rFonts w:ascii="Times New Roman" w:eastAsia="Times New Roman" w:hAnsi="Times New Roman"/>
          <w:sz w:val="24"/>
          <w:szCs w:val="24"/>
          <w:lang w:val="en-US"/>
        </w:rPr>
        <w:t xml:space="preserve"> of EU fleets </w:t>
      </w:r>
      <w:r w:rsidR="00465158" w:rsidRPr="00E81376">
        <w:rPr>
          <w:rFonts w:ascii="Times New Roman" w:eastAsia="Times New Roman" w:hAnsi="Times New Roman"/>
          <w:sz w:val="24"/>
          <w:szCs w:val="24"/>
          <w:lang w:val="en-US"/>
        </w:rPr>
        <w:t xml:space="preserve">so </w:t>
      </w:r>
      <w:r w:rsidR="00FF74B2">
        <w:rPr>
          <w:rFonts w:ascii="Times New Roman" w:eastAsia="Times New Roman" w:hAnsi="Times New Roman"/>
          <w:sz w:val="24"/>
          <w:szCs w:val="24"/>
          <w:lang w:val="en-US"/>
        </w:rPr>
        <w:t xml:space="preserve">by 1983, Icelandic stocks were </w:t>
      </w:r>
      <w:r w:rsidR="004B61C9">
        <w:rPr>
          <w:rFonts w:ascii="Times New Roman" w:eastAsia="Times New Roman" w:hAnsi="Times New Roman"/>
          <w:sz w:val="24"/>
          <w:szCs w:val="24"/>
          <w:lang w:val="en-US"/>
        </w:rPr>
        <w:t xml:space="preserve">probably </w:t>
      </w:r>
      <w:r w:rsidR="00FF74B2">
        <w:rPr>
          <w:rFonts w:ascii="Times New Roman" w:eastAsia="Times New Roman" w:hAnsi="Times New Roman"/>
          <w:sz w:val="24"/>
          <w:szCs w:val="24"/>
          <w:lang w:val="en-US"/>
        </w:rPr>
        <w:t>in</w:t>
      </w:r>
      <w:r w:rsidR="004B61C9">
        <w:rPr>
          <w:rFonts w:ascii="Times New Roman" w:eastAsia="Times New Roman" w:hAnsi="Times New Roman"/>
          <w:sz w:val="24"/>
          <w:szCs w:val="24"/>
          <w:lang w:val="en-US"/>
        </w:rPr>
        <w:t xml:space="preserve"> a</w:t>
      </w:r>
      <w:r w:rsidR="00FF74B2">
        <w:rPr>
          <w:rFonts w:ascii="Times New Roman" w:eastAsia="Times New Roman" w:hAnsi="Times New Roman"/>
          <w:sz w:val="24"/>
          <w:szCs w:val="24"/>
          <w:lang w:val="en-US"/>
        </w:rPr>
        <w:t xml:space="preserve"> </w:t>
      </w:r>
      <w:r w:rsidR="00465158" w:rsidRPr="00E81376">
        <w:rPr>
          <w:rFonts w:ascii="Times New Roman" w:eastAsia="Times New Roman" w:hAnsi="Times New Roman"/>
          <w:sz w:val="24"/>
          <w:szCs w:val="24"/>
          <w:lang w:val="en-US"/>
        </w:rPr>
        <w:t>better shape</w:t>
      </w:r>
      <w:r w:rsidR="004B61C9">
        <w:rPr>
          <w:rFonts w:ascii="Times New Roman" w:eastAsia="Times New Roman" w:hAnsi="Times New Roman"/>
          <w:sz w:val="24"/>
          <w:szCs w:val="24"/>
          <w:lang w:val="en-US"/>
        </w:rPr>
        <w:t xml:space="preserve"> than EU stocks</w:t>
      </w:r>
      <w:r w:rsidR="00465158" w:rsidRPr="00E81376">
        <w:rPr>
          <w:rFonts w:ascii="Times New Roman" w:eastAsia="Times New Roman" w:hAnsi="Times New Roman"/>
          <w:sz w:val="24"/>
          <w:szCs w:val="24"/>
          <w:lang w:val="en-US"/>
        </w:rPr>
        <w:t xml:space="preserve">. </w:t>
      </w:r>
      <w:r w:rsidR="004B61C9">
        <w:rPr>
          <w:rFonts w:ascii="Times New Roman" w:eastAsia="Times New Roman" w:hAnsi="Times New Roman"/>
          <w:sz w:val="24"/>
          <w:szCs w:val="24"/>
          <w:lang w:val="en-US"/>
        </w:rPr>
        <w:t>Similarly, i</w:t>
      </w:r>
      <w:r w:rsidR="00465158" w:rsidRPr="00E81376">
        <w:rPr>
          <w:rFonts w:ascii="Times New Roman" w:eastAsia="Times New Roman" w:hAnsi="Times New Roman"/>
          <w:sz w:val="24"/>
          <w:szCs w:val="24"/>
          <w:lang w:val="en-US"/>
        </w:rPr>
        <w:t>n Australia and New Zealand</w:t>
      </w:r>
      <w:r w:rsidR="00FF74B2">
        <w:rPr>
          <w:rFonts w:ascii="Times New Roman" w:eastAsia="Times New Roman" w:hAnsi="Times New Roman"/>
          <w:sz w:val="24"/>
          <w:szCs w:val="24"/>
          <w:lang w:val="en-US"/>
        </w:rPr>
        <w:t xml:space="preserve">, most of the foreign fleets moved outside the new EEZ boundaries, </w:t>
      </w:r>
      <w:r w:rsidR="004B61C9">
        <w:rPr>
          <w:rFonts w:ascii="Times New Roman" w:eastAsia="Times New Roman" w:hAnsi="Times New Roman"/>
          <w:sz w:val="24"/>
          <w:szCs w:val="24"/>
          <w:lang w:val="en-US"/>
        </w:rPr>
        <w:t xml:space="preserve">resulting in a decrease in fishing pressure by </w:t>
      </w:r>
      <w:r w:rsidR="00465158" w:rsidRPr="00E81376">
        <w:rPr>
          <w:rFonts w:ascii="Times New Roman" w:eastAsia="Times New Roman" w:hAnsi="Times New Roman"/>
          <w:sz w:val="24"/>
          <w:szCs w:val="24"/>
          <w:lang w:val="en-US"/>
        </w:rPr>
        <w:t>1983.</w:t>
      </w:r>
    </w:p>
    <w:p w:rsidR="00341A10" w:rsidRPr="00341A10" w:rsidRDefault="004B61C9" w:rsidP="0019217A">
      <w:pPr>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80" w:lineRule="auto"/>
        <w:rPr>
          <w:lang w:val="en-US"/>
        </w:rPr>
      </w:pPr>
      <w:r>
        <w:rPr>
          <w:lang w:val="en-US"/>
        </w:rPr>
        <w:t>I</w:t>
      </w:r>
      <w:r w:rsidR="00594CA6">
        <w:rPr>
          <w:lang w:val="en-NZ"/>
        </w:rPr>
        <w:t xml:space="preserve">t </w:t>
      </w:r>
      <w:r w:rsidR="00DC69B3">
        <w:rPr>
          <w:lang w:val="en-NZ"/>
        </w:rPr>
        <w:t xml:space="preserve">should </w:t>
      </w:r>
      <w:r w:rsidR="00594CA6">
        <w:rPr>
          <w:lang w:val="en-NZ"/>
        </w:rPr>
        <w:t xml:space="preserve">also </w:t>
      </w:r>
      <w:r w:rsidR="00DC69B3">
        <w:rPr>
          <w:lang w:val="en-NZ"/>
        </w:rPr>
        <w:t>be stressed</w:t>
      </w:r>
      <w:r w:rsidR="00594CA6">
        <w:rPr>
          <w:lang w:val="en-NZ"/>
        </w:rPr>
        <w:t xml:space="preserve"> that managing the fisheries of 28 countries </w:t>
      </w:r>
      <w:r w:rsidR="00F120C5">
        <w:rPr>
          <w:lang w:val="en-NZ"/>
        </w:rPr>
        <w:t xml:space="preserve">with </w:t>
      </w:r>
      <w:r w:rsidR="00594CA6">
        <w:rPr>
          <w:lang w:val="en-NZ"/>
        </w:rPr>
        <w:t>var</w:t>
      </w:r>
      <w:r w:rsidR="00F120C5">
        <w:rPr>
          <w:lang w:val="en-NZ"/>
        </w:rPr>
        <w:t>ying</w:t>
      </w:r>
      <w:r w:rsidR="00594CA6">
        <w:rPr>
          <w:lang w:val="en-NZ"/>
        </w:rPr>
        <w:t xml:space="preserve"> interests, economic structures and political traditions, as the EU does, is more complex than managing fisheries in one </w:t>
      </w:r>
      <w:r w:rsidR="00594CA6">
        <w:rPr>
          <w:lang w:val="en-NZ"/>
        </w:rPr>
        <w:lastRenderedPageBreak/>
        <w:t xml:space="preserve">sovereign country, where decisions are made by one single Minister, as is the case in Australia, New Zealand and Iceland. </w:t>
      </w:r>
      <w:r w:rsidR="00632CFC">
        <w:rPr>
          <w:lang w:val="en-NZ"/>
        </w:rPr>
        <w:t xml:space="preserve">This is highlighted during negotiations of accession of new member states, or through contentions stemmed by the application of the relative stability principle (Churchill and Owen 2010). </w:t>
      </w:r>
      <w:r w:rsidR="00341A10">
        <w:rPr>
          <w:lang w:val="en-NZ"/>
        </w:rPr>
        <w:t xml:space="preserve">The EU </w:t>
      </w:r>
      <w:r w:rsidR="00341A10" w:rsidRPr="00341A10">
        <w:rPr>
          <w:lang w:val="en-US"/>
        </w:rPr>
        <w:t>provid</w:t>
      </w:r>
      <w:r w:rsidR="006A0C5A">
        <w:rPr>
          <w:lang w:val="en-US"/>
        </w:rPr>
        <w:t>es</w:t>
      </w:r>
      <w:r w:rsidR="00341A10" w:rsidRPr="00341A10">
        <w:rPr>
          <w:lang w:val="en-US"/>
        </w:rPr>
        <w:t xml:space="preserve"> mechanism</w:t>
      </w:r>
      <w:r w:rsidR="0036745F">
        <w:rPr>
          <w:lang w:val="en-US"/>
        </w:rPr>
        <w:t>s</w:t>
      </w:r>
      <w:r w:rsidR="00341A10" w:rsidRPr="00341A10">
        <w:rPr>
          <w:lang w:val="en-US"/>
        </w:rPr>
        <w:t xml:space="preserve"> for management agreement between countries sharing </w:t>
      </w:r>
      <w:r w:rsidR="00341A10">
        <w:rPr>
          <w:lang w:val="en-US"/>
        </w:rPr>
        <w:t xml:space="preserve">straddling </w:t>
      </w:r>
      <w:r w:rsidR="00341A10" w:rsidRPr="00341A10">
        <w:rPr>
          <w:lang w:val="en-US"/>
        </w:rPr>
        <w:t>stocks</w:t>
      </w:r>
      <w:r w:rsidR="006A0C5A">
        <w:rPr>
          <w:lang w:val="en-US"/>
        </w:rPr>
        <w:t>, which</w:t>
      </w:r>
      <w:r w:rsidR="00341A10" w:rsidRPr="00341A10">
        <w:rPr>
          <w:lang w:val="en-US"/>
        </w:rPr>
        <w:t xml:space="preserve"> is in effect an additional layer of governance on sovereign states that is n</w:t>
      </w:r>
      <w:r w:rsidR="0036745F">
        <w:rPr>
          <w:lang w:val="en-US"/>
        </w:rPr>
        <w:t xml:space="preserve">ot required by IC-AU-NZ, </w:t>
      </w:r>
      <w:r w:rsidR="00341A10" w:rsidRPr="00341A10">
        <w:rPr>
          <w:lang w:val="en-US"/>
        </w:rPr>
        <w:t xml:space="preserve">and is perhaps </w:t>
      </w:r>
      <w:r w:rsidR="0036745F">
        <w:rPr>
          <w:lang w:val="en-US"/>
        </w:rPr>
        <w:t xml:space="preserve">also </w:t>
      </w:r>
      <w:r w:rsidR="00341A10" w:rsidRPr="00341A10">
        <w:rPr>
          <w:lang w:val="en-US"/>
        </w:rPr>
        <w:t>a clue to the disparity</w:t>
      </w:r>
      <w:r w:rsidR="003A3DC9">
        <w:rPr>
          <w:lang w:val="en-US"/>
        </w:rPr>
        <w:t xml:space="preserve"> in management performance. </w:t>
      </w:r>
      <w:r w:rsidR="0036745F">
        <w:rPr>
          <w:lang w:val="en-US"/>
        </w:rPr>
        <w:t>IC-AU-NZ</w:t>
      </w:r>
      <w:r w:rsidR="00341A10" w:rsidRPr="00341A10">
        <w:rPr>
          <w:lang w:val="en-US"/>
        </w:rPr>
        <w:t xml:space="preserve"> share certain stocks with other </w:t>
      </w:r>
      <w:r w:rsidR="003A3DC9">
        <w:rPr>
          <w:lang w:val="en-US"/>
        </w:rPr>
        <w:t xml:space="preserve">countries, the management of which is generally implemented by RFMOs or </w:t>
      </w:r>
      <w:r>
        <w:rPr>
          <w:lang w:val="en-US"/>
        </w:rPr>
        <w:t xml:space="preserve">through </w:t>
      </w:r>
      <w:r w:rsidR="003A3DC9">
        <w:rPr>
          <w:lang w:val="en-US"/>
        </w:rPr>
        <w:t xml:space="preserve">multi-lateral agreements. There are, however, cases where no agreement can be found. For instance, Northeast Atlantic mackerel was until 2008 managed by a multilateral agreement involving the EU, Iceland, the Faroe Islands and Norway. </w:t>
      </w:r>
      <w:r w:rsidR="0019217A">
        <w:rPr>
          <w:lang w:val="en-US"/>
        </w:rPr>
        <w:t>Failure to agree</w:t>
      </w:r>
      <w:r w:rsidR="00341A10" w:rsidRPr="00341A10">
        <w:rPr>
          <w:lang w:val="en-US"/>
        </w:rPr>
        <w:t xml:space="preserve"> </w:t>
      </w:r>
      <w:r w:rsidR="0019217A">
        <w:rPr>
          <w:lang w:val="en-US"/>
        </w:rPr>
        <w:t>on common standards has impeded the development of management plans</w:t>
      </w:r>
      <w:r w:rsidR="00A462AC">
        <w:rPr>
          <w:lang w:val="en-US"/>
        </w:rPr>
        <w:t xml:space="preserve"> since 2009</w:t>
      </w:r>
      <w:r w:rsidR="0019217A">
        <w:rPr>
          <w:lang w:val="en-US"/>
        </w:rPr>
        <w:t xml:space="preserve">, resulting in some countries </w:t>
      </w:r>
      <w:r w:rsidR="00341A10" w:rsidRPr="00341A10">
        <w:rPr>
          <w:lang w:val="en-US"/>
        </w:rPr>
        <w:t>declar</w:t>
      </w:r>
      <w:r w:rsidR="0019217A">
        <w:rPr>
          <w:lang w:val="en-US"/>
        </w:rPr>
        <w:t>ing</w:t>
      </w:r>
      <w:r w:rsidR="00341A10" w:rsidRPr="00341A10">
        <w:rPr>
          <w:lang w:val="en-US"/>
        </w:rPr>
        <w:t xml:space="preserve"> </w:t>
      </w:r>
      <w:r w:rsidR="0019217A">
        <w:rPr>
          <w:lang w:val="en-US"/>
        </w:rPr>
        <w:t>their</w:t>
      </w:r>
      <w:r w:rsidR="00341A10" w:rsidRPr="00341A10">
        <w:rPr>
          <w:lang w:val="en-US"/>
        </w:rPr>
        <w:t xml:space="preserve"> own TAC without agreement with </w:t>
      </w:r>
      <w:r w:rsidR="0019217A">
        <w:rPr>
          <w:lang w:val="en-US"/>
        </w:rPr>
        <w:t>other</w:t>
      </w:r>
      <w:r w:rsidR="00341A10" w:rsidRPr="00341A10">
        <w:rPr>
          <w:lang w:val="en-US"/>
        </w:rPr>
        <w:t xml:space="preserve"> partners. </w:t>
      </w:r>
      <w:r w:rsidR="00F34C31">
        <w:rPr>
          <w:lang w:val="en-US"/>
        </w:rPr>
        <w:t xml:space="preserve">Such examples suggest that the </w:t>
      </w:r>
      <w:r w:rsidR="0019217A" w:rsidRPr="00341A10">
        <w:rPr>
          <w:lang w:val="en-US"/>
        </w:rPr>
        <w:t xml:space="preserve">EU </w:t>
      </w:r>
      <w:r w:rsidR="00F34C31">
        <w:rPr>
          <w:lang w:val="en-US"/>
        </w:rPr>
        <w:t xml:space="preserve">system, despite all its imperfections, has been progressive in developing </w:t>
      </w:r>
      <w:r>
        <w:rPr>
          <w:lang w:val="en-US"/>
        </w:rPr>
        <w:t>legally-</w:t>
      </w:r>
      <w:r w:rsidR="00341A10" w:rsidRPr="00341A10">
        <w:rPr>
          <w:lang w:val="en-US"/>
        </w:rPr>
        <w:t>binding management measures, with common enforcement standards, on stoc</w:t>
      </w:r>
      <w:r w:rsidR="00406A99">
        <w:rPr>
          <w:lang w:val="en-US"/>
        </w:rPr>
        <w:t>ks shared by sovereign nations.</w:t>
      </w:r>
    </w:p>
    <w:p w:rsidR="00594CA6" w:rsidRDefault="00971B23" w:rsidP="00A51148">
      <w:pPr>
        <w:suppressLineNumbers w:val="0"/>
        <w:spacing w:line="480" w:lineRule="auto"/>
        <w:rPr>
          <w:lang w:val="en-US"/>
        </w:rPr>
      </w:pPr>
      <w:r w:rsidRPr="006C556D">
        <w:rPr>
          <w:lang w:val="en-NZ"/>
        </w:rPr>
        <w:t>Since the inception of the 201</w:t>
      </w:r>
      <w:r w:rsidR="006C556D" w:rsidRPr="006C556D">
        <w:rPr>
          <w:lang w:val="en-NZ"/>
        </w:rPr>
        <w:t>3</w:t>
      </w:r>
      <w:r w:rsidRPr="006C556D">
        <w:rPr>
          <w:lang w:val="en-NZ"/>
        </w:rPr>
        <w:t xml:space="preserve"> CFP</w:t>
      </w:r>
      <w:r w:rsidR="003A20AB" w:rsidRPr="006C556D">
        <w:rPr>
          <w:lang w:val="en-NZ"/>
        </w:rPr>
        <w:t xml:space="preserve">, the </w:t>
      </w:r>
      <w:r w:rsidR="00594CA6" w:rsidRPr="006C556D">
        <w:rPr>
          <w:lang w:val="en-NZ"/>
        </w:rPr>
        <w:t xml:space="preserve">EU has </w:t>
      </w:r>
      <w:r w:rsidR="003A20AB" w:rsidRPr="006C556D">
        <w:rPr>
          <w:lang w:val="en-NZ"/>
        </w:rPr>
        <w:t>strengthened its management objectives (gradual</w:t>
      </w:r>
      <w:r w:rsidR="003A20AB">
        <w:rPr>
          <w:lang w:val="en-NZ"/>
        </w:rPr>
        <w:t xml:space="preserve"> establishment of MSY to all fish stocks) and conservation measures (gradual implementation of discard limitations)</w:t>
      </w:r>
      <w:r>
        <w:rPr>
          <w:lang w:val="en-NZ"/>
        </w:rPr>
        <w:t>,</w:t>
      </w:r>
      <w:r w:rsidR="00B87BA5">
        <w:rPr>
          <w:lang w:val="en-NZ"/>
        </w:rPr>
        <w:t xml:space="preserve"> </w:t>
      </w:r>
      <w:r w:rsidR="003A20AB">
        <w:rPr>
          <w:lang w:val="en-NZ"/>
        </w:rPr>
        <w:t xml:space="preserve">raising better </w:t>
      </w:r>
      <w:r w:rsidR="00E617C1">
        <w:rPr>
          <w:lang w:val="en-NZ"/>
        </w:rPr>
        <w:t xml:space="preserve">prospects for the </w:t>
      </w:r>
      <w:r>
        <w:rPr>
          <w:lang w:val="en-NZ"/>
        </w:rPr>
        <w:t xml:space="preserve">future </w:t>
      </w:r>
      <w:r w:rsidR="00E617C1">
        <w:rPr>
          <w:lang w:val="en-NZ"/>
        </w:rPr>
        <w:t xml:space="preserve">sustainability of its </w:t>
      </w:r>
      <w:r w:rsidR="00F227F2">
        <w:rPr>
          <w:lang w:val="en-NZ"/>
        </w:rPr>
        <w:t>fisheries</w:t>
      </w:r>
      <w:r w:rsidR="00594CA6">
        <w:rPr>
          <w:lang w:val="en-NZ"/>
        </w:rPr>
        <w:t>.</w:t>
      </w:r>
      <w:r w:rsidR="00EE5DAE">
        <w:rPr>
          <w:lang w:val="en-NZ"/>
        </w:rPr>
        <w:t xml:space="preserve"> </w:t>
      </w:r>
      <w:r w:rsidR="00EE5DAE">
        <w:rPr>
          <w:lang w:val="en-US"/>
        </w:rPr>
        <w:t xml:space="preserve">The EU has also considered the difficulties of balancing catches with single-species TACs in mixed fisheries </w:t>
      </w:r>
      <w:r w:rsidR="000159F2">
        <w:rPr>
          <w:lang w:val="en-US"/>
        </w:rPr>
        <w:t>(Laurec et al. 1991; Vinther et al. 2004; Ulrich et al. 2011).</w:t>
      </w:r>
      <w:r w:rsidR="00EE5DAE">
        <w:rPr>
          <w:lang w:val="en-US"/>
        </w:rPr>
        <w:t xml:space="preserve"> ICES has </w:t>
      </w:r>
      <w:r w:rsidR="000159F2">
        <w:rPr>
          <w:lang w:val="en-US"/>
        </w:rPr>
        <w:t xml:space="preserve">accompanied this new management requirement by </w:t>
      </w:r>
      <w:r w:rsidR="00EE5DAE">
        <w:rPr>
          <w:lang w:val="en-US"/>
        </w:rPr>
        <w:t>provid</w:t>
      </w:r>
      <w:r w:rsidR="000159F2">
        <w:rPr>
          <w:lang w:val="en-US"/>
        </w:rPr>
        <w:t>ing</w:t>
      </w:r>
      <w:r w:rsidR="00EE5DAE">
        <w:rPr>
          <w:lang w:val="en-US"/>
        </w:rPr>
        <w:t xml:space="preserve"> mixed fisheries advice in the North Sea (ICES 2013), which may </w:t>
      </w:r>
      <w:r w:rsidR="009C7533">
        <w:rPr>
          <w:lang w:val="en-US"/>
        </w:rPr>
        <w:t>in</w:t>
      </w:r>
      <w:r w:rsidR="00EE5DAE">
        <w:rPr>
          <w:lang w:val="en-US"/>
        </w:rPr>
        <w:t>form the future regional multiannual plans.</w:t>
      </w:r>
      <w:r w:rsidR="000B77B2">
        <w:rPr>
          <w:lang w:val="en-US"/>
        </w:rPr>
        <w:t xml:space="preserve"> </w:t>
      </w:r>
      <w:r w:rsidR="00EE5DAE">
        <w:rPr>
          <w:lang w:val="en-NZ"/>
        </w:rPr>
        <w:t>Finally</w:t>
      </w:r>
      <w:r w:rsidR="00F227F2">
        <w:rPr>
          <w:lang w:val="en-NZ"/>
        </w:rPr>
        <w:t xml:space="preserve">, </w:t>
      </w:r>
      <w:r w:rsidR="00EE3E56">
        <w:rPr>
          <w:lang w:val="en-NZ"/>
        </w:rPr>
        <w:t>similar to</w:t>
      </w:r>
      <w:r w:rsidR="00594CA6">
        <w:rPr>
          <w:lang w:val="en-NZ"/>
        </w:rPr>
        <w:t xml:space="preserve"> many countries in the world, including those considered in this study, </w:t>
      </w:r>
      <w:r w:rsidR="00EE3E56">
        <w:rPr>
          <w:lang w:val="en-NZ"/>
        </w:rPr>
        <w:t>the EU h</w:t>
      </w:r>
      <w:r w:rsidR="00594CA6">
        <w:rPr>
          <w:lang w:val="en-NZ"/>
        </w:rPr>
        <w:t>a</w:t>
      </w:r>
      <w:r w:rsidR="00EE3E56">
        <w:rPr>
          <w:lang w:val="en-NZ"/>
        </w:rPr>
        <w:t>s</w:t>
      </w:r>
      <w:r w:rsidR="00594CA6">
        <w:rPr>
          <w:lang w:val="en-NZ"/>
        </w:rPr>
        <w:t xml:space="preserve"> pursued </w:t>
      </w:r>
      <w:r w:rsidR="00EE3E56">
        <w:rPr>
          <w:lang w:val="en-NZ"/>
        </w:rPr>
        <w:t xml:space="preserve"> </w:t>
      </w:r>
      <w:r w:rsidR="00594CA6">
        <w:rPr>
          <w:lang w:val="en-NZ"/>
        </w:rPr>
        <w:t>significant steps to</w:t>
      </w:r>
      <w:r w:rsidR="00EE3E56">
        <w:rPr>
          <w:lang w:val="en-NZ"/>
        </w:rPr>
        <w:t>wards the</w:t>
      </w:r>
      <w:r w:rsidR="00594CA6">
        <w:rPr>
          <w:lang w:val="en-NZ"/>
        </w:rPr>
        <w:t xml:space="preserve"> implement</w:t>
      </w:r>
      <w:r w:rsidR="00EE3E56">
        <w:rPr>
          <w:lang w:val="en-NZ"/>
        </w:rPr>
        <w:t xml:space="preserve">ation of </w:t>
      </w:r>
      <w:r w:rsidR="00594CA6">
        <w:rPr>
          <w:lang w:val="en-NZ"/>
        </w:rPr>
        <w:t>an ecosystem approach to fisheries</w:t>
      </w:r>
      <w:r w:rsidR="00EE3E56">
        <w:rPr>
          <w:lang w:val="en-NZ"/>
        </w:rPr>
        <w:t xml:space="preserve"> by incepting a Marine Strategy Framework Directive (MSFD) (EC 2008).</w:t>
      </w:r>
      <w:r w:rsidR="00594CA6">
        <w:rPr>
          <w:lang w:val="en-NZ"/>
        </w:rPr>
        <w:t xml:space="preserve"> </w:t>
      </w:r>
      <w:r w:rsidR="00594CA6" w:rsidRPr="00C95F78">
        <w:rPr>
          <w:lang w:val="en-US"/>
        </w:rPr>
        <w:t xml:space="preserve">The future of EU fisheries management is </w:t>
      </w:r>
      <w:r w:rsidR="00EE3E56">
        <w:rPr>
          <w:lang w:val="en-US"/>
        </w:rPr>
        <w:t xml:space="preserve">in fact </w:t>
      </w:r>
      <w:r w:rsidR="00594CA6" w:rsidRPr="00C95F78">
        <w:rPr>
          <w:lang w:val="en-US"/>
        </w:rPr>
        <w:t>intrinsically linked with the setting of a</w:t>
      </w:r>
      <w:r w:rsidR="001E17DC">
        <w:rPr>
          <w:lang w:val="en-US"/>
        </w:rPr>
        <w:t xml:space="preserve"> cross-sectorial </w:t>
      </w:r>
      <w:r w:rsidR="00594CA6" w:rsidRPr="00C95F78">
        <w:rPr>
          <w:lang w:val="en-US"/>
        </w:rPr>
        <w:t>European Maritime Policy, building on the existing MSFD</w:t>
      </w:r>
      <w:r w:rsidR="00EE3E56">
        <w:rPr>
          <w:lang w:val="en-US"/>
        </w:rPr>
        <w:t>, t</w:t>
      </w:r>
      <w:r w:rsidR="00594CA6" w:rsidRPr="00C95F78">
        <w:rPr>
          <w:lang w:val="en-US"/>
        </w:rPr>
        <w:t xml:space="preserve">he </w:t>
      </w:r>
      <w:r w:rsidR="00594CA6" w:rsidRPr="00C95F78">
        <w:rPr>
          <w:lang w:val="en-US"/>
        </w:rPr>
        <w:lastRenderedPageBreak/>
        <w:t xml:space="preserve">purpose of </w:t>
      </w:r>
      <w:r w:rsidR="00EE3E56">
        <w:rPr>
          <w:lang w:val="en-US"/>
        </w:rPr>
        <w:t>which</w:t>
      </w:r>
      <w:r w:rsidR="00594CA6" w:rsidRPr="00C95F78">
        <w:rPr>
          <w:lang w:val="en-US"/>
        </w:rPr>
        <w:t xml:space="preserve"> will be to deal with the cumulative impact of human activities </w:t>
      </w:r>
      <w:r w:rsidR="001E17DC">
        <w:rPr>
          <w:lang w:val="en-US"/>
        </w:rPr>
        <w:t xml:space="preserve">(including fisheries but also </w:t>
      </w:r>
      <w:r w:rsidR="001E17DC" w:rsidRPr="00C95F78">
        <w:rPr>
          <w:lang w:val="en-US"/>
        </w:rPr>
        <w:t xml:space="preserve">maritime transport, coastal tourism, aquaculture, </w:t>
      </w:r>
      <w:r w:rsidR="001E17DC">
        <w:rPr>
          <w:lang w:val="en-US"/>
        </w:rPr>
        <w:t>minerals</w:t>
      </w:r>
      <w:r w:rsidR="00E045D5">
        <w:rPr>
          <w:lang w:val="en-US"/>
        </w:rPr>
        <w:t xml:space="preserve"> </w:t>
      </w:r>
      <w:r w:rsidR="001E17DC" w:rsidRPr="00C95F78">
        <w:rPr>
          <w:lang w:val="en-US"/>
        </w:rPr>
        <w:t>exploitation, and sea-based energy</w:t>
      </w:r>
      <w:r w:rsidR="001E17DC">
        <w:rPr>
          <w:lang w:val="en-US"/>
        </w:rPr>
        <w:t xml:space="preserve"> production)</w:t>
      </w:r>
      <w:r w:rsidR="001E17DC" w:rsidRPr="00C95F78">
        <w:rPr>
          <w:lang w:val="en-US"/>
        </w:rPr>
        <w:t xml:space="preserve"> </w:t>
      </w:r>
      <w:r w:rsidR="00594CA6" w:rsidRPr="00C95F78">
        <w:rPr>
          <w:lang w:val="en-US"/>
        </w:rPr>
        <w:t xml:space="preserve">on the oceans, </w:t>
      </w:r>
      <w:r w:rsidR="001E17DC">
        <w:rPr>
          <w:lang w:val="en-US"/>
        </w:rPr>
        <w:t>in a global change context</w:t>
      </w:r>
      <w:r w:rsidR="00594CA6" w:rsidRPr="00C95F78">
        <w:rPr>
          <w:lang w:val="en-US"/>
        </w:rPr>
        <w:t xml:space="preserve">. This </w:t>
      </w:r>
      <w:r w:rsidR="00EE3E56">
        <w:rPr>
          <w:lang w:val="en-US"/>
        </w:rPr>
        <w:t xml:space="preserve">cross-sectorial management </w:t>
      </w:r>
      <w:r w:rsidR="00E617C1">
        <w:rPr>
          <w:lang w:val="en-US"/>
        </w:rPr>
        <w:t>a</w:t>
      </w:r>
      <w:r w:rsidR="00EE3E56">
        <w:rPr>
          <w:lang w:val="en-US"/>
        </w:rPr>
        <w:t>pproach</w:t>
      </w:r>
      <w:r w:rsidR="00E617C1">
        <w:rPr>
          <w:lang w:val="en-US"/>
        </w:rPr>
        <w:t xml:space="preserve"> </w:t>
      </w:r>
      <w:r w:rsidR="00594CA6" w:rsidRPr="00C95F78">
        <w:rPr>
          <w:lang w:val="en-US"/>
        </w:rPr>
        <w:t xml:space="preserve">challenges the current </w:t>
      </w:r>
      <w:r w:rsidR="00E617C1">
        <w:rPr>
          <w:lang w:val="en-US"/>
        </w:rPr>
        <w:t xml:space="preserve">EU </w:t>
      </w:r>
      <w:r w:rsidR="00594CA6" w:rsidRPr="00C95F78">
        <w:rPr>
          <w:lang w:val="en-US"/>
        </w:rPr>
        <w:t>governance framework of maritime affairs, which has tended to look at maritime activities separately until now.</w:t>
      </w:r>
    </w:p>
    <w:p w:rsidR="00A464A5" w:rsidRPr="00A464A5" w:rsidRDefault="00F26286" w:rsidP="00EB6990">
      <w:pPr>
        <w:suppressLineNumbers w:val="0"/>
        <w:spacing w:line="480" w:lineRule="auto"/>
        <w:rPr>
          <w:color w:val="000000"/>
          <w:lang w:val="en-US"/>
        </w:rPr>
      </w:pPr>
      <w:r>
        <w:rPr>
          <w:lang w:val="en-US"/>
        </w:rPr>
        <w:t>I</w:t>
      </w:r>
      <w:r w:rsidR="00A464A5">
        <w:rPr>
          <w:lang w:val="en-US"/>
        </w:rPr>
        <w:t>n our review</w:t>
      </w:r>
      <w:r>
        <w:rPr>
          <w:lang w:val="en-US"/>
        </w:rPr>
        <w:t xml:space="preserve">, we have not considered how compliance and enforcement were implemented in the different regions. Superficially, the enforcement instruments are </w:t>
      </w:r>
      <w:r w:rsidR="00EB6990">
        <w:rPr>
          <w:lang w:val="en-US"/>
        </w:rPr>
        <w:t xml:space="preserve">essentially </w:t>
      </w:r>
      <w:r>
        <w:rPr>
          <w:lang w:val="en-US"/>
        </w:rPr>
        <w:t>similar</w:t>
      </w:r>
      <w:r w:rsidR="00EB6990">
        <w:rPr>
          <w:lang w:val="en-US"/>
        </w:rPr>
        <w:t xml:space="preserve"> in the four regions</w:t>
      </w:r>
      <w:r>
        <w:rPr>
          <w:lang w:val="en-US"/>
        </w:rPr>
        <w:t xml:space="preserve">: </w:t>
      </w:r>
      <w:r w:rsidR="00EB6990">
        <w:rPr>
          <w:color w:val="000000"/>
          <w:lang w:val="en-US"/>
        </w:rPr>
        <w:t>m</w:t>
      </w:r>
      <w:r w:rsidR="00EB6990" w:rsidRPr="00EB6990">
        <w:rPr>
          <w:color w:val="000000"/>
          <w:lang w:val="en-US"/>
        </w:rPr>
        <w:t>onitoring is carried out through</w:t>
      </w:r>
      <w:r w:rsidR="00EB6990" w:rsidRPr="00EB6990">
        <w:rPr>
          <w:lang w:val="en-US"/>
        </w:rPr>
        <w:t xml:space="preserve"> catch and effort logbooks, independent </w:t>
      </w:r>
      <w:r w:rsidR="00EB6990">
        <w:rPr>
          <w:lang w:val="en-US"/>
        </w:rPr>
        <w:t>government and/or scientist</w:t>
      </w:r>
      <w:r w:rsidR="00EB6990" w:rsidRPr="00EB6990">
        <w:rPr>
          <w:lang w:val="en-US"/>
        </w:rPr>
        <w:t xml:space="preserve"> observers and VMS</w:t>
      </w:r>
      <w:r w:rsidR="00EB6990">
        <w:rPr>
          <w:lang w:val="en-US"/>
        </w:rPr>
        <w:t xml:space="preserve"> (</w:t>
      </w:r>
      <w:r w:rsidR="00A464A5" w:rsidRPr="00A464A5">
        <w:rPr>
          <w:color w:val="000000"/>
          <w:lang w:val="en-US"/>
        </w:rPr>
        <w:t>Vessel Monitoring System).</w:t>
      </w:r>
      <w:r w:rsidR="00EB6990">
        <w:rPr>
          <w:color w:val="000000"/>
          <w:lang w:val="en-US"/>
        </w:rPr>
        <w:t xml:space="preserve"> </w:t>
      </w:r>
      <w:r w:rsidR="00EB6990" w:rsidRPr="00EB6990">
        <w:rPr>
          <w:color w:val="000000"/>
          <w:lang w:val="en-US"/>
        </w:rPr>
        <w:t xml:space="preserve">New Zealand </w:t>
      </w:r>
      <w:r w:rsidR="00EB6990">
        <w:rPr>
          <w:color w:val="000000"/>
          <w:lang w:val="en-US"/>
        </w:rPr>
        <w:t xml:space="preserve">and Australia </w:t>
      </w:r>
      <w:r w:rsidR="00EB6990" w:rsidRPr="00EB6990">
        <w:rPr>
          <w:color w:val="000000"/>
          <w:lang w:val="en-US"/>
        </w:rPr>
        <w:t>ha</w:t>
      </w:r>
      <w:r w:rsidR="00EB6990">
        <w:rPr>
          <w:color w:val="000000"/>
          <w:lang w:val="en-US"/>
        </w:rPr>
        <w:t>ve</w:t>
      </w:r>
      <w:r w:rsidR="00EB6990" w:rsidRPr="00EB6990">
        <w:rPr>
          <w:color w:val="000000"/>
          <w:lang w:val="en-US"/>
        </w:rPr>
        <w:t xml:space="preserve"> also introduced </w:t>
      </w:r>
      <w:r w:rsidR="00EB6990">
        <w:rPr>
          <w:color w:val="000000"/>
          <w:lang w:val="en-US"/>
        </w:rPr>
        <w:t>participative approaches to compliance. In New Zealand, this has materialized by</w:t>
      </w:r>
      <w:r w:rsidR="00EB6990" w:rsidRPr="00EB6990">
        <w:rPr>
          <w:color w:val="000000"/>
          <w:lang w:val="en-US"/>
        </w:rPr>
        <w:t xml:space="preserve"> self-monitoring in several fisheries (Starr, 2000).</w:t>
      </w:r>
      <w:r w:rsidR="00A464A5" w:rsidRPr="00A464A5">
        <w:rPr>
          <w:color w:val="000000"/>
          <w:lang w:val="en-US"/>
        </w:rPr>
        <w:t xml:space="preserve"> Australia has developed a National Fisheries Compliance Strategy that outlines the objectives that Australian fisheries agencies will pursue to promote voluntary compliance and create effective deterrence to illegal fi</w:t>
      </w:r>
      <w:r w:rsidR="00B27610">
        <w:rPr>
          <w:color w:val="000000"/>
          <w:lang w:val="en-US"/>
        </w:rPr>
        <w:t xml:space="preserve">shing activities. </w:t>
      </w:r>
      <w:r w:rsidR="007E46D7">
        <w:rPr>
          <w:color w:val="000000"/>
          <w:lang w:val="en-US"/>
        </w:rPr>
        <w:t xml:space="preserve">Similar initiatives are also increasingly developing on </w:t>
      </w:r>
      <w:r w:rsidR="003941CE">
        <w:rPr>
          <w:color w:val="000000"/>
          <w:lang w:val="en-US"/>
        </w:rPr>
        <w:t xml:space="preserve">a </w:t>
      </w:r>
      <w:r w:rsidR="007E46D7">
        <w:rPr>
          <w:color w:val="000000"/>
          <w:lang w:val="en-US"/>
        </w:rPr>
        <w:t xml:space="preserve">trial basis in the EU. </w:t>
      </w:r>
      <w:r w:rsidR="00B27610">
        <w:rPr>
          <w:color w:val="000000"/>
          <w:lang w:val="en-US"/>
        </w:rPr>
        <w:t>Comparing compliance across regions worldwide could be carried out by considering rates of infringement and standards of enforcement.</w:t>
      </w:r>
    </w:p>
    <w:p w:rsidR="00746ABA" w:rsidRDefault="00F41747" w:rsidP="00746ABA">
      <w:pPr>
        <w:suppressLineNumbers w:val="0"/>
        <w:spacing w:line="480" w:lineRule="auto"/>
        <w:rPr>
          <w:noProof/>
          <w:lang w:val="en-NZ"/>
        </w:rPr>
      </w:pPr>
      <w:r>
        <w:rPr>
          <w:lang w:val="en-US"/>
        </w:rPr>
        <w:t>Finally, w</w:t>
      </w:r>
      <w:r w:rsidR="00746ABA" w:rsidRPr="00746ABA">
        <w:rPr>
          <w:lang w:val="en-US"/>
        </w:rPr>
        <w:t xml:space="preserve">e have compared </w:t>
      </w:r>
      <w:r w:rsidR="00746ABA">
        <w:rPr>
          <w:lang w:val="en-US"/>
        </w:rPr>
        <w:t xml:space="preserve">the performances of fisheries management </w:t>
      </w:r>
      <w:r w:rsidR="00746ABA">
        <w:rPr>
          <w:color w:val="000000"/>
          <w:lang w:val="en-US"/>
        </w:rPr>
        <w:t xml:space="preserve">in the EU and in </w:t>
      </w:r>
      <w:r w:rsidR="00746ABA" w:rsidRPr="00AE606D">
        <w:rPr>
          <w:lang w:val="en-GB"/>
        </w:rPr>
        <w:t>IC-NZ-AU</w:t>
      </w:r>
      <w:r w:rsidR="00746ABA">
        <w:rPr>
          <w:lang w:val="en-GB"/>
        </w:rPr>
        <w:t xml:space="preserve"> based on quantitative conservation and economic criteria. The social performances of fisheries management systems are equally important, but could not </w:t>
      </w:r>
      <w:r>
        <w:rPr>
          <w:lang w:val="en-GB"/>
        </w:rPr>
        <w:t xml:space="preserve">be </w:t>
      </w:r>
      <w:r w:rsidR="00746ABA">
        <w:rPr>
          <w:lang w:val="en-GB"/>
        </w:rPr>
        <w:t>covered in this study. This is mainly because at EU level, social policy is by large a responsibility of the individual member states, and also due to the difficulties to find standard indicators comparable across regions.</w:t>
      </w:r>
      <w:r w:rsidR="00746ABA">
        <w:rPr>
          <w:color w:val="000000"/>
          <w:lang w:val="en-US"/>
        </w:rPr>
        <w:t xml:space="preserve"> </w:t>
      </w:r>
      <w:r w:rsidR="00B276DE">
        <w:rPr>
          <w:color w:val="000000"/>
          <w:lang w:val="en-US"/>
        </w:rPr>
        <w:t>One important aspect is h</w:t>
      </w:r>
      <w:r w:rsidR="00746ABA">
        <w:rPr>
          <w:color w:val="000000"/>
          <w:lang w:val="en-US"/>
        </w:rPr>
        <w:t>ow the different</w:t>
      </w:r>
      <w:r w:rsidR="00746ABA" w:rsidRPr="00C877FA">
        <w:rPr>
          <w:color w:val="000000"/>
          <w:lang w:val="en-US"/>
        </w:rPr>
        <w:t xml:space="preserve"> fisheries management systems </w:t>
      </w:r>
      <w:r w:rsidR="00B276DE">
        <w:rPr>
          <w:color w:val="000000"/>
          <w:lang w:val="en-US"/>
        </w:rPr>
        <w:t xml:space="preserve">make </w:t>
      </w:r>
      <w:r w:rsidR="00746ABA" w:rsidRPr="00C877FA">
        <w:rPr>
          <w:color w:val="000000"/>
          <w:lang w:val="en-US"/>
        </w:rPr>
        <w:t>provision for safeguarding the interests of targeted communities</w:t>
      </w:r>
      <w:r w:rsidR="00746ABA">
        <w:rPr>
          <w:color w:val="000000"/>
          <w:lang w:val="en-US"/>
        </w:rPr>
        <w:t xml:space="preserve">. </w:t>
      </w:r>
      <w:r w:rsidR="00746ABA" w:rsidRPr="005F25C3">
        <w:rPr>
          <w:lang w:val="en-US"/>
        </w:rPr>
        <w:t>In the EU</w:t>
      </w:r>
      <w:r w:rsidR="00746ABA">
        <w:rPr>
          <w:lang w:val="en-US"/>
        </w:rPr>
        <w:t xml:space="preserve">, </w:t>
      </w:r>
      <w:r w:rsidR="00746ABA" w:rsidRPr="005F25C3">
        <w:rPr>
          <w:lang w:val="en-US"/>
        </w:rPr>
        <w:t xml:space="preserve">different programs have been </w:t>
      </w:r>
      <w:r w:rsidR="00746ABA">
        <w:rPr>
          <w:lang w:val="en-US"/>
        </w:rPr>
        <w:t>launched aiming at</w:t>
      </w:r>
      <w:r w:rsidR="00746ABA" w:rsidRPr="005F25C3">
        <w:rPr>
          <w:lang w:val="en-US"/>
        </w:rPr>
        <w:t xml:space="preserve"> revitaliz</w:t>
      </w:r>
      <w:r w:rsidR="00746ABA">
        <w:rPr>
          <w:lang w:val="en-US"/>
        </w:rPr>
        <w:t>ing</w:t>
      </w:r>
      <w:r w:rsidR="00746ABA" w:rsidRPr="005F25C3">
        <w:rPr>
          <w:lang w:val="en-US"/>
        </w:rPr>
        <w:t xml:space="preserve"> </w:t>
      </w:r>
      <w:r w:rsidR="00746ABA">
        <w:rPr>
          <w:lang w:val="en-US"/>
        </w:rPr>
        <w:t>fisheries-dependent</w:t>
      </w:r>
      <w:r w:rsidR="00746ABA" w:rsidRPr="005F25C3">
        <w:rPr>
          <w:lang w:val="en-US"/>
        </w:rPr>
        <w:t xml:space="preserve"> areas. Examples of this are the Financial Instrument for Fisheries Guidance (FIFG, 1994-2006), the European </w:t>
      </w:r>
      <w:r w:rsidR="00746ABA">
        <w:rPr>
          <w:lang w:val="en-US"/>
        </w:rPr>
        <w:t>F</w:t>
      </w:r>
      <w:r w:rsidR="00746ABA" w:rsidRPr="005F25C3">
        <w:rPr>
          <w:lang w:val="en-US"/>
        </w:rPr>
        <w:t xml:space="preserve">isheries </w:t>
      </w:r>
      <w:r w:rsidR="00746ABA">
        <w:rPr>
          <w:lang w:val="en-US"/>
        </w:rPr>
        <w:t>F</w:t>
      </w:r>
      <w:r w:rsidR="00746ABA" w:rsidRPr="005F25C3">
        <w:rPr>
          <w:lang w:val="en-US"/>
        </w:rPr>
        <w:t xml:space="preserve">und (EFF, 2007-2013) or the new European </w:t>
      </w:r>
      <w:r w:rsidR="00746ABA" w:rsidRPr="005F25C3">
        <w:rPr>
          <w:lang w:val="en-US"/>
        </w:rPr>
        <w:lastRenderedPageBreak/>
        <w:t>Maritime and Fi</w:t>
      </w:r>
      <w:r w:rsidR="00746ABA">
        <w:rPr>
          <w:lang w:val="en-US"/>
        </w:rPr>
        <w:t xml:space="preserve">sheries Fund (EMFF, 2014-2020), </w:t>
      </w:r>
      <w:r w:rsidR="00746ABA" w:rsidRPr="005F25C3">
        <w:rPr>
          <w:lang w:val="en-US"/>
        </w:rPr>
        <w:t>wi</w:t>
      </w:r>
      <w:r w:rsidR="00746ABA">
        <w:rPr>
          <w:lang w:val="en-US"/>
        </w:rPr>
        <w:t>th a stronger emphasis on small-scale fisheries and community-</w:t>
      </w:r>
      <w:r w:rsidR="00746ABA" w:rsidRPr="005F25C3">
        <w:rPr>
          <w:lang w:val="en-US"/>
        </w:rPr>
        <w:t>lead initiatives.</w:t>
      </w:r>
      <w:r w:rsidR="00746ABA">
        <w:rPr>
          <w:lang w:val="en-US"/>
        </w:rPr>
        <w:t xml:space="preserve"> </w:t>
      </w:r>
      <w:r w:rsidR="00746ABA" w:rsidRPr="00C877FA">
        <w:rPr>
          <w:color w:val="000000"/>
          <w:lang w:val="en-US"/>
        </w:rPr>
        <w:t xml:space="preserve">In New Zealand, </w:t>
      </w:r>
      <w:r w:rsidR="00F31A85">
        <w:rPr>
          <w:color w:val="000000"/>
          <w:lang w:val="en-US"/>
        </w:rPr>
        <w:t>t</w:t>
      </w:r>
      <w:r w:rsidR="00F31A85">
        <w:rPr>
          <w:lang w:val="en-NZ"/>
        </w:rPr>
        <w:t xml:space="preserve">he 1992 Fisheries Claims Settlement secured Maori 20 % of the quota of any new QMS species and 50% of the shares of Sealord, the most important fishing company at that time (Hersoug 2002; Johnson and Haworth 2004; Yandle and Dewees 2008). </w:t>
      </w:r>
      <w:r w:rsidR="00746ABA" w:rsidRPr="00C95F78">
        <w:rPr>
          <w:lang w:val="en-US"/>
        </w:rPr>
        <w:t xml:space="preserve">In Iceland, </w:t>
      </w:r>
      <w:r w:rsidR="00746ABA">
        <w:rPr>
          <w:lang w:val="en-US"/>
        </w:rPr>
        <w:t>t</w:t>
      </w:r>
      <w:r w:rsidR="00746ABA" w:rsidRPr="00C95F78">
        <w:rPr>
          <w:color w:val="000000"/>
          <w:lang w:val="en-US"/>
        </w:rPr>
        <w:t>he Fisheries Management Act was revised in 20</w:t>
      </w:r>
      <w:r w:rsidR="002031C5">
        <w:rPr>
          <w:color w:val="000000"/>
          <w:lang w:val="en-US"/>
        </w:rPr>
        <w:t>09</w:t>
      </w:r>
      <w:r w:rsidR="00746ABA" w:rsidRPr="00C95F78">
        <w:rPr>
          <w:color w:val="000000"/>
          <w:lang w:val="en-US"/>
        </w:rPr>
        <w:t xml:space="preserve"> to support the interests of smaller coastal communities</w:t>
      </w:r>
      <w:r w:rsidR="002031C5">
        <w:rPr>
          <w:color w:val="000000"/>
          <w:lang w:val="en-US"/>
        </w:rPr>
        <w:t>, by introducing a specific derby-style coastal fishery</w:t>
      </w:r>
      <w:r w:rsidR="00746ABA" w:rsidRPr="00C95F78">
        <w:rPr>
          <w:color w:val="000000"/>
          <w:lang w:val="en-US"/>
        </w:rPr>
        <w:t xml:space="preserve">. </w:t>
      </w:r>
      <w:r w:rsidR="00746ABA">
        <w:rPr>
          <w:bCs/>
          <w:color w:val="000000" w:themeColor="text1"/>
          <w:lang w:val="en-NZ"/>
        </w:rPr>
        <w:t xml:space="preserve">This legislation was introduced mainly as a response to political pressures based on perceived negative social effects of the ITQ system, mainly fleet rationalization and regional issues. </w:t>
      </w:r>
      <w:r w:rsidR="00746ABA">
        <w:rPr>
          <w:noProof/>
          <w:lang w:val="en-NZ"/>
        </w:rPr>
        <w:t xml:space="preserve">In Australia, Torres Strait fisheries are managed in accordance with the </w:t>
      </w:r>
      <w:r w:rsidR="00746ABA" w:rsidRPr="000E5721">
        <w:rPr>
          <w:i/>
          <w:noProof/>
          <w:lang w:val="en-NZ"/>
        </w:rPr>
        <w:t>Torres Strait Treaty</w:t>
      </w:r>
      <w:r w:rsidR="00746ABA">
        <w:rPr>
          <w:noProof/>
          <w:lang w:val="en-NZ"/>
        </w:rPr>
        <w:t xml:space="preserve"> signed by Australia and Papua New Guinea. Since 1989, all non-indigenous participation in Torres Strait fisheries has been capped to protect aboriginal fishing activities.</w:t>
      </w:r>
      <w:r w:rsidR="009F00FB" w:rsidRPr="009F00FB">
        <w:rPr>
          <w:color w:val="000000"/>
          <w:lang w:val="en-US"/>
        </w:rPr>
        <w:t xml:space="preserve"> </w:t>
      </w:r>
      <w:r w:rsidR="009F00FB">
        <w:rPr>
          <w:color w:val="000000"/>
          <w:lang w:val="en-US"/>
        </w:rPr>
        <w:t xml:space="preserve">Future work could then compare the extent to which the conservation and economic performances of the different systems are </w:t>
      </w:r>
      <w:r w:rsidR="00E52C84">
        <w:rPr>
          <w:color w:val="000000"/>
          <w:lang w:val="en-US"/>
        </w:rPr>
        <w:t>related to</w:t>
      </w:r>
      <w:r w:rsidR="009F00FB">
        <w:rPr>
          <w:color w:val="000000"/>
          <w:lang w:val="en-US"/>
        </w:rPr>
        <w:t xml:space="preserve"> the inclusion of coastal communities in fisheries policies.</w:t>
      </w:r>
    </w:p>
    <w:p w:rsidR="00A44B26" w:rsidRPr="00594CA6" w:rsidRDefault="00A44B26" w:rsidP="00A51148">
      <w:pPr>
        <w:pStyle w:val="Brdtekst3"/>
        <w:spacing w:line="480" w:lineRule="auto"/>
        <w:ind w:right="283"/>
      </w:pPr>
    </w:p>
    <w:p w:rsidR="008555FC" w:rsidRPr="004F22C4" w:rsidRDefault="008555FC" w:rsidP="00A51148">
      <w:pPr>
        <w:pStyle w:val="Brdtekst3"/>
        <w:spacing w:line="480" w:lineRule="auto"/>
        <w:ind w:right="283"/>
        <w:rPr>
          <w:b/>
          <w:sz w:val="28"/>
          <w:szCs w:val="28"/>
        </w:rPr>
      </w:pPr>
      <w:r>
        <w:rPr>
          <w:b/>
          <w:sz w:val="28"/>
          <w:szCs w:val="28"/>
        </w:rPr>
        <w:t>Acknowledgements</w:t>
      </w:r>
    </w:p>
    <w:p w:rsidR="00FB48CA" w:rsidRDefault="00BE5269" w:rsidP="00A51148">
      <w:pPr>
        <w:suppressLineNumbers w:val="0"/>
        <w:spacing w:line="480" w:lineRule="auto"/>
        <w:ind w:right="283"/>
        <w:rPr>
          <w:lang w:val="en-NZ"/>
        </w:rPr>
      </w:pPr>
      <w:r w:rsidRPr="00BE5269">
        <w:rPr>
          <w:lang w:val="en-NZ"/>
        </w:rPr>
        <w:t>The research leading to these results has received funding from the European Union Seventh Framework Programme (FP 7/2007-2013) u</w:t>
      </w:r>
      <w:r>
        <w:rPr>
          <w:lang w:val="en-NZ"/>
        </w:rPr>
        <w:t>nder grant agreement No. 289192</w:t>
      </w:r>
      <w:r w:rsidR="00B92EE8">
        <w:rPr>
          <w:lang w:val="en-NZ"/>
        </w:rPr>
        <w:t>.</w:t>
      </w:r>
      <w:r w:rsidR="00E13EE2">
        <w:rPr>
          <w:lang w:val="en-NZ"/>
        </w:rPr>
        <w:t xml:space="preserve"> The paper also </w:t>
      </w:r>
      <w:r w:rsidR="003458F3">
        <w:rPr>
          <w:lang w:val="en-NZ"/>
        </w:rPr>
        <w:t xml:space="preserve">greatly </w:t>
      </w:r>
      <w:r w:rsidR="00E13EE2">
        <w:rPr>
          <w:lang w:val="en-NZ"/>
        </w:rPr>
        <w:t>benefitted from the thorough and thoughtful comments of four anonymous referees.</w:t>
      </w:r>
    </w:p>
    <w:p w:rsidR="00B92EE8" w:rsidRDefault="00B92EE8" w:rsidP="00A51148">
      <w:pPr>
        <w:suppressLineNumbers w:val="0"/>
        <w:spacing w:line="480" w:lineRule="auto"/>
        <w:ind w:right="283"/>
        <w:rPr>
          <w:lang w:val="en-NZ"/>
        </w:rPr>
      </w:pPr>
    </w:p>
    <w:p w:rsidR="008555FC" w:rsidRPr="004F22C4" w:rsidRDefault="008555FC" w:rsidP="00A51148">
      <w:pPr>
        <w:pStyle w:val="Brdtekst3"/>
        <w:spacing w:line="480" w:lineRule="auto"/>
        <w:ind w:right="283"/>
        <w:rPr>
          <w:b/>
          <w:sz w:val="28"/>
          <w:szCs w:val="28"/>
        </w:rPr>
      </w:pPr>
      <w:r>
        <w:rPr>
          <w:b/>
          <w:sz w:val="28"/>
          <w:szCs w:val="28"/>
        </w:rPr>
        <w:t>References</w:t>
      </w:r>
    </w:p>
    <w:p w:rsidR="00594CA6" w:rsidRPr="00594CA6" w:rsidRDefault="00594CA6" w:rsidP="00A51148">
      <w:pPr>
        <w:suppressLineNumbers w:val="0"/>
        <w:spacing w:line="480" w:lineRule="auto"/>
        <w:ind w:left="773" w:hangingChars="322" w:hanging="773"/>
        <w:rPr>
          <w:lang w:val="en-GB"/>
        </w:rPr>
      </w:pPr>
      <w:r w:rsidRPr="00EE69E3">
        <w:rPr>
          <w:lang w:val="da-DK"/>
        </w:rPr>
        <w:t xml:space="preserve">Agnarsson, S. </w:t>
      </w:r>
      <w:r w:rsidR="007F10CB" w:rsidRPr="00EE69E3">
        <w:rPr>
          <w:lang w:val="da-DK"/>
        </w:rPr>
        <w:t>(</w:t>
      </w:r>
      <w:r w:rsidRPr="00EE69E3">
        <w:rPr>
          <w:lang w:val="da-DK"/>
        </w:rPr>
        <w:t>2011</w:t>
      </w:r>
      <w:r w:rsidR="007F10CB" w:rsidRPr="00EE69E3">
        <w:rPr>
          <w:lang w:val="da-DK"/>
        </w:rPr>
        <w:t>)</w:t>
      </w:r>
      <w:r w:rsidRPr="00EE69E3">
        <w:rPr>
          <w:lang w:val="da-DK"/>
        </w:rPr>
        <w:t xml:space="preserve"> Framleiðni í fiskveiðum 1973</w:t>
      </w:r>
      <w:r w:rsidRPr="00EE69E3">
        <w:rPr>
          <w:rFonts w:ascii="Cambria Math" w:hAnsi="Cambria Math" w:cs="Cambria Math"/>
          <w:lang w:val="da-DK"/>
        </w:rPr>
        <w:t>‐</w:t>
      </w:r>
      <w:r w:rsidRPr="00EE69E3">
        <w:rPr>
          <w:lang w:val="da-DK"/>
        </w:rPr>
        <w:t>2008. Erindi flutt á málþing</w:t>
      </w:r>
      <w:r w:rsidR="00347E92" w:rsidRPr="00EE69E3">
        <w:rPr>
          <w:lang w:val="da-DK"/>
        </w:rPr>
        <w:t xml:space="preserve">i áhugamanna um sjávarútvegsmál </w:t>
      </w:r>
      <w:r w:rsidRPr="00EE69E3">
        <w:rPr>
          <w:lang w:val="da-DK"/>
        </w:rPr>
        <w:t>15.3 2011.</w:t>
      </w:r>
      <w:r w:rsidR="00967728" w:rsidRPr="00EE69E3">
        <w:rPr>
          <w:lang w:val="da-DK"/>
        </w:rPr>
        <w:t xml:space="preserve"> </w:t>
      </w:r>
      <w:hyperlink r:id="rId10" w:history="1">
        <w:r w:rsidR="00967728" w:rsidRPr="00C47B7F">
          <w:rPr>
            <w:rStyle w:val="Hyperlink"/>
          </w:rPr>
          <w:t>http://kvotakerfid.is/is/sidur/kvotakerfi-og-landsbyggd-hagkvaemni-byggdi</w:t>
        </w:r>
      </w:hyperlink>
      <w:r w:rsidRPr="00C47B7F">
        <w:t>.</w:t>
      </w:r>
      <w:r w:rsidR="007F10CB" w:rsidRPr="00C47B7F">
        <w:t xml:space="preserve"> </w:t>
      </w:r>
      <w:r w:rsidR="007F10CB">
        <w:rPr>
          <w:lang w:val="en-GB"/>
        </w:rPr>
        <w:t>[In Icelandic.]</w:t>
      </w:r>
    </w:p>
    <w:p w:rsidR="007F10CB" w:rsidRDefault="00594CA6" w:rsidP="00A51148">
      <w:pPr>
        <w:suppressLineNumbers w:val="0"/>
        <w:spacing w:line="480" w:lineRule="auto"/>
        <w:ind w:left="773" w:hangingChars="322" w:hanging="773"/>
        <w:rPr>
          <w:lang w:val="en-US"/>
        </w:rPr>
      </w:pPr>
      <w:r w:rsidRPr="00594CA6">
        <w:rPr>
          <w:lang w:val="en-US"/>
        </w:rPr>
        <w:t xml:space="preserve">Annala, J.H. </w:t>
      </w:r>
      <w:r w:rsidR="007F10CB">
        <w:rPr>
          <w:lang w:val="en-US"/>
        </w:rPr>
        <w:t>(</w:t>
      </w:r>
      <w:r w:rsidRPr="00594CA6">
        <w:rPr>
          <w:lang w:val="en-US"/>
        </w:rPr>
        <w:t>1996</w:t>
      </w:r>
      <w:r w:rsidR="007F10CB">
        <w:rPr>
          <w:lang w:val="en-US"/>
        </w:rPr>
        <w:t>)</w:t>
      </w:r>
      <w:r w:rsidRPr="00594CA6">
        <w:rPr>
          <w:lang w:val="en-US"/>
        </w:rPr>
        <w:t xml:space="preserve"> New Zealand's ITQ system: have the first eight years been a success or a failure? </w:t>
      </w:r>
      <w:r w:rsidRPr="00594CA6">
        <w:rPr>
          <w:i/>
          <w:iCs/>
          <w:lang w:val="en-US"/>
        </w:rPr>
        <w:lastRenderedPageBreak/>
        <w:t>Reviews in Fish Biology and Fisheries</w:t>
      </w:r>
      <w:r w:rsidRPr="00594CA6">
        <w:rPr>
          <w:lang w:val="en-US"/>
        </w:rPr>
        <w:t xml:space="preserve"> 6, </w:t>
      </w:r>
      <w:r w:rsidR="007F10CB">
        <w:rPr>
          <w:lang w:val="en-US"/>
        </w:rPr>
        <w:t>43-62</w:t>
      </w:r>
      <w:r w:rsidRPr="00594CA6">
        <w:rPr>
          <w:lang w:val="en-US"/>
        </w:rPr>
        <w:t>.</w:t>
      </w:r>
    </w:p>
    <w:p w:rsidR="00594CA6" w:rsidRPr="00594CA6" w:rsidRDefault="007F10CB" w:rsidP="00A51148">
      <w:pPr>
        <w:suppressLineNumbers w:val="0"/>
        <w:spacing w:line="480" w:lineRule="auto"/>
        <w:ind w:left="773" w:hangingChars="322" w:hanging="773"/>
        <w:rPr>
          <w:lang w:val="en-GB"/>
        </w:rPr>
      </w:pPr>
      <w:r>
        <w:rPr>
          <w:lang w:val="en-GB"/>
        </w:rPr>
        <w:t>Anonymous</w:t>
      </w:r>
      <w:r w:rsidR="00594CA6" w:rsidRPr="00594CA6">
        <w:rPr>
          <w:lang w:val="en-GB"/>
        </w:rPr>
        <w:t xml:space="preserve"> </w:t>
      </w:r>
      <w:r>
        <w:rPr>
          <w:lang w:val="en-GB"/>
        </w:rPr>
        <w:t>(</w:t>
      </w:r>
      <w:r w:rsidR="00594CA6" w:rsidRPr="00594CA6">
        <w:rPr>
          <w:lang w:val="en-GB"/>
        </w:rPr>
        <w:t>2005</w:t>
      </w:r>
      <w:r>
        <w:rPr>
          <w:lang w:val="en-GB"/>
        </w:rPr>
        <w:t>)</w:t>
      </w:r>
      <w:r w:rsidR="00594CA6" w:rsidRPr="00594CA6">
        <w:rPr>
          <w:lang w:val="en-GB"/>
        </w:rPr>
        <w:t xml:space="preserve"> New Zealand Fisheries Legislation. Fisheries Act 1996, 7th edn, Vol. A. Chapmann Tripp, Barristers &amp; Solicitors, New Zealand.</w:t>
      </w:r>
    </w:p>
    <w:p w:rsidR="00594CA6" w:rsidRPr="00594CA6" w:rsidRDefault="00594CA6" w:rsidP="00A51148">
      <w:pPr>
        <w:suppressLineNumbers w:val="0"/>
        <w:spacing w:line="480" w:lineRule="auto"/>
        <w:ind w:left="773" w:hangingChars="322" w:hanging="773"/>
        <w:rPr>
          <w:lang w:val="en-GB"/>
        </w:rPr>
      </w:pPr>
      <w:r w:rsidRPr="00594CA6">
        <w:rPr>
          <w:lang w:val="en-GB"/>
        </w:rPr>
        <w:t xml:space="preserve">Anonymous </w:t>
      </w:r>
      <w:r w:rsidR="007F10CB">
        <w:rPr>
          <w:lang w:val="en-GB"/>
        </w:rPr>
        <w:t>(</w:t>
      </w:r>
      <w:r w:rsidRPr="00594CA6">
        <w:rPr>
          <w:lang w:val="en-GB"/>
        </w:rPr>
        <w:t>2008</w:t>
      </w:r>
      <w:r w:rsidR="007F10CB">
        <w:rPr>
          <w:lang w:val="en-GB"/>
        </w:rPr>
        <w:t>)</w:t>
      </w:r>
      <w:r w:rsidRPr="00594CA6">
        <w:rPr>
          <w:lang w:val="en-GB"/>
        </w:rPr>
        <w:t xml:space="preserve"> Australian Fisheries Administration Act 1991. Act No. 161 of 1991 as amended, taking into account amendments up to Act No. 36 of 2008, Office of Legislative Drafting and Publishing, Attorney-General’s Department, Canberra, 69 pp.</w:t>
      </w:r>
    </w:p>
    <w:p w:rsidR="00594CA6" w:rsidRPr="00594CA6" w:rsidRDefault="00594CA6" w:rsidP="00A51148">
      <w:pPr>
        <w:suppressLineNumbers w:val="0"/>
        <w:spacing w:line="480" w:lineRule="auto"/>
        <w:ind w:left="773" w:hangingChars="322" w:hanging="773"/>
        <w:rPr>
          <w:lang w:val="en-GB"/>
        </w:rPr>
      </w:pPr>
      <w:r w:rsidRPr="00594CA6">
        <w:rPr>
          <w:lang w:val="en-GB"/>
        </w:rPr>
        <w:t xml:space="preserve">Anonymous </w:t>
      </w:r>
      <w:r w:rsidR="007F10CB">
        <w:rPr>
          <w:lang w:val="en-GB"/>
        </w:rPr>
        <w:t>(</w:t>
      </w:r>
      <w:r w:rsidRPr="00594CA6">
        <w:rPr>
          <w:lang w:val="en-GB"/>
        </w:rPr>
        <w:t>2009</w:t>
      </w:r>
      <w:r w:rsidR="007F10CB">
        <w:rPr>
          <w:lang w:val="en-GB"/>
        </w:rPr>
        <w:t>)</w:t>
      </w:r>
      <w:r w:rsidRPr="00594CA6">
        <w:rPr>
          <w:lang w:val="en-GB"/>
        </w:rPr>
        <w:t xml:space="preserve"> Australian Fisheries Management Act 1991. Act No. 162 of 1991 as amended, taking into account amendments up to Act No. 33 of 2009, Office of Legislative Drafting and Publishing, Attorney-General’s Department, Canberra, 407 pp.</w:t>
      </w:r>
    </w:p>
    <w:p w:rsidR="00A60746" w:rsidRDefault="00A60746" w:rsidP="00A51148">
      <w:pPr>
        <w:suppressLineNumbers w:val="0"/>
        <w:spacing w:line="480" w:lineRule="auto"/>
        <w:ind w:left="773" w:hangingChars="322" w:hanging="773"/>
        <w:rPr>
          <w:lang w:val="es-ES"/>
        </w:rPr>
      </w:pPr>
      <w:r w:rsidRPr="00A22B08">
        <w:rPr>
          <w:lang w:val="es-ES"/>
        </w:rPr>
        <w:t xml:space="preserve">Aranda, M., </w:t>
      </w:r>
      <w:r w:rsidR="006B5A87">
        <w:rPr>
          <w:lang w:val="es-ES"/>
        </w:rPr>
        <w:t>and Murillas, A.</w:t>
      </w:r>
      <w:r w:rsidRPr="00A22B08">
        <w:rPr>
          <w:lang w:val="es-ES"/>
        </w:rPr>
        <w:t xml:space="preserve"> (201</w:t>
      </w:r>
      <w:r w:rsidR="006B5A87">
        <w:rPr>
          <w:lang w:val="es-ES"/>
        </w:rPr>
        <w:t>5</w:t>
      </w:r>
      <w:r w:rsidRPr="00A22B08">
        <w:rPr>
          <w:lang w:val="es-ES"/>
        </w:rPr>
        <w:t xml:space="preserve">) </w:t>
      </w:r>
      <w:r w:rsidR="006B5A87">
        <w:rPr>
          <w:lang w:val="es-ES"/>
        </w:rPr>
        <w:t>Allocation of fishing possibilities, incentives and outcomes: Insights from Basque fishermen’s organizations in Spain</w:t>
      </w:r>
      <w:r>
        <w:rPr>
          <w:lang w:val="es-ES"/>
        </w:rPr>
        <w:t>.</w:t>
      </w:r>
      <w:r w:rsidR="006B5A87">
        <w:rPr>
          <w:lang w:val="es-ES"/>
        </w:rPr>
        <w:t xml:space="preserve"> </w:t>
      </w:r>
      <w:r w:rsidR="006B5A87" w:rsidRPr="006B5A87">
        <w:rPr>
          <w:i/>
          <w:lang w:val="es-ES"/>
        </w:rPr>
        <w:t>Marine Policy</w:t>
      </w:r>
      <w:r w:rsidR="006B5A87">
        <w:rPr>
          <w:lang w:val="es-ES"/>
        </w:rPr>
        <w:t xml:space="preserve"> 61, 171-178.</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Arnason, R. </w:t>
      </w:r>
      <w:r w:rsidR="00611C71">
        <w:rPr>
          <w:lang w:val="en-US"/>
        </w:rPr>
        <w:t>(</w:t>
      </w:r>
      <w:r w:rsidRPr="00594CA6">
        <w:rPr>
          <w:lang w:val="en-US"/>
        </w:rPr>
        <w:t>1995</w:t>
      </w:r>
      <w:r w:rsidR="00611C71">
        <w:rPr>
          <w:lang w:val="en-US"/>
        </w:rPr>
        <w:t>)</w:t>
      </w:r>
      <w:r w:rsidRPr="00594CA6">
        <w:rPr>
          <w:lang w:val="en-US"/>
        </w:rPr>
        <w:t xml:space="preserve"> </w:t>
      </w:r>
      <w:r w:rsidRPr="00594CA6">
        <w:rPr>
          <w:i/>
          <w:iCs/>
          <w:lang w:val="en-US"/>
        </w:rPr>
        <w:t xml:space="preserve">The Icelandic Fisheries: Evolution and management of a fishing industry. </w:t>
      </w:r>
      <w:r w:rsidRPr="00594CA6">
        <w:rPr>
          <w:lang w:val="en-US"/>
        </w:rPr>
        <w:t>Oxford:</w:t>
      </w:r>
      <w:r w:rsidR="00F1523A">
        <w:rPr>
          <w:lang w:val="en-US"/>
        </w:rPr>
        <w:t xml:space="preserve"> </w:t>
      </w:r>
      <w:r w:rsidRPr="00594CA6">
        <w:rPr>
          <w:lang w:val="en-US"/>
        </w:rPr>
        <w:t>Fishing News Books.</w:t>
      </w:r>
    </w:p>
    <w:p w:rsidR="00594CA6" w:rsidRDefault="00594CA6" w:rsidP="00A51148">
      <w:pPr>
        <w:suppressLineNumbers w:val="0"/>
        <w:spacing w:line="480" w:lineRule="auto"/>
        <w:ind w:left="773" w:hangingChars="322" w:hanging="773"/>
        <w:rPr>
          <w:lang w:val="en-US"/>
        </w:rPr>
      </w:pPr>
      <w:r w:rsidRPr="00594CA6">
        <w:rPr>
          <w:lang w:val="en-US"/>
        </w:rPr>
        <w:t xml:space="preserve">Arnason, R. </w:t>
      </w:r>
      <w:r w:rsidR="00611C71">
        <w:rPr>
          <w:lang w:val="en-US"/>
        </w:rPr>
        <w:t>(</w:t>
      </w:r>
      <w:r w:rsidRPr="00594CA6">
        <w:rPr>
          <w:lang w:val="en-US"/>
        </w:rPr>
        <w:t>2003</w:t>
      </w:r>
      <w:r w:rsidR="00611C71">
        <w:rPr>
          <w:lang w:val="en-US"/>
        </w:rPr>
        <w:t>)</w:t>
      </w:r>
      <w:r w:rsidRPr="00594CA6">
        <w:rPr>
          <w:lang w:val="en-US"/>
        </w:rPr>
        <w:t xml:space="preserve"> On Productivity and Productivity Growth in the Icelandic Fisheries. In (E. Guðmundsson and H.Þ. Valtýsson (eds.) </w:t>
      </w:r>
      <w:r w:rsidRPr="00594CA6">
        <w:rPr>
          <w:i/>
          <w:iCs/>
          <w:lang w:val="en-US"/>
        </w:rPr>
        <w:t>Competitiveness within the Global Fisheries</w:t>
      </w:r>
      <w:r w:rsidRPr="00594CA6">
        <w:rPr>
          <w:lang w:val="en-US"/>
        </w:rPr>
        <w:t xml:space="preserve">. University of Akureyri. </w:t>
      </w:r>
    </w:p>
    <w:p w:rsidR="00310611" w:rsidRPr="00594CA6" w:rsidRDefault="00310611" w:rsidP="00A51148">
      <w:pPr>
        <w:suppressLineNumbers w:val="0"/>
        <w:spacing w:line="480" w:lineRule="auto"/>
        <w:ind w:left="773" w:hangingChars="322" w:hanging="773"/>
        <w:rPr>
          <w:lang w:val="en-US"/>
        </w:rPr>
      </w:pPr>
      <w:r>
        <w:rPr>
          <w:lang w:val="en-US"/>
        </w:rPr>
        <w:t xml:space="preserve">Beare, D., Rijnsdorp, A.D., Blaesberg, M. et al. (2013) Evaluating the </w:t>
      </w:r>
      <w:r w:rsidR="00C50D1B">
        <w:rPr>
          <w:lang w:val="en-US"/>
        </w:rPr>
        <w:t xml:space="preserve">effect of fishery closures: Lessons learnt from the Plaice Box. </w:t>
      </w:r>
      <w:r w:rsidR="00C50D1B" w:rsidRPr="00D764B5">
        <w:rPr>
          <w:i/>
          <w:lang w:val="en-US"/>
        </w:rPr>
        <w:t>Journal of Sea Research</w:t>
      </w:r>
      <w:r w:rsidR="00C50D1B">
        <w:rPr>
          <w:lang w:val="en-US"/>
        </w:rPr>
        <w:t xml:space="preserve"> 84, 49-60.</w:t>
      </w:r>
    </w:p>
    <w:p w:rsidR="00356E3B" w:rsidRDefault="00356E3B" w:rsidP="00A51148">
      <w:pPr>
        <w:suppressLineNumbers w:val="0"/>
        <w:spacing w:line="480" w:lineRule="auto"/>
        <w:ind w:left="773" w:hangingChars="322" w:hanging="773"/>
        <w:rPr>
          <w:lang w:val="en-US"/>
        </w:rPr>
      </w:pPr>
      <w:r>
        <w:rPr>
          <w:lang w:val="en-US"/>
        </w:rPr>
        <w:t xml:space="preserve">Benediktsson, K., and Karlsdottir, A. (2011) Iceland crisis and regional development – Thanks for all the fish? </w:t>
      </w:r>
      <w:r w:rsidRPr="006B5A87">
        <w:rPr>
          <w:i/>
          <w:lang w:val="en-US"/>
        </w:rPr>
        <w:t>European Urban and Regional Studies</w:t>
      </w:r>
      <w:r>
        <w:rPr>
          <w:lang w:val="en-US"/>
        </w:rPr>
        <w:t xml:space="preserve"> 18, 228-235.</w:t>
      </w:r>
    </w:p>
    <w:p w:rsidR="005F214F" w:rsidRPr="00952354" w:rsidRDefault="005F214F" w:rsidP="00A51148">
      <w:pPr>
        <w:suppressLineNumbers w:val="0"/>
        <w:spacing w:line="480" w:lineRule="auto"/>
        <w:ind w:left="773" w:hangingChars="322" w:hanging="773"/>
      </w:pPr>
      <w:r>
        <w:rPr>
          <w:lang w:val="en-US"/>
        </w:rPr>
        <w:t xml:space="preserve">Branch, T.A., Rutherford, K., and Hilborn, R. (2006) Replacing trip limits with individual transferable quotas: implications for discarding. </w:t>
      </w:r>
      <w:r w:rsidRPr="00952354">
        <w:rPr>
          <w:i/>
        </w:rPr>
        <w:t>Marine Policy</w:t>
      </w:r>
      <w:r w:rsidRPr="00952354">
        <w:t xml:space="preserve"> 30, 281-292.</w:t>
      </w:r>
    </w:p>
    <w:p w:rsidR="00594CA6" w:rsidRPr="00594CA6" w:rsidRDefault="00594CA6" w:rsidP="00A51148">
      <w:pPr>
        <w:suppressLineNumbers w:val="0"/>
        <w:spacing w:line="480" w:lineRule="auto"/>
        <w:ind w:left="773" w:hangingChars="322" w:hanging="773"/>
        <w:rPr>
          <w:lang w:val="en-US"/>
        </w:rPr>
      </w:pPr>
      <w:r w:rsidRPr="00C0463E">
        <w:t xml:space="preserve">Cardinale, M., Dörner, H., Abella, A. </w:t>
      </w:r>
      <w:r w:rsidR="00611C71" w:rsidRPr="00C0463E">
        <w:t>et al.</w:t>
      </w:r>
      <w:r w:rsidRPr="00C0463E">
        <w:t xml:space="preserve"> </w:t>
      </w:r>
      <w:r w:rsidR="00611C71" w:rsidRPr="00611C71">
        <w:rPr>
          <w:lang w:val="en-US"/>
        </w:rPr>
        <w:t>(</w:t>
      </w:r>
      <w:r w:rsidR="00CE6B85" w:rsidRPr="00611C71">
        <w:rPr>
          <w:lang w:val="en-US"/>
        </w:rPr>
        <w:t>201</w:t>
      </w:r>
      <w:r w:rsidR="00CE6B85">
        <w:rPr>
          <w:lang w:val="en-US"/>
        </w:rPr>
        <w:t>3</w:t>
      </w:r>
      <w:r w:rsidR="00611C71" w:rsidRPr="00611C71">
        <w:rPr>
          <w:lang w:val="en-US"/>
        </w:rPr>
        <w:t>)</w:t>
      </w:r>
      <w:r w:rsidRPr="00611C71">
        <w:rPr>
          <w:lang w:val="en-US"/>
        </w:rPr>
        <w:t xml:space="preserve"> </w:t>
      </w:r>
      <w:r w:rsidRPr="00594CA6">
        <w:rPr>
          <w:lang w:val="en-US"/>
        </w:rPr>
        <w:t xml:space="preserve">Rebuilding EU fish stocks and fisheries, a process </w:t>
      </w:r>
      <w:r w:rsidRPr="00594CA6">
        <w:rPr>
          <w:lang w:val="en-US"/>
        </w:rPr>
        <w:lastRenderedPageBreak/>
        <w:t xml:space="preserve">under way? </w:t>
      </w:r>
      <w:r w:rsidRPr="00611C71">
        <w:rPr>
          <w:i/>
          <w:lang w:val="en-US"/>
        </w:rPr>
        <w:t>Marine Policy</w:t>
      </w:r>
      <w:r w:rsidRPr="00594CA6">
        <w:rPr>
          <w:lang w:val="en-US"/>
        </w:rPr>
        <w:t xml:space="preserve"> 39, 43-52.</w:t>
      </w:r>
    </w:p>
    <w:p w:rsidR="00594CA6" w:rsidRDefault="00594CA6" w:rsidP="00A51148">
      <w:pPr>
        <w:suppressLineNumbers w:val="0"/>
        <w:spacing w:line="480" w:lineRule="auto"/>
        <w:ind w:left="773" w:hangingChars="322" w:hanging="773"/>
        <w:rPr>
          <w:lang w:val="en-US"/>
        </w:rPr>
      </w:pPr>
      <w:r w:rsidRPr="002265F6">
        <w:rPr>
          <w:lang w:val="en-US"/>
        </w:rPr>
        <w:t>Cardi</w:t>
      </w:r>
      <w:r w:rsidR="00185E88" w:rsidRPr="002265F6">
        <w:rPr>
          <w:lang w:val="en-US"/>
        </w:rPr>
        <w:t>nale, M., Dörner, H., Casey, J. et al.</w:t>
      </w:r>
      <w:r w:rsidRPr="002265F6">
        <w:rPr>
          <w:lang w:val="en-US"/>
        </w:rPr>
        <w:t xml:space="preserve"> </w:t>
      </w:r>
      <w:r w:rsidR="00185E88">
        <w:rPr>
          <w:lang w:val="en-US"/>
        </w:rPr>
        <w:t>(</w:t>
      </w:r>
      <w:r w:rsidRPr="00594CA6">
        <w:rPr>
          <w:lang w:val="en-US"/>
        </w:rPr>
        <w:t>2011</w:t>
      </w:r>
      <w:r w:rsidR="00185E88">
        <w:rPr>
          <w:lang w:val="en-US"/>
        </w:rPr>
        <w:t>)</w:t>
      </w:r>
      <w:r w:rsidRPr="00594CA6">
        <w:rPr>
          <w:lang w:val="en-US"/>
        </w:rPr>
        <w:t xml:space="preserve"> Fishery reform: many stocks secure. </w:t>
      </w:r>
      <w:r w:rsidRPr="00185E88">
        <w:rPr>
          <w:i/>
          <w:lang w:val="en-US"/>
        </w:rPr>
        <w:t>Nature</w:t>
      </w:r>
      <w:r w:rsidR="00185E88">
        <w:rPr>
          <w:lang w:val="en-US"/>
        </w:rPr>
        <w:t xml:space="preserve"> 476, </w:t>
      </w:r>
      <w:r w:rsidRPr="00594CA6">
        <w:rPr>
          <w:lang w:val="en-US"/>
        </w:rPr>
        <w:t>p. 282.</w:t>
      </w:r>
    </w:p>
    <w:p w:rsidR="002D0F3A" w:rsidRPr="00594CA6" w:rsidRDefault="002D0F3A" w:rsidP="00A51148">
      <w:pPr>
        <w:suppressLineNumbers w:val="0"/>
        <w:spacing w:line="480" w:lineRule="auto"/>
        <w:ind w:left="773" w:hangingChars="322" w:hanging="773"/>
        <w:rPr>
          <w:lang w:val="en-US"/>
        </w:rPr>
      </w:pPr>
      <w:r>
        <w:rPr>
          <w:lang w:val="en-US"/>
        </w:rPr>
        <w:t xml:space="preserve">Cardinale, M., and Svedang, H. (2008) Mismanagement of fisheries: Policy or science? </w:t>
      </w:r>
      <w:r w:rsidRPr="002D0F3A">
        <w:rPr>
          <w:i/>
          <w:lang w:val="en-US"/>
        </w:rPr>
        <w:t xml:space="preserve">Fisheries </w:t>
      </w:r>
      <w:r>
        <w:rPr>
          <w:i/>
          <w:lang w:val="en-US"/>
        </w:rPr>
        <w:t>R</w:t>
      </w:r>
      <w:r w:rsidRPr="002D0F3A">
        <w:rPr>
          <w:i/>
          <w:lang w:val="en-US"/>
        </w:rPr>
        <w:t>esearch</w:t>
      </w:r>
      <w:r>
        <w:rPr>
          <w:lang w:val="en-US"/>
        </w:rPr>
        <w:t xml:space="preserve"> 93, 244-247.</w:t>
      </w:r>
    </w:p>
    <w:p w:rsidR="00594CA6" w:rsidRDefault="00594CA6" w:rsidP="00A51148">
      <w:pPr>
        <w:suppressLineNumbers w:val="0"/>
        <w:spacing w:line="480" w:lineRule="auto"/>
        <w:ind w:left="773" w:hangingChars="322" w:hanging="773"/>
        <w:rPr>
          <w:lang w:val="en-US"/>
        </w:rPr>
      </w:pPr>
      <w:r w:rsidRPr="00594CA6">
        <w:rPr>
          <w:lang w:val="en-US"/>
        </w:rPr>
        <w:t>Catanzano</w:t>
      </w:r>
      <w:r w:rsidR="00185E88">
        <w:rPr>
          <w:lang w:val="en-US"/>
        </w:rPr>
        <w:t>,</w:t>
      </w:r>
      <w:r w:rsidRPr="00594CA6">
        <w:rPr>
          <w:lang w:val="en-US"/>
        </w:rPr>
        <w:t xml:space="preserve"> J., Cunningham</w:t>
      </w:r>
      <w:r w:rsidR="00185E88">
        <w:rPr>
          <w:lang w:val="en-US"/>
        </w:rPr>
        <w:t>,</w:t>
      </w:r>
      <w:r w:rsidRPr="00594CA6">
        <w:rPr>
          <w:lang w:val="en-US"/>
        </w:rPr>
        <w:t xml:space="preserve"> S., and Rey</w:t>
      </w:r>
      <w:r w:rsidR="00185E88">
        <w:rPr>
          <w:lang w:val="en-US"/>
        </w:rPr>
        <w:t>,</w:t>
      </w:r>
      <w:r w:rsidRPr="00594CA6">
        <w:rPr>
          <w:lang w:val="en-US"/>
        </w:rPr>
        <w:t xml:space="preserve"> H. </w:t>
      </w:r>
      <w:r w:rsidR="00185E88">
        <w:rPr>
          <w:lang w:val="en-US"/>
        </w:rPr>
        <w:t>(</w:t>
      </w:r>
      <w:r w:rsidRPr="00594CA6">
        <w:rPr>
          <w:lang w:val="en-US"/>
        </w:rPr>
        <w:t>2000</w:t>
      </w:r>
      <w:r w:rsidR="00185E88">
        <w:rPr>
          <w:lang w:val="en-US"/>
        </w:rPr>
        <w:t>)</w:t>
      </w:r>
      <w:r w:rsidRPr="00594CA6">
        <w:rPr>
          <w:lang w:val="en-US"/>
        </w:rPr>
        <w:t xml:space="preserve"> Fishery Management in the </w:t>
      </w:r>
      <w:r w:rsidRPr="00594CA6">
        <w:rPr>
          <w:lang w:val="en-US"/>
        </w:rPr>
        <w:br/>
        <w:t xml:space="preserve">Mediterranean: An Evaluation of French Effort-based Management Systems, IIFET </w:t>
      </w:r>
      <w:r w:rsidRPr="00594CA6">
        <w:rPr>
          <w:lang w:val="en-US"/>
        </w:rPr>
        <w:br/>
        <w:t>Biannual Conference Proceedings, Corvallis, Oregon, USA, 6 pp.</w:t>
      </w:r>
    </w:p>
    <w:p w:rsidR="002713DF" w:rsidRPr="00594CA6" w:rsidRDefault="002713DF" w:rsidP="00A51148">
      <w:pPr>
        <w:suppressLineNumbers w:val="0"/>
        <w:spacing w:line="480" w:lineRule="auto"/>
        <w:ind w:left="773" w:hangingChars="322" w:hanging="773"/>
        <w:rPr>
          <w:lang w:val="en-US"/>
        </w:rPr>
      </w:pPr>
      <w:r>
        <w:rPr>
          <w:lang w:val="en-US"/>
        </w:rPr>
        <w:t>Churchill, R., and Owen, D. (2010) The EC Common Fisheries Policy. Oxford European Union Law Library, 640 pp.</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Clark, I.N., and Major, P.J. </w:t>
      </w:r>
      <w:r w:rsidR="00185E88">
        <w:rPr>
          <w:lang w:val="en-US"/>
        </w:rPr>
        <w:t>(</w:t>
      </w:r>
      <w:r w:rsidRPr="00594CA6">
        <w:rPr>
          <w:lang w:val="en-US"/>
        </w:rPr>
        <w:t>1988</w:t>
      </w:r>
      <w:r w:rsidR="00185E88">
        <w:rPr>
          <w:lang w:val="en-US"/>
        </w:rPr>
        <w:t>)</w:t>
      </w:r>
      <w:r w:rsidRPr="00594CA6">
        <w:rPr>
          <w:lang w:val="en-US"/>
        </w:rPr>
        <w:t xml:space="preserve"> Development and Implementation of New Zealand‘s ITQ Manag</w:t>
      </w:r>
      <w:r w:rsidR="004C65DB">
        <w:rPr>
          <w:lang w:val="en-US"/>
        </w:rPr>
        <w:t>e</w:t>
      </w:r>
      <w:r w:rsidRPr="00594CA6">
        <w:rPr>
          <w:lang w:val="en-US"/>
        </w:rPr>
        <w:t xml:space="preserve">ment System. </w:t>
      </w:r>
      <w:r w:rsidRPr="00594CA6">
        <w:rPr>
          <w:i/>
          <w:iCs/>
          <w:lang w:val="en-US"/>
        </w:rPr>
        <w:t>Marine Resource Economics</w:t>
      </w:r>
      <w:r w:rsidRPr="00594CA6">
        <w:rPr>
          <w:lang w:val="en-US"/>
        </w:rPr>
        <w:t xml:space="preserve"> 5, 325-349.</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Cueff, J.C. </w:t>
      </w:r>
      <w:r w:rsidR="004C65DB">
        <w:rPr>
          <w:lang w:val="en-US"/>
        </w:rPr>
        <w:t>(</w:t>
      </w:r>
      <w:r w:rsidRPr="00594CA6">
        <w:rPr>
          <w:lang w:val="en-US"/>
        </w:rPr>
        <w:t>2007</w:t>
      </w:r>
      <w:r w:rsidR="004C65DB">
        <w:rPr>
          <w:lang w:val="en-US"/>
        </w:rPr>
        <w:t>)</w:t>
      </w:r>
      <w:r w:rsidRPr="00594CA6">
        <w:rPr>
          <w:lang w:val="en-US"/>
        </w:rPr>
        <w:t xml:space="preserve"> A case study of fishing vessel capacity management public buy-out schemes: community experience through the multi-annual guidance programmes and ways forward. Chapter 5. In: Fisheries Buybacks (eds R. Curtis and D. Squires). Wiley-Blackwell, Ames, IA., 75–80.</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DAFF </w:t>
      </w:r>
      <w:r w:rsidR="004C65DB">
        <w:rPr>
          <w:lang w:val="en-US"/>
        </w:rPr>
        <w:t>(</w:t>
      </w:r>
      <w:r w:rsidRPr="00594CA6">
        <w:rPr>
          <w:lang w:val="en-US"/>
        </w:rPr>
        <w:t>2007</w:t>
      </w:r>
      <w:r w:rsidR="004C65DB">
        <w:rPr>
          <w:lang w:val="en-US"/>
        </w:rPr>
        <w:t>)</w:t>
      </w:r>
      <w:r w:rsidRPr="00594CA6">
        <w:rPr>
          <w:lang w:val="en-US"/>
        </w:rPr>
        <w:t xml:space="preserve"> Australian Government Department of Agriculture, Fisheries and Forestry Commonwealth fisheries harvest strategy: Policy and guidelines. Canberra: DAFF.</w:t>
      </w:r>
    </w:p>
    <w:p w:rsidR="008315F3" w:rsidRPr="008315F3" w:rsidRDefault="008315F3" w:rsidP="00EC20AE">
      <w:pPr>
        <w:suppressLineNumbers w:val="0"/>
        <w:spacing w:line="480" w:lineRule="auto"/>
        <w:ind w:left="773" w:hangingChars="322" w:hanging="773"/>
        <w:rPr>
          <w:lang w:val="en-US"/>
        </w:rPr>
      </w:pPr>
      <w:r w:rsidRPr="008315F3">
        <w:rPr>
          <w:lang w:val="en-US"/>
        </w:rPr>
        <w:t xml:space="preserve">Da Rocha, J.M., Cerviño, S., and Villasante, S. (2012) The Common Fisheries Policy: an enforcement problem. </w:t>
      </w:r>
      <w:r w:rsidRPr="008315F3">
        <w:rPr>
          <w:i/>
          <w:lang w:val="en-US"/>
        </w:rPr>
        <w:t>Marine Policy</w:t>
      </w:r>
      <w:r>
        <w:rPr>
          <w:lang w:val="en-US"/>
        </w:rPr>
        <w:t xml:space="preserve"> 36, 1306-1314.</w:t>
      </w:r>
    </w:p>
    <w:p w:rsidR="00EC20AE" w:rsidRDefault="00594CA6" w:rsidP="00EC20AE">
      <w:pPr>
        <w:suppressLineNumbers w:val="0"/>
        <w:spacing w:line="480" w:lineRule="auto"/>
        <w:ind w:left="773" w:hangingChars="322" w:hanging="773"/>
        <w:rPr>
          <w:lang w:val="en-US"/>
        </w:rPr>
      </w:pPr>
      <w:r w:rsidRPr="00594CA6">
        <w:rPr>
          <w:lang w:val="en-US"/>
        </w:rPr>
        <w:t xml:space="preserve">Dewees, C.M. </w:t>
      </w:r>
      <w:r w:rsidR="004C65DB">
        <w:rPr>
          <w:lang w:val="en-US"/>
        </w:rPr>
        <w:t>(</w:t>
      </w:r>
      <w:r w:rsidRPr="00594CA6">
        <w:rPr>
          <w:lang w:val="en-US"/>
        </w:rPr>
        <w:t>1998</w:t>
      </w:r>
      <w:r w:rsidR="004C65DB">
        <w:rPr>
          <w:lang w:val="en-US"/>
        </w:rPr>
        <w:t>)</w:t>
      </w:r>
      <w:r w:rsidRPr="00594CA6">
        <w:rPr>
          <w:lang w:val="en-US"/>
        </w:rPr>
        <w:t xml:space="preserve"> Effects of Individual Quota Systems on New Zealand and British Columbia Fisheries. </w:t>
      </w:r>
      <w:r w:rsidRPr="00594CA6">
        <w:rPr>
          <w:i/>
          <w:iCs/>
          <w:lang w:val="en-US"/>
        </w:rPr>
        <w:t xml:space="preserve">Ecological Applications </w:t>
      </w:r>
      <w:r w:rsidRPr="00594CA6">
        <w:rPr>
          <w:lang w:val="en-US"/>
        </w:rPr>
        <w:t>8</w:t>
      </w:r>
      <w:r w:rsidR="004C65DB">
        <w:rPr>
          <w:lang w:val="en-US"/>
        </w:rPr>
        <w:t>, S133-S138</w:t>
      </w:r>
      <w:r w:rsidRPr="00594CA6">
        <w:rPr>
          <w:lang w:val="en-US"/>
        </w:rPr>
        <w:t>.</w:t>
      </w:r>
    </w:p>
    <w:p w:rsidR="00F0215E" w:rsidRDefault="00EC20AE" w:rsidP="00F0215E">
      <w:pPr>
        <w:suppressLineNumbers w:val="0"/>
        <w:spacing w:line="480" w:lineRule="auto"/>
        <w:ind w:left="773" w:hangingChars="322" w:hanging="773"/>
        <w:rPr>
          <w:rFonts w:eastAsia="Calibri"/>
          <w:lang w:val="en-US"/>
        </w:rPr>
      </w:pPr>
      <w:r w:rsidRPr="001002E2">
        <w:rPr>
          <w:rFonts w:eastAsia="Calibri"/>
          <w:lang w:val="en-US"/>
        </w:rPr>
        <w:t xml:space="preserve">Dowling, N.A., Dichmont, C.M., Venables, W., et al. </w:t>
      </w:r>
      <w:r w:rsidRPr="00EC20AE">
        <w:rPr>
          <w:rFonts w:eastAsia="Calibri"/>
          <w:lang w:val="en-US"/>
        </w:rPr>
        <w:t xml:space="preserve">(2013) From low to high value fisheries: is it </w:t>
      </w:r>
      <w:r w:rsidRPr="00EC20AE">
        <w:rPr>
          <w:rFonts w:eastAsia="Calibri"/>
          <w:lang w:val="en-US"/>
        </w:rPr>
        <w:lastRenderedPageBreak/>
        <w:t xml:space="preserve">possible to quantify the tradeoff between management cost, risk and catch? </w:t>
      </w:r>
      <w:r w:rsidRPr="00EC20AE">
        <w:rPr>
          <w:rFonts w:eastAsia="Calibri"/>
          <w:i/>
          <w:lang w:val="en-US"/>
        </w:rPr>
        <w:t>Marine Policy</w:t>
      </w:r>
      <w:r w:rsidRPr="00EC20AE">
        <w:rPr>
          <w:rFonts w:eastAsia="Calibri"/>
          <w:lang w:val="en-US"/>
        </w:rPr>
        <w:t xml:space="preserve"> 40</w:t>
      </w:r>
      <w:r>
        <w:rPr>
          <w:rFonts w:eastAsia="Calibri"/>
          <w:lang w:val="en-US"/>
        </w:rPr>
        <w:t>,</w:t>
      </w:r>
      <w:r w:rsidRPr="00EC20AE">
        <w:rPr>
          <w:rFonts w:eastAsia="Calibri"/>
          <w:lang w:val="en-US"/>
        </w:rPr>
        <w:t xml:space="preserve"> 41-52</w:t>
      </w:r>
      <w:r>
        <w:rPr>
          <w:rFonts w:eastAsia="Calibri"/>
          <w:lang w:val="en-US"/>
        </w:rPr>
        <w:t>.</w:t>
      </w:r>
    </w:p>
    <w:p w:rsidR="00F0215E" w:rsidRPr="005A65EF" w:rsidRDefault="00F0215E" w:rsidP="00F0215E">
      <w:pPr>
        <w:suppressLineNumbers w:val="0"/>
        <w:spacing w:line="480" w:lineRule="auto"/>
        <w:ind w:left="773" w:hangingChars="322" w:hanging="773"/>
        <w:rPr>
          <w:lang w:val="en-US" w:bidi="en-US"/>
        </w:rPr>
      </w:pPr>
      <w:r w:rsidRPr="005A65EF">
        <w:rPr>
          <w:lang w:val="en-US" w:bidi="en-US"/>
        </w:rPr>
        <w:t>Dowling, N.A., Dichmont, C.M.</w:t>
      </w:r>
      <w:r>
        <w:rPr>
          <w:lang w:val="en-US" w:bidi="en-US"/>
        </w:rPr>
        <w:t>,</w:t>
      </w:r>
      <w:r w:rsidRPr="005A65EF">
        <w:rPr>
          <w:lang w:val="en-US" w:bidi="en-US"/>
        </w:rPr>
        <w:t xml:space="preserve"> Haddon,</w:t>
      </w:r>
      <w:r w:rsidRPr="00F0215E">
        <w:rPr>
          <w:lang w:val="en-US" w:bidi="en-US"/>
        </w:rPr>
        <w:t xml:space="preserve"> </w:t>
      </w:r>
      <w:r>
        <w:rPr>
          <w:lang w:val="en-US" w:bidi="en-US"/>
        </w:rPr>
        <w:t>M.,</w:t>
      </w:r>
      <w:r w:rsidRPr="005A65EF">
        <w:rPr>
          <w:lang w:val="en-US" w:bidi="en-US"/>
        </w:rPr>
        <w:t xml:space="preserve"> D.C. Smith, A.D.M. Smith and K. Sainsbury (2014) Guidelines for developing for</w:t>
      </w:r>
      <w:r>
        <w:rPr>
          <w:lang w:val="en-US" w:bidi="en-US"/>
        </w:rPr>
        <w:t>mal harvest strategies for data-</w:t>
      </w:r>
      <w:r w:rsidRPr="005A65EF">
        <w:rPr>
          <w:lang w:val="en-US" w:bidi="en-US"/>
        </w:rPr>
        <w:t xml:space="preserve">poor species and fisheries. </w:t>
      </w:r>
      <w:r w:rsidRPr="005A65EF">
        <w:rPr>
          <w:i/>
          <w:lang w:val="en-US" w:bidi="en-US"/>
        </w:rPr>
        <w:t>Fisheries Research</w:t>
      </w:r>
      <w:r w:rsidRPr="005A65EF">
        <w:rPr>
          <w:lang w:val="en-US" w:bidi="en-US"/>
        </w:rPr>
        <w:t xml:space="preserve">, </w:t>
      </w:r>
      <w:r>
        <w:rPr>
          <w:lang w:val="en-US" w:bidi="en-US"/>
        </w:rPr>
        <w:t>in press</w:t>
      </w:r>
      <w:r w:rsidR="006A213C">
        <w:rPr>
          <w:lang w:val="en-US" w:bidi="en-US"/>
        </w:rPr>
        <w:t>.</w:t>
      </w:r>
    </w:p>
    <w:p w:rsidR="00594CA6" w:rsidRPr="00594CA6" w:rsidRDefault="004957A5" w:rsidP="00A51148">
      <w:pPr>
        <w:suppressLineNumbers w:val="0"/>
        <w:spacing w:line="480" w:lineRule="auto"/>
        <w:ind w:left="773" w:hangingChars="322" w:hanging="773"/>
        <w:rPr>
          <w:lang w:val="en-US"/>
        </w:rPr>
      </w:pPr>
      <w:r>
        <w:rPr>
          <w:bCs/>
          <w:lang w:val="en-US"/>
        </w:rPr>
        <w:t>EC (2003)</w:t>
      </w:r>
      <w:r w:rsidR="00594CA6" w:rsidRPr="00594CA6">
        <w:rPr>
          <w:bCs/>
          <w:lang w:val="en-US"/>
        </w:rPr>
        <w:t xml:space="preserve"> Commission regulation (EC) No 1438/2003 of 12 August 2003: laying down implementing rules on the Community Fleet Policy as defined in Chapter III of Council Regulation (EC) No 2371/2002,</w:t>
      </w:r>
      <w:r w:rsidR="0068191B">
        <w:rPr>
          <w:bCs/>
          <w:lang w:val="en-US"/>
        </w:rPr>
        <w:t xml:space="preserve"> </w:t>
      </w:r>
      <w:r w:rsidR="00594CA6" w:rsidRPr="00594CA6">
        <w:rPr>
          <w:lang w:val="en-US"/>
        </w:rPr>
        <w:t>Official Journal of the European Union L 204/21.</w:t>
      </w:r>
    </w:p>
    <w:p w:rsidR="00B83E2F" w:rsidRPr="00D44DF8" w:rsidRDefault="00B83E2F" w:rsidP="00A51148">
      <w:pPr>
        <w:suppressLineNumbers w:val="0"/>
        <w:spacing w:line="480" w:lineRule="auto"/>
        <w:ind w:left="773" w:hangingChars="322" w:hanging="773"/>
        <w:rPr>
          <w:iCs/>
          <w:lang w:val="en-US"/>
        </w:rPr>
      </w:pPr>
      <w:r w:rsidRPr="00D44DF8">
        <w:rPr>
          <w:iCs/>
          <w:lang w:val="en-US"/>
        </w:rPr>
        <w:t>EC (2008) Directive 2008/56/EC of the European Parliament and of the Council of 17 June 2008 establishing a framework for community action in the field of marine environmental policy (Marine Strategy Framework Directive).</w:t>
      </w:r>
    </w:p>
    <w:p w:rsidR="0068191B" w:rsidRDefault="00F65FD2" w:rsidP="00A51148">
      <w:pPr>
        <w:suppressLineNumbers w:val="0"/>
        <w:spacing w:line="480" w:lineRule="auto"/>
        <w:ind w:left="773" w:hangingChars="322" w:hanging="773"/>
        <w:rPr>
          <w:bCs/>
          <w:lang w:val="en-US"/>
        </w:rPr>
      </w:pPr>
      <w:r>
        <w:rPr>
          <w:bCs/>
          <w:lang w:val="en-US"/>
        </w:rPr>
        <w:t>EC (2013)</w:t>
      </w:r>
      <w:r w:rsidR="0068191B">
        <w:rPr>
          <w:bCs/>
          <w:lang w:val="en-US"/>
        </w:rPr>
        <w:t xml:space="preserve"> Regulation (EU) No 1380/2013 of the European Parliament and of the Council of 11 December 2013 on the Common Fisheries Policy, amending Council Regulations (EC) No 2371/2002 and (EC) No 639/2004 and Council Decision 2004/585/EC.</w:t>
      </w:r>
    </w:p>
    <w:p w:rsidR="00F95582" w:rsidRDefault="00F95582" w:rsidP="00A51148">
      <w:pPr>
        <w:suppressLineNumbers w:val="0"/>
        <w:spacing w:line="480" w:lineRule="auto"/>
        <w:ind w:left="773" w:hangingChars="322" w:hanging="773"/>
        <w:rPr>
          <w:bCs/>
          <w:lang w:val="en-US"/>
        </w:rPr>
      </w:pPr>
      <w:r>
        <w:rPr>
          <w:bCs/>
          <w:lang w:val="en-US"/>
        </w:rPr>
        <w:t>EC (2015) Consultation on the fishing opportunities for 2016 under the Common Fisheries Policy. COM(2015) 239 final.</w:t>
      </w:r>
    </w:p>
    <w:p w:rsidR="00653FD5" w:rsidRDefault="00653FD5" w:rsidP="00A51148">
      <w:pPr>
        <w:suppressLineNumbers w:val="0"/>
        <w:spacing w:line="480" w:lineRule="auto"/>
        <w:ind w:left="773" w:hangingChars="322" w:hanging="773"/>
        <w:rPr>
          <w:bCs/>
          <w:lang w:val="en-US"/>
        </w:rPr>
      </w:pPr>
      <w:r>
        <w:rPr>
          <w:bCs/>
          <w:lang w:val="en-US"/>
        </w:rPr>
        <w:t>EUROSTAT (2013) Eurostat Pocketbooks: Agriculture, forestry and fishery statistics, 2013 edition. Luxemburg: Publications Office of the European Union, 249 pp.</w:t>
      </w:r>
    </w:p>
    <w:p w:rsidR="00BA29E8" w:rsidRDefault="00BA29E8" w:rsidP="00A51148">
      <w:pPr>
        <w:suppressLineNumbers w:val="0"/>
        <w:spacing w:line="480" w:lineRule="auto"/>
        <w:ind w:left="773" w:hangingChars="322" w:hanging="773"/>
        <w:rPr>
          <w:bCs/>
          <w:lang w:val="en-US"/>
        </w:rPr>
      </w:pPr>
      <w:r>
        <w:rPr>
          <w:bCs/>
          <w:lang w:val="en-US"/>
        </w:rPr>
        <w:t xml:space="preserve">Eythorsson, E. (2000) A decade of ITQ-management in Icelandic fisheries: consolidation without consensus. </w:t>
      </w:r>
      <w:r w:rsidRPr="00BA29E8">
        <w:rPr>
          <w:bCs/>
          <w:i/>
          <w:lang w:val="en-US"/>
        </w:rPr>
        <w:t>Marine Policy</w:t>
      </w:r>
      <w:r>
        <w:rPr>
          <w:bCs/>
          <w:lang w:val="en-US"/>
        </w:rPr>
        <w:t xml:space="preserve"> 24, 483-492.</w:t>
      </w:r>
    </w:p>
    <w:p w:rsidR="00C841EC" w:rsidRPr="00594CA6" w:rsidRDefault="00C841EC" w:rsidP="00A51148">
      <w:pPr>
        <w:suppressLineNumbers w:val="0"/>
        <w:spacing w:line="480" w:lineRule="auto"/>
        <w:ind w:left="773" w:hangingChars="322" w:hanging="773"/>
        <w:rPr>
          <w:iCs/>
          <w:lang w:val="en-US"/>
        </w:rPr>
      </w:pPr>
      <w:r>
        <w:rPr>
          <w:bCs/>
          <w:lang w:val="en-US"/>
        </w:rPr>
        <w:t>FAO (1988) World agriculture: toward 2000.</w:t>
      </w:r>
      <w:r w:rsidR="00E651D2">
        <w:rPr>
          <w:bCs/>
          <w:lang w:val="en-US"/>
        </w:rPr>
        <w:t xml:space="preserve"> Ed. Nikos Alexandratos. Belhaven Press (a division of Pinter Publishers) London, 338 pp.</w:t>
      </w:r>
    </w:p>
    <w:p w:rsidR="00594CA6" w:rsidRDefault="00594CA6" w:rsidP="00A51148">
      <w:pPr>
        <w:suppressLineNumbers w:val="0"/>
        <w:spacing w:line="480" w:lineRule="auto"/>
        <w:ind w:left="773" w:hangingChars="322" w:hanging="773"/>
        <w:rPr>
          <w:lang w:val="en-US"/>
        </w:rPr>
      </w:pPr>
      <w:r w:rsidRPr="00594CA6">
        <w:rPr>
          <w:lang w:val="en-US"/>
        </w:rPr>
        <w:t xml:space="preserve">FAO </w:t>
      </w:r>
      <w:r w:rsidR="004957A5">
        <w:rPr>
          <w:lang w:val="en-US"/>
        </w:rPr>
        <w:t>(</w:t>
      </w:r>
      <w:r w:rsidRPr="00594CA6">
        <w:rPr>
          <w:lang w:val="en-US"/>
        </w:rPr>
        <w:t>2012</w:t>
      </w:r>
      <w:r w:rsidR="004957A5">
        <w:rPr>
          <w:lang w:val="en-US"/>
        </w:rPr>
        <w:t>)</w:t>
      </w:r>
      <w:r w:rsidRPr="00594CA6">
        <w:rPr>
          <w:lang w:val="en-US"/>
        </w:rPr>
        <w:t xml:space="preserve"> FAO year book. 2010 Fishery and Aquaculture Statistics, Capture production.</w:t>
      </w:r>
    </w:p>
    <w:p w:rsidR="00FD1D87" w:rsidRPr="00594CA6" w:rsidRDefault="00FD1D87" w:rsidP="00A51148">
      <w:pPr>
        <w:suppressLineNumbers w:val="0"/>
        <w:spacing w:line="480" w:lineRule="auto"/>
        <w:ind w:left="773" w:hangingChars="322" w:hanging="773"/>
        <w:rPr>
          <w:lang w:val="en-US"/>
        </w:rPr>
      </w:pPr>
      <w:r>
        <w:rPr>
          <w:lang w:val="en-US"/>
        </w:rPr>
        <w:lastRenderedPageBreak/>
        <w:t xml:space="preserve">Fernandes, P.G., and Cook, R.M. (2013) Reversal of fish stock decline in the North East Atlantic. </w:t>
      </w:r>
      <w:r w:rsidRPr="00FD1D87">
        <w:rPr>
          <w:i/>
          <w:lang w:val="en-US"/>
        </w:rPr>
        <w:t>Current Biology</w:t>
      </w:r>
      <w:r>
        <w:rPr>
          <w:lang w:val="en-US"/>
        </w:rPr>
        <w:t xml:space="preserve"> 23, 1-6.</w:t>
      </w:r>
    </w:p>
    <w:p w:rsidR="00594CA6" w:rsidRPr="00594CA6" w:rsidRDefault="00594CA6" w:rsidP="00A51148">
      <w:pPr>
        <w:suppressLineNumbers w:val="0"/>
        <w:spacing w:line="480" w:lineRule="auto"/>
        <w:ind w:left="773" w:hangingChars="322" w:hanging="773"/>
        <w:rPr>
          <w:lang w:val="en-US"/>
        </w:rPr>
      </w:pPr>
      <w:r w:rsidRPr="00594CA6">
        <w:rPr>
          <w:lang w:val="en-US"/>
        </w:rPr>
        <w:t>Flood, M., Stobutzki, I., Andrews, J.</w:t>
      </w:r>
      <w:r w:rsidR="004957A5">
        <w:rPr>
          <w:lang w:val="en-US"/>
        </w:rPr>
        <w:t xml:space="preserve"> et al.</w:t>
      </w:r>
      <w:r w:rsidRPr="00594CA6">
        <w:rPr>
          <w:lang w:val="en-US"/>
        </w:rPr>
        <w:t xml:space="preserve"> </w:t>
      </w:r>
      <w:r w:rsidR="004957A5">
        <w:rPr>
          <w:lang w:val="en-US"/>
        </w:rPr>
        <w:t>[</w:t>
      </w:r>
      <w:r w:rsidRPr="00594CA6">
        <w:rPr>
          <w:lang w:val="en-US"/>
        </w:rPr>
        <w:t>eds</w:t>
      </w:r>
      <w:r w:rsidR="004957A5">
        <w:rPr>
          <w:lang w:val="en-US"/>
        </w:rPr>
        <w:t>]</w:t>
      </w:r>
      <w:r w:rsidRPr="00594CA6">
        <w:rPr>
          <w:lang w:val="en-US"/>
        </w:rPr>
        <w:t xml:space="preserve"> </w:t>
      </w:r>
      <w:r w:rsidR="004957A5">
        <w:rPr>
          <w:lang w:val="en-US"/>
        </w:rPr>
        <w:t>(</w:t>
      </w:r>
      <w:r w:rsidRPr="00594CA6">
        <w:rPr>
          <w:lang w:val="en-US"/>
        </w:rPr>
        <w:t>2012</w:t>
      </w:r>
      <w:r w:rsidR="004957A5">
        <w:rPr>
          <w:lang w:val="en-US"/>
        </w:rPr>
        <w:t>)</w:t>
      </w:r>
      <w:r w:rsidRPr="00594CA6">
        <w:rPr>
          <w:lang w:val="en-US"/>
        </w:rPr>
        <w:t xml:space="preserve"> Status of key Australian fish stocks reports 2012, Fisheries Research and Development Corporation, Canberra.</w:t>
      </w:r>
    </w:p>
    <w:p w:rsidR="00594CA6" w:rsidRPr="00594CA6" w:rsidRDefault="00594CA6" w:rsidP="00A51148">
      <w:pPr>
        <w:suppressLineNumbers w:val="0"/>
        <w:spacing w:line="480" w:lineRule="auto"/>
        <w:ind w:left="773" w:hangingChars="322" w:hanging="773"/>
        <w:rPr>
          <w:lang w:val="en-US"/>
        </w:rPr>
      </w:pPr>
      <w:r w:rsidRPr="00D764B5">
        <w:t>Fox, K., Grafton, Q., Kompas, T.</w:t>
      </w:r>
      <w:r w:rsidR="008C36AA" w:rsidRPr="00D764B5">
        <w:t xml:space="preserve"> et al.</w:t>
      </w:r>
      <w:r w:rsidRPr="00D764B5">
        <w:t xml:space="preserve"> </w:t>
      </w:r>
      <w:r w:rsidR="004957A5">
        <w:rPr>
          <w:lang w:val="en-US"/>
        </w:rPr>
        <w:t>(</w:t>
      </w:r>
      <w:r w:rsidRPr="00594CA6">
        <w:rPr>
          <w:lang w:val="en-US"/>
        </w:rPr>
        <w:t>2006</w:t>
      </w:r>
      <w:r w:rsidR="004957A5">
        <w:rPr>
          <w:lang w:val="en-US"/>
        </w:rPr>
        <w:t>)</w:t>
      </w:r>
      <w:r w:rsidRPr="00594CA6">
        <w:rPr>
          <w:lang w:val="en-US"/>
        </w:rPr>
        <w:t xml:space="preserve"> Capacity Reduction, Quota Trading and Productivity: The Case of a Fishery. </w:t>
      </w:r>
      <w:r w:rsidRPr="004957A5">
        <w:rPr>
          <w:i/>
          <w:lang w:val="en-US"/>
        </w:rPr>
        <w:t>Australian Journal of Agricultural and Resource Economics</w:t>
      </w:r>
      <w:r w:rsidRPr="00594CA6">
        <w:rPr>
          <w:lang w:val="en-US"/>
        </w:rPr>
        <w:t xml:space="preserve"> 50, 189-206.</w:t>
      </w:r>
    </w:p>
    <w:p w:rsidR="00662894" w:rsidRDefault="00594CA6" w:rsidP="00662894">
      <w:pPr>
        <w:suppressLineNumbers w:val="0"/>
        <w:spacing w:line="480" w:lineRule="auto"/>
        <w:ind w:left="773" w:hangingChars="322" w:hanging="773"/>
        <w:rPr>
          <w:lang w:val="en-US"/>
        </w:rPr>
      </w:pPr>
      <w:r w:rsidRPr="00C2540C">
        <w:t xml:space="preserve">Fox, K., Grafton, Q., Kompas, T., </w:t>
      </w:r>
      <w:r w:rsidR="008C36AA" w:rsidRPr="00C2540C">
        <w:t>et al</w:t>
      </w:r>
      <w:r w:rsidRPr="00C2540C">
        <w:t xml:space="preserve">. </w:t>
      </w:r>
      <w:r w:rsidR="004957A5">
        <w:rPr>
          <w:lang w:val="en-US"/>
        </w:rPr>
        <w:t>(</w:t>
      </w:r>
      <w:r w:rsidRPr="00594CA6">
        <w:rPr>
          <w:lang w:val="en-US"/>
        </w:rPr>
        <w:t>2007</w:t>
      </w:r>
      <w:r w:rsidR="004957A5">
        <w:rPr>
          <w:lang w:val="en-US"/>
        </w:rPr>
        <w:t>)</w:t>
      </w:r>
      <w:r w:rsidRPr="00594CA6">
        <w:rPr>
          <w:lang w:val="en-US"/>
        </w:rPr>
        <w:t xml:space="preserve"> Capacity reduction and productivity: a case study of the Australian south east trawl fishery. Chapter 4. In: Fisheries Buybacks (eds R. Curtis and D. Squires). Wiley-Blackwell, Ames, IA., pp. 67–74.</w:t>
      </w:r>
    </w:p>
    <w:p w:rsidR="00662894" w:rsidRDefault="00662894" w:rsidP="00662894">
      <w:pPr>
        <w:suppressLineNumbers w:val="0"/>
        <w:spacing w:line="480" w:lineRule="auto"/>
        <w:ind w:left="773" w:hangingChars="322" w:hanging="773"/>
        <w:rPr>
          <w:lang w:val="en-AU" w:eastAsia="en-AU"/>
        </w:rPr>
      </w:pPr>
      <w:r w:rsidRPr="00662894">
        <w:rPr>
          <w:lang w:val="en-US"/>
        </w:rPr>
        <w:t>Fulton, E.A., Smith, A.D.M.</w:t>
      </w:r>
      <w:r>
        <w:rPr>
          <w:lang w:val="en-US"/>
        </w:rPr>
        <w:t>,</w:t>
      </w:r>
      <w:r w:rsidRPr="00662894">
        <w:rPr>
          <w:lang w:val="en-US"/>
        </w:rPr>
        <w:t xml:space="preserve"> Smith</w:t>
      </w:r>
      <w:r>
        <w:rPr>
          <w:lang w:val="en-US"/>
        </w:rPr>
        <w:t xml:space="preserve">, </w:t>
      </w:r>
      <w:r w:rsidRPr="00662894">
        <w:rPr>
          <w:lang w:val="en-US"/>
        </w:rPr>
        <w:t>D.C.</w:t>
      </w:r>
      <w:r>
        <w:rPr>
          <w:lang w:val="en-US"/>
        </w:rPr>
        <w:t>,</w:t>
      </w:r>
      <w:r w:rsidRPr="00662894">
        <w:rPr>
          <w:lang w:val="en-US"/>
        </w:rPr>
        <w:t xml:space="preserve"> </w:t>
      </w:r>
      <w:r>
        <w:rPr>
          <w:lang w:val="en-US"/>
        </w:rPr>
        <w:t>et al.</w:t>
      </w:r>
      <w:r w:rsidRPr="00662894">
        <w:rPr>
          <w:lang w:val="en-US"/>
        </w:rPr>
        <w:t xml:space="preserve"> (2014) An integrated approach is needed for ecosystem based fisheries management: insights from ecosystem-level management strategy evaluation. </w:t>
      </w:r>
      <w:r w:rsidRPr="005A65EF">
        <w:rPr>
          <w:i/>
          <w:lang w:val="en-AU" w:eastAsia="en-AU"/>
        </w:rPr>
        <w:t>PLoS ONE</w:t>
      </w:r>
      <w:r w:rsidRPr="005A65EF">
        <w:rPr>
          <w:lang w:val="en-AU" w:eastAsia="en-AU"/>
        </w:rPr>
        <w:t xml:space="preserve"> 9</w:t>
      </w:r>
      <w:r>
        <w:rPr>
          <w:lang w:val="en-AU" w:eastAsia="en-AU"/>
        </w:rPr>
        <w:t>,</w:t>
      </w:r>
      <w:r w:rsidRPr="005A65EF">
        <w:rPr>
          <w:lang w:val="en-AU" w:eastAsia="en-AU"/>
        </w:rPr>
        <w:t xml:space="preserve"> e84242.</w:t>
      </w:r>
    </w:p>
    <w:p w:rsidR="008F165D" w:rsidRDefault="00A91F8D" w:rsidP="00662894">
      <w:pPr>
        <w:suppressLineNumbers w:val="0"/>
        <w:spacing w:line="480" w:lineRule="auto"/>
        <w:ind w:left="773" w:hangingChars="322" w:hanging="773"/>
        <w:rPr>
          <w:lang w:val="en-US" w:eastAsia="en-AU"/>
        </w:rPr>
      </w:pPr>
      <w:r w:rsidRPr="00CD10CC">
        <w:rPr>
          <w:lang w:eastAsia="en-AU"/>
        </w:rPr>
        <w:t xml:space="preserve">Gascuel, D., Coll, M., Fox, C., et al. </w:t>
      </w:r>
      <w:r w:rsidRPr="00A91F8D">
        <w:rPr>
          <w:lang w:val="en-US" w:eastAsia="en-AU"/>
        </w:rPr>
        <w:t xml:space="preserve">(2014) Fishing impact and environmental status in European </w:t>
      </w:r>
      <w:r>
        <w:rPr>
          <w:lang w:val="en-US" w:eastAsia="en-AU"/>
        </w:rPr>
        <w:t xml:space="preserve">seas: a diagnosis from stock assessments and ecosystem indicators. </w:t>
      </w:r>
      <w:r w:rsidRPr="00A91F8D">
        <w:rPr>
          <w:i/>
          <w:lang w:val="en-US" w:eastAsia="en-AU"/>
        </w:rPr>
        <w:t>Fish and Fisheries</w:t>
      </w:r>
      <w:r>
        <w:rPr>
          <w:lang w:val="en-US" w:eastAsia="en-AU"/>
        </w:rPr>
        <w:t>, DOI: 10.1111/faf.12090.</w:t>
      </w:r>
    </w:p>
    <w:p w:rsidR="008B6734" w:rsidRPr="00A91F8D" w:rsidRDefault="008B6734" w:rsidP="00662894">
      <w:pPr>
        <w:suppressLineNumbers w:val="0"/>
        <w:spacing w:line="480" w:lineRule="auto"/>
        <w:ind w:left="773" w:hangingChars="322" w:hanging="773"/>
        <w:rPr>
          <w:lang w:val="en-US" w:eastAsia="en-AU"/>
        </w:rPr>
      </w:pPr>
      <w:r w:rsidRPr="00EE69E3">
        <w:rPr>
          <w:lang w:val="da-DK" w:eastAsia="en-AU"/>
        </w:rPr>
        <w:t xml:space="preserve">Gascuel, D., Merino, G., Döring, R., et al. </w:t>
      </w:r>
      <w:r>
        <w:rPr>
          <w:lang w:val="en-US" w:eastAsia="en-AU"/>
        </w:rPr>
        <w:t xml:space="preserve">(2012) Towards the implementation of an integrated ecosystem fleet-based management of European fisheries. </w:t>
      </w:r>
      <w:r w:rsidRPr="008B6734">
        <w:rPr>
          <w:i/>
          <w:lang w:val="en-US" w:eastAsia="en-AU"/>
        </w:rPr>
        <w:t>Marine Policy</w:t>
      </w:r>
      <w:r>
        <w:rPr>
          <w:lang w:val="en-US" w:eastAsia="en-AU"/>
        </w:rPr>
        <w:t xml:space="preserve"> 36, 1022-1032.</w:t>
      </w:r>
    </w:p>
    <w:p w:rsidR="00B45251" w:rsidRDefault="00B45251" w:rsidP="00662894">
      <w:pPr>
        <w:suppressLineNumbers w:val="0"/>
        <w:spacing w:line="480" w:lineRule="auto"/>
        <w:ind w:left="773" w:hangingChars="322" w:hanging="773"/>
        <w:rPr>
          <w:lang w:val="en-AU" w:eastAsia="en-AU"/>
        </w:rPr>
      </w:pPr>
      <w:r>
        <w:rPr>
          <w:lang w:val="en-AU" w:eastAsia="en-AU"/>
        </w:rPr>
        <w:t xml:space="preserve">Graham, N., Ferro, R.S.T., Karp, W.A., and MacMullen, P. (2007) Fishing practice, gear design, and the ecosystem approach – three case studies demonstrating the effect of management strategy on gear selectivity and discards. </w:t>
      </w:r>
      <w:r w:rsidRPr="00B45251">
        <w:rPr>
          <w:i/>
          <w:lang w:val="en-AU" w:eastAsia="en-AU"/>
        </w:rPr>
        <w:t>ICES Journal of Marine Science</w:t>
      </w:r>
      <w:r>
        <w:rPr>
          <w:lang w:val="en-AU" w:eastAsia="en-AU"/>
        </w:rPr>
        <w:t xml:space="preserve"> 64, 744-750.</w:t>
      </w:r>
    </w:p>
    <w:p w:rsidR="00251527" w:rsidRPr="00662894" w:rsidRDefault="00251527" w:rsidP="00662894">
      <w:pPr>
        <w:suppressLineNumbers w:val="0"/>
        <w:spacing w:line="480" w:lineRule="auto"/>
        <w:ind w:left="773" w:hangingChars="322" w:hanging="773"/>
        <w:rPr>
          <w:lang w:val="en-US"/>
        </w:rPr>
      </w:pPr>
      <w:r>
        <w:rPr>
          <w:lang w:val="en-AU" w:eastAsia="en-AU"/>
        </w:rPr>
        <w:t xml:space="preserve">Graham, N., O’Neill, F.G., Fryer, R.J., Galbraith, R.D., and Myklebust, A. (2004) Selectivity of a 120 mm diamond cod-end and the effect of inserting a rigid grid or a square mesh panel. </w:t>
      </w:r>
      <w:r w:rsidRPr="00251527">
        <w:rPr>
          <w:i/>
          <w:lang w:val="en-AU" w:eastAsia="en-AU"/>
        </w:rPr>
        <w:t>Fisheries Research</w:t>
      </w:r>
      <w:r>
        <w:rPr>
          <w:lang w:val="en-AU" w:eastAsia="en-AU"/>
        </w:rPr>
        <w:t xml:space="preserve"> 67, 151-161.</w:t>
      </w:r>
    </w:p>
    <w:p w:rsidR="00594CA6" w:rsidRPr="00594CA6" w:rsidRDefault="00594CA6" w:rsidP="00A51148">
      <w:pPr>
        <w:suppressLineNumbers w:val="0"/>
        <w:spacing w:line="480" w:lineRule="auto"/>
        <w:ind w:left="773" w:hangingChars="322" w:hanging="773"/>
        <w:rPr>
          <w:lang w:val="en-US"/>
        </w:rPr>
      </w:pPr>
      <w:r w:rsidRPr="00594CA6">
        <w:rPr>
          <w:lang w:val="en-US"/>
        </w:rPr>
        <w:lastRenderedPageBreak/>
        <w:t xml:space="preserve">Guyader, O., Berthou, P., </w:t>
      </w:r>
      <w:r w:rsidR="004957A5">
        <w:rPr>
          <w:lang w:val="en-US"/>
        </w:rPr>
        <w:t xml:space="preserve">and </w:t>
      </w:r>
      <w:r w:rsidRPr="00594CA6">
        <w:rPr>
          <w:lang w:val="en-US"/>
        </w:rPr>
        <w:t xml:space="preserve">Daurès, F. </w:t>
      </w:r>
      <w:r w:rsidR="004957A5">
        <w:rPr>
          <w:lang w:val="en-US"/>
        </w:rPr>
        <w:t>(</w:t>
      </w:r>
      <w:r w:rsidRPr="00594CA6">
        <w:rPr>
          <w:lang w:val="en-US"/>
        </w:rPr>
        <w:t>2007</w:t>
      </w:r>
      <w:r w:rsidR="004957A5">
        <w:rPr>
          <w:lang w:val="en-US"/>
        </w:rPr>
        <w:t>)</w:t>
      </w:r>
      <w:r w:rsidR="000624B7">
        <w:rPr>
          <w:lang w:val="en-US"/>
        </w:rPr>
        <w:t xml:space="preserve"> </w:t>
      </w:r>
      <w:r w:rsidRPr="00594CA6">
        <w:rPr>
          <w:lang w:val="en-US"/>
        </w:rPr>
        <w:t>Decommissioning schemes and Capacity Adjustment: a preliminary analysis of the French experience</w:t>
      </w:r>
      <w:r w:rsidR="000624B7">
        <w:rPr>
          <w:lang w:val="en-US"/>
        </w:rPr>
        <w:t>.</w:t>
      </w:r>
      <w:r w:rsidRPr="00594CA6">
        <w:rPr>
          <w:lang w:val="en-US"/>
        </w:rPr>
        <w:t xml:space="preserve"> in </w:t>
      </w:r>
      <w:r w:rsidR="000624B7">
        <w:rPr>
          <w:lang w:val="en-US"/>
        </w:rPr>
        <w:t>Curtis, R. and Squires, D (ed) Fisheries Buyback</w:t>
      </w:r>
      <w:r w:rsidRPr="00594CA6">
        <w:rPr>
          <w:lang w:val="en-US"/>
        </w:rPr>
        <w:t>, Blackwell Publishing, 267 pp.</w:t>
      </w:r>
    </w:p>
    <w:p w:rsidR="00594CA6" w:rsidRPr="00594CA6" w:rsidRDefault="00594CA6" w:rsidP="00A51148">
      <w:pPr>
        <w:suppressLineNumbers w:val="0"/>
        <w:spacing w:line="480" w:lineRule="auto"/>
        <w:ind w:left="773" w:hangingChars="322" w:hanging="773"/>
        <w:rPr>
          <w:lang w:val="en-US"/>
        </w:rPr>
      </w:pPr>
      <w:r w:rsidRPr="00726271">
        <w:t xml:space="preserve">Guyader, O., Berthou, P., Koutsikopoulos, C. </w:t>
      </w:r>
      <w:r w:rsidR="00726271" w:rsidRPr="00726271">
        <w:t>et al.</w:t>
      </w:r>
      <w:r w:rsidRPr="00726271">
        <w:t xml:space="preserve"> </w:t>
      </w:r>
      <w:r w:rsidR="00726271" w:rsidRPr="00726271">
        <w:rPr>
          <w:lang w:val="en-US"/>
        </w:rPr>
        <w:t>(</w:t>
      </w:r>
      <w:r w:rsidRPr="00726271">
        <w:rPr>
          <w:lang w:val="en-US"/>
        </w:rPr>
        <w:t>2013</w:t>
      </w:r>
      <w:r w:rsidR="00726271" w:rsidRPr="00726271">
        <w:rPr>
          <w:lang w:val="en-US"/>
        </w:rPr>
        <w:t>)</w:t>
      </w:r>
      <w:r w:rsidRPr="00726271">
        <w:rPr>
          <w:lang w:val="en-US"/>
        </w:rPr>
        <w:t xml:space="preserve"> </w:t>
      </w:r>
      <w:r w:rsidRPr="00594CA6">
        <w:rPr>
          <w:lang w:val="en-US"/>
        </w:rPr>
        <w:t xml:space="preserve">Small scale fisheries in Europe: A comparative analysis based on a selection of case studies. </w:t>
      </w:r>
      <w:r w:rsidRPr="00FC7BC3">
        <w:rPr>
          <w:i/>
          <w:lang w:val="en-US"/>
        </w:rPr>
        <w:t>Fisheries Research</w:t>
      </w:r>
      <w:r w:rsidRPr="00594CA6">
        <w:rPr>
          <w:lang w:val="en-US"/>
        </w:rPr>
        <w:t xml:space="preserve"> 140, 1-13.</w:t>
      </w:r>
    </w:p>
    <w:p w:rsidR="00F456BE" w:rsidRDefault="00594CA6" w:rsidP="00F456BE">
      <w:pPr>
        <w:suppressLineNumbers w:val="0"/>
        <w:spacing w:line="480" w:lineRule="auto"/>
        <w:ind w:left="773" w:hangingChars="322" w:hanging="773"/>
        <w:rPr>
          <w:lang w:val="en-US"/>
        </w:rPr>
      </w:pPr>
      <w:r w:rsidRPr="00594CA6">
        <w:rPr>
          <w:lang w:val="en-US"/>
        </w:rPr>
        <w:t xml:space="preserve">Hatcher, A. </w:t>
      </w:r>
      <w:r w:rsidR="000624B7">
        <w:rPr>
          <w:lang w:val="en-US"/>
        </w:rPr>
        <w:t>(</w:t>
      </w:r>
      <w:r w:rsidRPr="00594CA6">
        <w:rPr>
          <w:lang w:val="en-US"/>
        </w:rPr>
        <w:t>2000</w:t>
      </w:r>
      <w:r w:rsidR="000624B7">
        <w:rPr>
          <w:lang w:val="en-US"/>
        </w:rPr>
        <w:t>)</w:t>
      </w:r>
      <w:r w:rsidRPr="00594CA6">
        <w:rPr>
          <w:lang w:val="en-US"/>
        </w:rPr>
        <w:t xml:space="preserve"> Subsidies for European Fishing Fleets: the European Community's structural policy for Fisheries 1971-1999</w:t>
      </w:r>
      <w:r w:rsidR="000624B7">
        <w:rPr>
          <w:lang w:val="en-US"/>
        </w:rPr>
        <w:t>.</w:t>
      </w:r>
      <w:r w:rsidRPr="00594CA6">
        <w:rPr>
          <w:lang w:val="en-US"/>
        </w:rPr>
        <w:t xml:space="preserve"> </w:t>
      </w:r>
      <w:r w:rsidRPr="00184E03">
        <w:rPr>
          <w:i/>
          <w:lang w:val="en-US"/>
        </w:rPr>
        <w:t>Marine Policy</w:t>
      </w:r>
      <w:r w:rsidR="00F456BE">
        <w:rPr>
          <w:lang w:val="en-US"/>
        </w:rPr>
        <w:t xml:space="preserve"> 24, 129-144.</w:t>
      </w:r>
    </w:p>
    <w:p w:rsidR="00F456BE" w:rsidRPr="00F456BE" w:rsidRDefault="00A83A56" w:rsidP="00F456BE">
      <w:pPr>
        <w:suppressLineNumbers w:val="0"/>
        <w:spacing w:line="480" w:lineRule="auto"/>
        <w:ind w:left="773" w:hangingChars="322" w:hanging="773"/>
        <w:rPr>
          <w:lang w:val="en-US"/>
        </w:rPr>
      </w:pPr>
      <w:r w:rsidRPr="00F456BE">
        <w:rPr>
          <w:lang w:val="en-US"/>
        </w:rPr>
        <w:t xml:space="preserve">Hauge, K.H., and Wilson, D.C. (Eds.) (2009) </w:t>
      </w:r>
      <w:r w:rsidR="00F456BE" w:rsidRPr="00F456BE">
        <w:rPr>
          <w:lang w:val="en-US"/>
        </w:rPr>
        <w:t xml:space="preserve">Comparative evaluations of innovative fisheries management: </w:t>
      </w:r>
      <w:r w:rsidRPr="00F456BE">
        <w:rPr>
          <w:lang w:val="en-US"/>
        </w:rPr>
        <w:t>Global experiences and European prospects</w:t>
      </w:r>
      <w:r w:rsidR="00F456BE" w:rsidRPr="00F456BE">
        <w:rPr>
          <w:lang w:val="en-US"/>
        </w:rPr>
        <w:t>, 1-172. Springer. DOI: 10.1007/978-90-481-2663-7</w:t>
      </w:r>
      <w:r w:rsidR="00F456BE">
        <w:rPr>
          <w:lang w:val="en-US"/>
        </w:rPr>
        <w:t>.</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Hersoug, B. </w:t>
      </w:r>
      <w:r w:rsidR="00F47000">
        <w:rPr>
          <w:lang w:val="en-US"/>
        </w:rPr>
        <w:t>(2002)</w:t>
      </w:r>
      <w:r w:rsidRPr="00594CA6">
        <w:rPr>
          <w:lang w:val="en-US"/>
        </w:rPr>
        <w:t xml:space="preserve"> New Zealand experience with right-based fisheries management – Unfinished business. Eburon and Delft.</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Holden, M. </w:t>
      </w:r>
      <w:r w:rsidR="00F47000">
        <w:rPr>
          <w:lang w:val="en-US"/>
        </w:rPr>
        <w:t>(</w:t>
      </w:r>
      <w:r w:rsidRPr="00594CA6">
        <w:rPr>
          <w:lang w:val="en-US"/>
        </w:rPr>
        <w:t>1994</w:t>
      </w:r>
      <w:r w:rsidR="00F47000">
        <w:rPr>
          <w:lang w:val="en-US"/>
        </w:rPr>
        <w:t>)</w:t>
      </w:r>
      <w:r w:rsidRPr="00594CA6">
        <w:rPr>
          <w:lang w:val="en-US"/>
        </w:rPr>
        <w:t xml:space="preserve"> The Common Fisheries Policy: origin, evaluation and future. Fishing News Books.</w:t>
      </w:r>
    </w:p>
    <w:p w:rsidR="00207AFE" w:rsidRDefault="00594CA6" w:rsidP="00207AFE">
      <w:pPr>
        <w:suppressLineNumbers w:val="0"/>
        <w:spacing w:line="480" w:lineRule="auto"/>
        <w:ind w:left="773" w:hangingChars="322" w:hanging="773"/>
        <w:rPr>
          <w:lang w:val="en-US"/>
        </w:rPr>
      </w:pPr>
      <w:r w:rsidRPr="00594CA6">
        <w:rPr>
          <w:lang w:val="en-US"/>
        </w:rPr>
        <w:t xml:space="preserve">ICES </w:t>
      </w:r>
      <w:r w:rsidR="00F47000">
        <w:rPr>
          <w:lang w:val="en-US"/>
        </w:rPr>
        <w:t>(</w:t>
      </w:r>
      <w:r w:rsidRPr="00594CA6">
        <w:rPr>
          <w:lang w:val="en-US"/>
        </w:rPr>
        <w:t>1998</w:t>
      </w:r>
      <w:r w:rsidR="00F47000">
        <w:rPr>
          <w:lang w:val="en-US"/>
        </w:rPr>
        <w:t>)</w:t>
      </w:r>
      <w:r w:rsidRPr="00594CA6">
        <w:rPr>
          <w:lang w:val="en-US"/>
        </w:rPr>
        <w:t xml:space="preserve"> Report of the study group on the precautionary approach to fisheries management. ICES </w:t>
      </w:r>
      <w:r w:rsidRPr="004D20DA">
        <w:rPr>
          <w:lang w:val="en-US"/>
        </w:rPr>
        <w:t>Headquarters, 3-6 February 1998, CM1998 / ACFM:10.</w:t>
      </w:r>
    </w:p>
    <w:p w:rsidR="004D20DA" w:rsidRPr="00264532" w:rsidRDefault="004D20DA" w:rsidP="00207AFE">
      <w:pPr>
        <w:suppressLineNumbers w:val="0"/>
        <w:spacing w:line="480" w:lineRule="auto"/>
        <w:ind w:left="773" w:hangingChars="322" w:hanging="773"/>
        <w:rPr>
          <w:lang w:val="en-US"/>
        </w:rPr>
      </w:pPr>
      <w:r w:rsidRPr="00264532">
        <w:rPr>
          <w:lang w:val="en-US"/>
        </w:rPr>
        <w:t>ICES (2004)</w:t>
      </w:r>
      <w:r w:rsidR="00207AFE" w:rsidRPr="00264532">
        <w:rPr>
          <w:lang w:val="en-US"/>
        </w:rPr>
        <w:t xml:space="preserve"> Report of the ICES Advisory Committee on Fishery Management and Advisory Committee on Ecosystems, 2004. ICES Advice. Volumes 1</w:t>
      </w:r>
      <w:r w:rsidR="0048531F" w:rsidRPr="00264532">
        <w:rPr>
          <w:lang w:val="en-US"/>
        </w:rPr>
        <w:t>, Number 2</w:t>
      </w:r>
      <w:r w:rsidR="00207AFE" w:rsidRPr="00264532">
        <w:rPr>
          <w:lang w:val="en-US"/>
        </w:rPr>
        <w:t>.</w:t>
      </w:r>
    </w:p>
    <w:p w:rsidR="00E10032" w:rsidRPr="00264532" w:rsidRDefault="004D20DA" w:rsidP="00E10032">
      <w:pPr>
        <w:suppressLineNumbers w:val="0"/>
        <w:spacing w:line="480" w:lineRule="auto"/>
        <w:ind w:left="773" w:hangingChars="322" w:hanging="773"/>
        <w:rPr>
          <w:lang w:val="en-US"/>
        </w:rPr>
      </w:pPr>
      <w:r w:rsidRPr="00264532">
        <w:rPr>
          <w:lang w:val="en-US"/>
        </w:rPr>
        <w:t>ICES (2005) Report of the ICES Advisory Committee on Fishery Management, Advisory Committee on the Marine Environment and Advisory Committee on Ecosystems, 2005. ICES Advice. Volumes 1-11.</w:t>
      </w:r>
    </w:p>
    <w:p w:rsidR="00073D8C" w:rsidRPr="00264532" w:rsidRDefault="004D20DA" w:rsidP="00073D8C">
      <w:pPr>
        <w:suppressLineNumbers w:val="0"/>
        <w:spacing w:line="480" w:lineRule="auto"/>
        <w:ind w:left="773" w:hangingChars="322" w:hanging="773"/>
        <w:rPr>
          <w:lang w:val="en-US"/>
        </w:rPr>
      </w:pPr>
      <w:r w:rsidRPr="00264532">
        <w:rPr>
          <w:lang w:val="en-US"/>
        </w:rPr>
        <w:t>ICES (2006)</w:t>
      </w:r>
      <w:r w:rsidR="00E10032" w:rsidRPr="00264532">
        <w:rPr>
          <w:lang w:val="en-US"/>
        </w:rPr>
        <w:t xml:space="preserve"> Report of the ICES Advisory Committee on Fishery Management, Advisory Committee on the Marine Environment and Advisory Committee on Ecosystems, 2006. ICES Advice. </w:t>
      </w:r>
      <w:r w:rsidR="00E10032" w:rsidRPr="00264532">
        <w:rPr>
          <w:lang w:val="en-US"/>
        </w:rPr>
        <w:lastRenderedPageBreak/>
        <w:t>Books 1 - 10.</w:t>
      </w:r>
    </w:p>
    <w:p w:rsidR="00C84933" w:rsidRPr="00264532" w:rsidRDefault="004D20DA" w:rsidP="004D20DA">
      <w:pPr>
        <w:suppressLineNumbers w:val="0"/>
        <w:spacing w:line="480" w:lineRule="auto"/>
        <w:ind w:left="773" w:hangingChars="322" w:hanging="773"/>
        <w:rPr>
          <w:lang w:val="en-US"/>
        </w:rPr>
      </w:pPr>
      <w:r w:rsidRPr="00264532">
        <w:rPr>
          <w:lang w:val="en-US"/>
        </w:rPr>
        <w:t>ICES (2007)</w:t>
      </w:r>
      <w:r w:rsidR="00073D8C" w:rsidRPr="00264532">
        <w:rPr>
          <w:lang w:val="en-US"/>
        </w:rPr>
        <w:t xml:space="preserve"> Report of the ICES Advisory Committee on Fishery Management, Advisory Committee on the Marine Environment and Advisory Committee on Ecosystems, 2007. ICES Advice. Books 1 - 10.</w:t>
      </w:r>
    </w:p>
    <w:p w:rsidR="00E74F0B" w:rsidRPr="00264532" w:rsidRDefault="004D20DA" w:rsidP="00E74F0B">
      <w:pPr>
        <w:suppressLineNumbers w:val="0"/>
        <w:spacing w:line="480" w:lineRule="auto"/>
        <w:ind w:left="773" w:hangingChars="322" w:hanging="773"/>
        <w:rPr>
          <w:lang w:val="en-US"/>
        </w:rPr>
      </w:pPr>
      <w:r w:rsidRPr="00264532">
        <w:rPr>
          <w:lang w:val="en-US"/>
        </w:rPr>
        <w:t>ICES (2008)</w:t>
      </w:r>
      <w:r w:rsidR="00C84933" w:rsidRPr="00264532">
        <w:rPr>
          <w:lang w:val="en-US"/>
        </w:rPr>
        <w:t xml:space="preserve"> Report of the ICES Advisory Committee, 2008. ICES Advice, 2008. Books 1-10.</w:t>
      </w:r>
    </w:p>
    <w:p w:rsidR="00E74F0B" w:rsidRPr="00264532" w:rsidRDefault="004D20DA" w:rsidP="00E74F0B">
      <w:pPr>
        <w:suppressLineNumbers w:val="0"/>
        <w:spacing w:line="480" w:lineRule="auto"/>
        <w:ind w:left="773" w:hangingChars="322" w:hanging="773"/>
        <w:rPr>
          <w:lang w:val="en-US"/>
        </w:rPr>
      </w:pPr>
      <w:r w:rsidRPr="00264532">
        <w:rPr>
          <w:lang w:val="en-US"/>
        </w:rPr>
        <w:t>ICES (2009)</w:t>
      </w:r>
      <w:r w:rsidR="00E74F0B" w:rsidRPr="00264532">
        <w:rPr>
          <w:lang w:val="en-US"/>
        </w:rPr>
        <w:t xml:space="preserve"> Report of the ICES Advisory Committee, 2009. ICES Advice, 2009. Books 1-11. </w:t>
      </w:r>
    </w:p>
    <w:p w:rsidR="00B37E87" w:rsidRPr="00264532" w:rsidRDefault="00DA7F59" w:rsidP="00B37E87">
      <w:pPr>
        <w:suppressLineNumbers w:val="0"/>
        <w:spacing w:line="480" w:lineRule="auto"/>
        <w:ind w:left="773" w:hangingChars="322" w:hanging="773"/>
        <w:rPr>
          <w:lang w:val="en-US"/>
        </w:rPr>
      </w:pPr>
      <w:r w:rsidRPr="00264532">
        <w:rPr>
          <w:lang w:val="en-US"/>
        </w:rPr>
        <w:t>ICES (2010) Report of the ICES Advisory Committee, 2010. ICES Advice, 2010. Books 1-11.</w:t>
      </w:r>
    </w:p>
    <w:p w:rsidR="00B37E87" w:rsidRPr="00264532" w:rsidRDefault="00B37E87" w:rsidP="00B37E87">
      <w:pPr>
        <w:suppressLineNumbers w:val="0"/>
        <w:spacing w:line="480" w:lineRule="auto"/>
        <w:ind w:left="773" w:hangingChars="322" w:hanging="773"/>
        <w:rPr>
          <w:lang w:val="en-US"/>
        </w:rPr>
      </w:pPr>
      <w:r w:rsidRPr="00264532">
        <w:rPr>
          <w:lang w:val="en-US"/>
        </w:rPr>
        <w:t>ICES (2011) Report of the ICES Advisory Committee, 2011. ICES Advice, 2011. Books 1-11.</w:t>
      </w:r>
    </w:p>
    <w:p w:rsidR="004329FF" w:rsidRPr="00264532" w:rsidRDefault="004329FF" w:rsidP="004329FF">
      <w:pPr>
        <w:suppressLineNumbers w:val="0"/>
        <w:spacing w:line="480" w:lineRule="auto"/>
        <w:ind w:left="773" w:hangingChars="322" w:hanging="773"/>
        <w:rPr>
          <w:lang w:val="en-US"/>
        </w:rPr>
      </w:pPr>
      <w:r w:rsidRPr="00264532">
        <w:rPr>
          <w:lang w:val="en-US"/>
        </w:rPr>
        <w:t>ICES (2012) Report of the ICES Advisory Committee, 2012. ICES Advice, 2011. Books 1-12.</w:t>
      </w:r>
    </w:p>
    <w:p w:rsidR="00551B0B" w:rsidRPr="00264532" w:rsidRDefault="00594CA6" w:rsidP="00551B0B">
      <w:pPr>
        <w:suppressLineNumbers w:val="0"/>
        <w:spacing w:line="480" w:lineRule="auto"/>
        <w:ind w:left="773" w:hangingChars="322" w:hanging="773"/>
        <w:rPr>
          <w:lang w:val="en-US"/>
        </w:rPr>
      </w:pPr>
      <w:r w:rsidRPr="00264532">
        <w:rPr>
          <w:lang w:val="en-US"/>
        </w:rPr>
        <w:t xml:space="preserve">ICES </w:t>
      </w:r>
      <w:r w:rsidR="00F47000" w:rsidRPr="00264532">
        <w:rPr>
          <w:lang w:val="en-US"/>
        </w:rPr>
        <w:t>(</w:t>
      </w:r>
      <w:r w:rsidRPr="00264532">
        <w:rPr>
          <w:lang w:val="en-US"/>
        </w:rPr>
        <w:t>2013</w:t>
      </w:r>
      <w:r w:rsidR="00F47000" w:rsidRPr="00264532">
        <w:rPr>
          <w:lang w:val="en-US"/>
        </w:rPr>
        <w:t>)</w:t>
      </w:r>
      <w:r w:rsidR="00D75F7C" w:rsidRPr="00264532">
        <w:rPr>
          <w:lang w:val="en-US"/>
        </w:rPr>
        <w:t xml:space="preserve"> Report of the ICES Advisory Committee 2013</w:t>
      </w:r>
      <w:r w:rsidRPr="00264532">
        <w:rPr>
          <w:lang w:val="en-US"/>
        </w:rPr>
        <w:t>.</w:t>
      </w:r>
      <w:r w:rsidR="00D75F7C" w:rsidRPr="00264532">
        <w:rPr>
          <w:lang w:val="en-US"/>
        </w:rPr>
        <w:t xml:space="preserve"> ICES Advice, 2013. Books 1-11.</w:t>
      </w:r>
    </w:p>
    <w:p w:rsidR="000944EC" w:rsidRPr="00264532" w:rsidRDefault="000944EC" w:rsidP="000944EC">
      <w:pPr>
        <w:suppressLineNumbers w:val="0"/>
        <w:spacing w:line="480" w:lineRule="auto"/>
        <w:ind w:left="773" w:hangingChars="322" w:hanging="773"/>
        <w:rPr>
          <w:lang w:val="en-US"/>
        </w:rPr>
      </w:pPr>
      <w:r w:rsidRPr="00264532">
        <w:rPr>
          <w:lang w:val="en-US"/>
        </w:rPr>
        <w:t>ICES (2014) Report of the ICES Advisory Committee 2013. ICES Advice, 2014. Books 1-11.</w:t>
      </w:r>
    </w:p>
    <w:p w:rsidR="00551B0B" w:rsidRDefault="00551B0B" w:rsidP="00551B0B">
      <w:pPr>
        <w:suppressLineNumbers w:val="0"/>
        <w:spacing w:line="480" w:lineRule="auto"/>
        <w:ind w:left="773" w:hangingChars="322" w:hanging="773"/>
        <w:rPr>
          <w:lang w:val="en-US"/>
        </w:rPr>
      </w:pPr>
      <w:r w:rsidRPr="00551B0B">
        <w:rPr>
          <w:lang w:val="en-US"/>
        </w:rPr>
        <w:t xml:space="preserve">ICES </w:t>
      </w:r>
      <w:r>
        <w:rPr>
          <w:lang w:val="en-US"/>
        </w:rPr>
        <w:t>(</w:t>
      </w:r>
      <w:r w:rsidRPr="00551B0B">
        <w:rPr>
          <w:lang w:val="en-US"/>
        </w:rPr>
        <w:t>2015a</w:t>
      </w:r>
      <w:r>
        <w:rPr>
          <w:lang w:val="en-US"/>
        </w:rPr>
        <w:t>)</w:t>
      </w:r>
      <w:r w:rsidRPr="00551B0B">
        <w:rPr>
          <w:lang w:val="en-US"/>
        </w:rPr>
        <w:t xml:space="preserve"> Report of the North-Western Working Group (NWWG), 28 April-5 May, ICES HQ, Copenhagen Denmark. ICES CM 2015/ACOM:07. 717 pp.</w:t>
      </w:r>
    </w:p>
    <w:p w:rsidR="007B1EFD" w:rsidRPr="007B1EFD" w:rsidRDefault="00551B0B" w:rsidP="00551B0B">
      <w:pPr>
        <w:suppressLineNumbers w:val="0"/>
        <w:spacing w:line="480" w:lineRule="auto"/>
        <w:ind w:left="773" w:hangingChars="322" w:hanging="773"/>
        <w:rPr>
          <w:lang w:val="en-US"/>
        </w:rPr>
      </w:pPr>
      <w:r w:rsidRPr="007B1EFD">
        <w:rPr>
          <w:lang w:val="en-US"/>
        </w:rPr>
        <w:t xml:space="preserve"> </w:t>
      </w:r>
      <w:r w:rsidR="007B1EFD" w:rsidRPr="007B1EFD">
        <w:rPr>
          <w:lang w:val="en-US"/>
        </w:rPr>
        <w:t xml:space="preserve">ICES </w:t>
      </w:r>
      <w:r w:rsidR="007B1EFD">
        <w:rPr>
          <w:lang w:val="en-US"/>
        </w:rPr>
        <w:t>(</w:t>
      </w:r>
      <w:r w:rsidR="007B1EFD" w:rsidRPr="007B1EFD">
        <w:rPr>
          <w:lang w:val="en-US"/>
        </w:rPr>
        <w:t>2015</w:t>
      </w:r>
      <w:r w:rsidR="007B1EFD">
        <w:rPr>
          <w:lang w:val="en-US"/>
        </w:rPr>
        <w:t>b)</w:t>
      </w:r>
      <w:r w:rsidR="007B1EFD" w:rsidRPr="007B1EFD">
        <w:rPr>
          <w:lang w:val="en-US"/>
        </w:rPr>
        <w:t xml:space="preserve"> Report of the Working Group on the Assessment of Demersal Stocks in the North Sea and Skagerrak (WGNSSK), 28 April-7 May, ICES HQ, Copenhagen, Denmark. ICES CM 2015/ACOM:13. 1031 pp.</w:t>
      </w:r>
    </w:p>
    <w:p w:rsidR="00594CA6" w:rsidRPr="00594CA6" w:rsidRDefault="007B1EFD" w:rsidP="007B1EFD">
      <w:pPr>
        <w:suppressLineNumbers w:val="0"/>
        <w:spacing w:line="480" w:lineRule="auto"/>
        <w:ind w:left="773" w:hangingChars="322" w:hanging="773"/>
        <w:rPr>
          <w:lang w:val="en-US"/>
        </w:rPr>
      </w:pPr>
      <w:r w:rsidRPr="00594CA6">
        <w:rPr>
          <w:lang w:val="en-US"/>
        </w:rPr>
        <w:t xml:space="preserve"> </w:t>
      </w:r>
      <w:r w:rsidR="00594CA6" w:rsidRPr="00594CA6">
        <w:rPr>
          <w:lang w:val="en-US"/>
        </w:rPr>
        <w:t xml:space="preserve">Johnson, D., and Haworth, J. </w:t>
      </w:r>
      <w:r w:rsidR="00F47000">
        <w:rPr>
          <w:lang w:val="en-US"/>
        </w:rPr>
        <w:t>(</w:t>
      </w:r>
      <w:r w:rsidR="00594CA6" w:rsidRPr="00594CA6">
        <w:rPr>
          <w:lang w:val="en-US"/>
        </w:rPr>
        <w:t>2004</w:t>
      </w:r>
      <w:r w:rsidR="00F47000">
        <w:rPr>
          <w:lang w:val="en-US"/>
        </w:rPr>
        <w:t>)</w:t>
      </w:r>
      <w:r w:rsidR="00594CA6" w:rsidRPr="00594CA6">
        <w:rPr>
          <w:lang w:val="en-US"/>
        </w:rPr>
        <w:t xml:space="preserve"> Hooked: the story of the New Zealand fishing industry.</w:t>
      </w:r>
      <w:r w:rsidR="00F47000">
        <w:rPr>
          <w:lang w:val="en-US"/>
        </w:rPr>
        <w:t xml:space="preserve"> </w:t>
      </w:r>
      <w:r w:rsidR="00594CA6" w:rsidRPr="00594CA6">
        <w:rPr>
          <w:lang w:val="en-US"/>
        </w:rPr>
        <w:t>Hazard Press Ltd.</w:t>
      </w:r>
    </w:p>
    <w:p w:rsidR="00A55BD1" w:rsidRDefault="00A55BD1" w:rsidP="00A51148">
      <w:pPr>
        <w:suppressLineNumbers w:val="0"/>
        <w:spacing w:line="480" w:lineRule="auto"/>
        <w:ind w:left="773" w:hangingChars="322" w:hanging="773"/>
        <w:rPr>
          <w:lang w:val="en-US"/>
        </w:rPr>
      </w:pPr>
      <w:r w:rsidRPr="00A55BD1">
        <w:rPr>
          <w:lang w:val="en-US"/>
        </w:rPr>
        <w:t xml:space="preserve">Karagiannakos, </w:t>
      </w:r>
      <w:r>
        <w:rPr>
          <w:lang w:val="en-US"/>
        </w:rPr>
        <w:t xml:space="preserve">A. (1996) </w:t>
      </w:r>
      <w:r w:rsidRPr="00A55BD1">
        <w:rPr>
          <w:lang w:val="en-US"/>
        </w:rPr>
        <w:t>Total Allowable Catch (TAC) and quota management system in the European Union</w:t>
      </w:r>
      <w:r>
        <w:rPr>
          <w:lang w:val="en-US"/>
        </w:rPr>
        <w:t>.</w:t>
      </w:r>
      <w:r w:rsidRPr="00A55BD1">
        <w:rPr>
          <w:lang w:val="en-US"/>
        </w:rPr>
        <w:t xml:space="preserve"> </w:t>
      </w:r>
      <w:r w:rsidRPr="0045251E">
        <w:rPr>
          <w:i/>
          <w:lang w:val="en-US"/>
        </w:rPr>
        <w:t>Marine Policy</w:t>
      </w:r>
      <w:r>
        <w:rPr>
          <w:lang w:val="en-US"/>
        </w:rPr>
        <w:t xml:space="preserve"> </w:t>
      </w:r>
      <w:r w:rsidRPr="00A55BD1">
        <w:rPr>
          <w:lang w:val="en-US"/>
        </w:rPr>
        <w:t>20, 235-248.</w:t>
      </w:r>
    </w:p>
    <w:p w:rsidR="00594CA6" w:rsidRPr="00C71186" w:rsidRDefault="00594CA6" w:rsidP="00A51148">
      <w:pPr>
        <w:suppressLineNumbers w:val="0"/>
        <w:spacing w:line="480" w:lineRule="auto"/>
        <w:ind w:left="773" w:hangingChars="322" w:hanging="773"/>
      </w:pPr>
      <w:r w:rsidRPr="009742F3">
        <w:rPr>
          <w:lang w:val="en-US"/>
        </w:rPr>
        <w:t>Larabi</w:t>
      </w:r>
      <w:r w:rsidR="00F47000" w:rsidRPr="009742F3">
        <w:rPr>
          <w:lang w:val="en-US"/>
        </w:rPr>
        <w:t>,</w:t>
      </w:r>
      <w:r w:rsidRPr="009742F3">
        <w:rPr>
          <w:lang w:val="en-US"/>
        </w:rPr>
        <w:t xml:space="preserve"> Z., Guyader</w:t>
      </w:r>
      <w:r w:rsidR="00F47000" w:rsidRPr="009742F3">
        <w:rPr>
          <w:lang w:val="en-US"/>
        </w:rPr>
        <w:t>,</w:t>
      </w:r>
      <w:r w:rsidRPr="009742F3">
        <w:rPr>
          <w:lang w:val="en-US"/>
        </w:rPr>
        <w:t xml:space="preserve"> O., Macher</w:t>
      </w:r>
      <w:r w:rsidR="00F47000" w:rsidRPr="009742F3">
        <w:rPr>
          <w:lang w:val="en-US"/>
        </w:rPr>
        <w:t>,</w:t>
      </w:r>
      <w:r w:rsidRPr="009742F3">
        <w:rPr>
          <w:lang w:val="en-US"/>
        </w:rPr>
        <w:t xml:space="preserve"> C.</w:t>
      </w:r>
      <w:r w:rsidR="008C36AA" w:rsidRPr="009742F3">
        <w:rPr>
          <w:lang w:val="en-US"/>
        </w:rPr>
        <w:t xml:space="preserve"> et al.</w:t>
      </w:r>
      <w:r w:rsidRPr="009742F3">
        <w:rPr>
          <w:lang w:val="en-US"/>
        </w:rPr>
        <w:t xml:space="preserve"> </w:t>
      </w:r>
      <w:r w:rsidR="00F47000">
        <w:rPr>
          <w:lang w:val="en-US"/>
        </w:rPr>
        <w:t>(</w:t>
      </w:r>
      <w:r w:rsidRPr="00594CA6">
        <w:rPr>
          <w:lang w:val="en-US"/>
        </w:rPr>
        <w:t>2013</w:t>
      </w:r>
      <w:r w:rsidR="00F47000">
        <w:rPr>
          <w:lang w:val="en-US"/>
        </w:rPr>
        <w:t>)</w:t>
      </w:r>
      <w:r w:rsidRPr="00594CA6">
        <w:rPr>
          <w:lang w:val="en-US"/>
        </w:rPr>
        <w:t xml:space="preserve"> </w:t>
      </w:r>
      <w:r w:rsidRPr="00594CA6">
        <w:rPr>
          <w:bCs/>
          <w:lang w:val="en-US"/>
        </w:rPr>
        <w:t>Quota management in a context of non-transferability of fishing rights: The French case study</w:t>
      </w:r>
      <w:r w:rsidRPr="00594CA6">
        <w:rPr>
          <w:lang w:val="en-US"/>
        </w:rPr>
        <w:t xml:space="preserve">. </w:t>
      </w:r>
      <w:r w:rsidRPr="00C71186">
        <w:rPr>
          <w:i/>
          <w:iCs/>
        </w:rPr>
        <w:t>Ocean &amp; Coastal Management</w:t>
      </w:r>
      <w:r w:rsidR="00F47000" w:rsidRPr="00E617C1">
        <w:t xml:space="preserve"> 84, 13-22.</w:t>
      </w:r>
    </w:p>
    <w:p w:rsidR="00594CA6" w:rsidRPr="00594CA6" w:rsidRDefault="00594CA6" w:rsidP="00A51148">
      <w:pPr>
        <w:suppressLineNumbers w:val="0"/>
        <w:spacing w:line="480" w:lineRule="auto"/>
        <w:ind w:left="773" w:hangingChars="322" w:hanging="773"/>
        <w:rPr>
          <w:lang w:val="en-US"/>
        </w:rPr>
      </w:pPr>
      <w:r w:rsidRPr="00C71186">
        <w:lastRenderedPageBreak/>
        <w:t xml:space="preserve">Large, P.A., Agnew, D.J., Alvarez.-Perez, J.A., </w:t>
      </w:r>
      <w:r w:rsidR="00F47000" w:rsidRPr="00C71186">
        <w:t>et al.</w:t>
      </w:r>
      <w:r w:rsidRPr="00C71186">
        <w:t xml:space="preserve"> </w:t>
      </w:r>
      <w:r w:rsidR="00F47000" w:rsidRPr="00F47000">
        <w:rPr>
          <w:lang w:val="en-US"/>
        </w:rPr>
        <w:t>(</w:t>
      </w:r>
      <w:r w:rsidRPr="00F47000">
        <w:rPr>
          <w:lang w:val="en-US"/>
        </w:rPr>
        <w:t>2013</w:t>
      </w:r>
      <w:r w:rsidR="00F47000" w:rsidRPr="00F47000">
        <w:rPr>
          <w:lang w:val="en-US"/>
        </w:rPr>
        <w:t>)</w:t>
      </w:r>
      <w:r w:rsidRPr="00F47000">
        <w:rPr>
          <w:lang w:val="en-US"/>
        </w:rPr>
        <w:t xml:space="preserve"> </w:t>
      </w:r>
      <w:r w:rsidRPr="00594CA6">
        <w:rPr>
          <w:lang w:val="en-US"/>
        </w:rPr>
        <w:t xml:space="preserve">Strengths and weaknesses of the management and monitoring of deep-water stocks, fisheries and ecosystems in various areas of the world – a roadmap towards sustainable deep-water fisheries in the Northeast Atlantic? </w:t>
      </w:r>
      <w:r w:rsidRPr="00F47000">
        <w:rPr>
          <w:i/>
          <w:iCs/>
          <w:lang w:val="en-US"/>
        </w:rPr>
        <w:t>Reviews in Fisheries Science</w:t>
      </w:r>
      <w:r w:rsidRPr="00594CA6">
        <w:rPr>
          <w:lang w:val="en-US"/>
        </w:rPr>
        <w:t xml:space="preserve"> 21, 157-180.</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Laurec, A., Biseau, A., and Charuau, A. </w:t>
      </w:r>
      <w:r w:rsidR="00F47000">
        <w:rPr>
          <w:lang w:val="en-US"/>
        </w:rPr>
        <w:t>(</w:t>
      </w:r>
      <w:r w:rsidRPr="00594CA6">
        <w:rPr>
          <w:lang w:val="en-US"/>
        </w:rPr>
        <w:t>1991</w:t>
      </w:r>
      <w:r w:rsidR="00F47000">
        <w:rPr>
          <w:lang w:val="en-US"/>
        </w:rPr>
        <w:t>)</w:t>
      </w:r>
      <w:r w:rsidRPr="00594CA6">
        <w:rPr>
          <w:lang w:val="en-US"/>
        </w:rPr>
        <w:t xml:space="preserve"> Modeling technical interactions. </w:t>
      </w:r>
      <w:r w:rsidRPr="00F47000">
        <w:rPr>
          <w:i/>
          <w:lang w:val="en-US"/>
        </w:rPr>
        <w:t>ICES Marine Science Symposia</w:t>
      </w:r>
      <w:r w:rsidRPr="00594CA6">
        <w:rPr>
          <w:lang w:val="en-US"/>
        </w:rPr>
        <w:t xml:space="preserve"> 193, 225-236.</w:t>
      </w:r>
    </w:p>
    <w:p w:rsidR="003877CB" w:rsidRDefault="003877CB" w:rsidP="00A51148">
      <w:pPr>
        <w:suppressLineNumbers w:val="0"/>
        <w:spacing w:line="480" w:lineRule="auto"/>
        <w:ind w:left="773" w:hangingChars="322" w:hanging="773"/>
        <w:rPr>
          <w:lang w:val="en"/>
        </w:rPr>
      </w:pPr>
      <w:r w:rsidRPr="003877CB">
        <w:t xml:space="preserve">Le Floc’h, P., Murillas, A., Aranda, M., et al. </w:t>
      </w:r>
      <w:r w:rsidRPr="003877CB">
        <w:rPr>
          <w:lang w:val="en-GB"/>
        </w:rPr>
        <w:t xml:space="preserve">(2015) </w:t>
      </w:r>
      <w:r w:rsidRPr="003877CB">
        <w:rPr>
          <w:lang w:val="en"/>
        </w:rPr>
        <w:t xml:space="preserve">The regional management of fisheries in European Western Waters. </w:t>
      </w:r>
      <w:r w:rsidRPr="003877CB">
        <w:rPr>
          <w:i/>
          <w:lang w:val="en"/>
        </w:rPr>
        <w:t>Marine Policy</w:t>
      </w:r>
      <w:r w:rsidRPr="003877CB">
        <w:rPr>
          <w:lang w:val="en"/>
        </w:rPr>
        <w:t xml:space="preserve"> 51, 375 – 384</w:t>
      </w:r>
    </w:p>
    <w:p w:rsidR="00594CA6" w:rsidRDefault="00594CA6" w:rsidP="00A51148">
      <w:pPr>
        <w:suppressLineNumbers w:val="0"/>
        <w:spacing w:line="480" w:lineRule="auto"/>
        <w:ind w:left="773" w:hangingChars="322" w:hanging="773"/>
        <w:rPr>
          <w:lang w:val="en-US"/>
        </w:rPr>
      </w:pPr>
      <w:r w:rsidRPr="00594CA6">
        <w:rPr>
          <w:lang w:val="en-US"/>
        </w:rPr>
        <w:t xml:space="preserve">Lindebo, E. </w:t>
      </w:r>
      <w:r w:rsidR="00F47000">
        <w:rPr>
          <w:lang w:val="en-US"/>
        </w:rPr>
        <w:t>(</w:t>
      </w:r>
      <w:r w:rsidRPr="00594CA6">
        <w:rPr>
          <w:lang w:val="en-US"/>
        </w:rPr>
        <w:t>2005</w:t>
      </w:r>
      <w:r w:rsidR="00F47000">
        <w:rPr>
          <w:lang w:val="en-US"/>
        </w:rPr>
        <w:t>)</w:t>
      </w:r>
      <w:r w:rsidRPr="00594CA6">
        <w:rPr>
          <w:lang w:val="en-US"/>
        </w:rPr>
        <w:t xml:space="preserve"> Role of subsidies in EU fleet capacity management. </w:t>
      </w:r>
      <w:r w:rsidRPr="00F47000">
        <w:rPr>
          <w:i/>
          <w:lang w:val="en-US"/>
        </w:rPr>
        <w:t>Marine Resource Economics</w:t>
      </w:r>
      <w:r w:rsidRPr="00594CA6">
        <w:rPr>
          <w:lang w:val="en-US"/>
        </w:rPr>
        <w:t xml:space="preserve"> 20, 445-466.</w:t>
      </w:r>
    </w:p>
    <w:p w:rsidR="00944A2A" w:rsidRDefault="00944A2A" w:rsidP="00A51148">
      <w:pPr>
        <w:suppressLineNumbers w:val="0"/>
        <w:spacing w:line="480" w:lineRule="auto"/>
        <w:ind w:left="773" w:hangingChars="322" w:hanging="773"/>
        <w:rPr>
          <w:lang w:val="en-US"/>
        </w:rPr>
      </w:pPr>
      <w:r>
        <w:rPr>
          <w:lang w:val="en-US"/>
        </w:rPr>
        <w:t xml:space="preserve">Little, A.S., Needle, C.L., Hilborn, R., Holland, D.S., and Marshall, C.T. (2014) Real-time spatial management approaches to reduce bycatch and discards : experiences from Europe and the United States. </w:t>
      </w:r>
      <w:r w:rsidRPr="00944A2A">
        <w:rPr>
          <w:i/>
          <w:lang w:val="en-US"/>
        </w:rPr>
        <w:t>Fish and Fisheries</w:t>
      </w:r>
      <w:r>
        <w:rPr>
          <w:lang w:val="en-US"/>
        </w:rPr>
        <w:t xml:space="preserve"> DOI: 10.1111/faf.12080.</w:t>
      </w:r>
    </w:p>
    <w:p w:rsidR="00F10F5B" w:rsidRDefault="00F10F5B" w:rsidP="00A51148">
      <w:pPr>
        <w:suppressLineNumbers w:val="0"/>
        <w:spacing w:line="480" w:lineRule="auto"/>
        <w:ind w:left="773" w:hangingChars="322" w:hanging="773"/>
        <w:rPr>
          <w:lang w:val="en-US"/>
        </w:rPr>
      </w:pPr>
      <w:r>
        <w:rPr>
          <w:lang w:val="en-US"/>
        </w:rPr>
        <w:t xml:space="preserve">Mace, P.M., Sullivan, K.J., and Cryer, M. (2014) The evolution of New Zealand’s fisheries science and management under ITQs. </w:t>
      </w:r>
      <w:r w:rsidRPr="00F10F5B">
        <w:rPr>
          <w:i/>
          <w:lang w:val="en-US"/>
        </w:rPr>
        <w:t>ICES Journal of Marine Science</w:t>
      </w:r>
      <w:r>
        <w:rPr>
          <w:lang w:val="en-US"/>
        </w:rPr>
        <w:t xml:space="preserve"> 71, 204-215.</w:t>
      </w:r>
    </w:p>
    <w:p w:rsidR="005E38B0" w:rsidRDefault="005E38B0" w:rsidP="00A51148">
      <w:pPr>
        <w:suppressLineNumbers w:val="0"/>
        <w:spacing w:line="480" w:lineRule="auto"/>
        <w:ind w:left="773" w:hangingChars="322" w:hanging="773"/>
        <w:rPr>
          <w:lang w:val="en-US"/>
        </w:rPr>
      </w:pPr>
      <w:r>
        <w:rPr>
          <w:lang w:val="en-US"/>
        </w:rPr>
        <w:t>Madsen, N.</w:t>
      </w:r>
      <w:r w:rsidR="006A01E4">
        <w:rPr>
          <w:lang w:val="en-US"/>
        </w:rPr>
        <w:t xml:space="preserve">, (2007) Selectivity of fishing gears in the Baltic Sea cod fishery. </w:t>
      </w:r>
      <w:r w:rsidR="006A01E4" w:rsidRPr="006A01E4">
        <w:rPr>
          <w:i/>
          <w:lang w:val="en-US"/>
        </w:rPr>
        <w:t>Reviews in Fish Biology and Fisheries</w:t>
      </w:r>
      <w:r w:rsidR="006A01E4">
        <w:rPr>
          <w:lang w:val="en-US"/>
        </w:rPr>
        <w:t xml:space="preserve"> 17, 517-544.</w:t>
      </w:r>
    </w:p>
    <w:p w:rsidR="00AD037D" w:rsidRPr="00AD037D" w:rsidRDefault="00AD037D" w:rsidP="00AD037D">
      <w:pPr>
        <w:suppressLineNumbers w:val="0"/>
        <w:spacing w:line="480" w:lineRule="auto"/>
        <w:ind w:left="773" w:hangingChars="322" w:hanging="773"/>
        <w:rPr>
          <w:lang w:val="en-US"/>
        </w:rPr>
      </w:pPr>
      <w:r w:rsidRPr="00AD037D">
        <w:rPr>
          <w:bCs/>
          <w:lang w:val="en-US"/>
        </w:rPr>
        <w:t>Marchal, P.</w:t>
      </w:r>
      <w:r w:rsidRPr="00AD037D">
        <w:rPr>
          <w:lang w:val="en-US"/>
        </w:rPr>
        <w:t>, Andersen, B., Caillart, B., Eigaard, O., Guyader, O., Hovgaard, H., Iriondo, A., Le Fur, F., Sacchi, J., and Santurtún, M.</w:t>
      </w:r>
      <w:r>
        <w:rPr>
          <w:lang w:val="en-US"/>
        </w:rPr>
        <w:t xml:space="preserve"> (</w:t>
      </w:r>
      <w:r w:rsidRPr="00AD037D">
        <w:rPr>
          <w:lang w:val="en-US"/>
        </w:rPr>
        <w:t>2007</w:t>
      </w:r>
      <w:r>
        <w:rPr>
          <w:lang w:val="en-US"/>
        </w:rPr>
        <w:t>)</w:t>
      </w:r>
      <w:r w:rsidRPr="00AD037D">
        <w:rPr>
          <w:lang w:val="en-US"/>
        </w:rPr>
        <w:t xml:space="preserve"> </w:t>
      </w:r>
      <w:r w:rsidRPr="00AD037D">
        <w:rPr>
          <w:lang w:val="en-GB"/>
        </w:rPr>
        <w:t xml:space="preserve">Impact of technical creeping on fishing effort and mortality for a selection of European fleets. </w:t>
      </w:r>
      <w:r w:rsidRPr="00AD037D">
        <w:rPr>
          <w:i/>
          <w:iCs/>
          <w:lang w:val="en-US"/>
        </w:rPr>
        <w:t>ICES Journal of Marine Science</w:t>
      </w:r>
      <w:r w:rsidRPr="00AD037D">
        <w:rPr>
          <w:lang w:val="en-US"/>
        </w:rPr>
        <w:t xml:space="preserve"> </w:t>
      </w:r>
      <w:r w:rsidRPr="00AD037D">
        <w:rPr>
          <w:bCs/>
          <w:lang w:val="en-US"/>
        </w:rPr>
        <w:t>64,</w:t>
      </w:r>
      <w:r w:rsidRPr="00AD037D">
        <w:rPr>
          <w:lang w:val="en-US"/>
        </w:rPr>
        <w:t xml:space="preserve"> 192-209.</w:t>
      </w:r>
    </w:p>
    <w:p w:rsidR="004C6BA6" w:rsidRPr="00594CA6" w:rsidRDefault="004C6BA6" w:rsidP="00A51148">
      <w:pPr>
        <w:suppressLineNumbers w:val="0"/>
        <w:spacing w:line="480" w:lineRule="auto"/>
        <w:ind w:left="773" w:hangingChars="322" w:hanging="773"/>
        <w:rPr>
          <w:lang w:val="en-US"/>
        </w:rPr>
      </w:pPr>
      <w:r>
        <w:rPr>
          <w:lang w:val="en-US"/>
        </w:rPr>
        <w:t xml:space="preserve">Marchal, P., and Horwood, J. (1996) Long-term targets for the Celtic Sea mixed-species multi-métiers fisheries. </w:t>
      </w:r>
      <w:r w:rsidRPr="004C6BA6">
        <w:rPr>
          <w:i/>
          <w:lang w:val="en-US"/>
        </w:rPr>
        <w:t>Aquatic Living Resources</w:t>
      </w:r>
      <w:r>
        <w:rPr>
          <w:lang w:val="en-US"/>
        </w:rPr>
        <w:t xml:space="preserve"> 9, 81-94.</w:t>
      </w:r>
    </w:p>
    <w:p w:rsidR="00AD037D" w:rsidRDefault="00594CA6" w:rsidP="00AD037D">
      <w:pPr>
        <w:suppressLineNumbers w:val="0"/>
        <w:spacing w:line="480" w:lineRule="auto"/>
        <w:ind w:left="773" w:hangingChars="322" w:hanging="773"/>
        <w:rPr>
          <w:lang w:val="en-US"/>
        </w:rPr>
      </w:pPr>
      <w:r w:rsidRPr="00C2540C">
        <w:rPr>
          <w:bCs/>
        </w:rPr>
        <w:t>Marchal, P.</w:t>
      </w:r>
      <w:r w:rsidRPr="00C2540C">
        <w:t>, Lallemand, P., Stokes, K.</w:t>
      </w:r>
      <w:r w:rsidR="00742441" w:rsidRPr="00C2540C">
        <w:t>,</w:t>
      </w:r>
      <w:r w:rsidRPr="00C2540C">
        <w:t xml:space="preserve"> </w:t>
      </w:r>
      <w:r w:rsidR="008C36AA" w:rsidRPr="00C2540C">
        <w:t>et al.</w:t>
      </w:r>
      <w:r w:rsidRPr="00C2540C">
        <w:t xml:space="preserve"> </w:t>
      </w:r>
      <w:r w:rsidR="00742441">
        <w:rPr>
          <w:lang w:val="en-US"/>
        </w:rPr>
        <w:t>(</w:t>
      </w:r>
      <w:r w:rsidRPr="00594CA6">
        <w:rPr>
          <w:lang w:val="en-US"/>
        </w:rPr>
        <w:t>2009</w:t>
      </w:r>
      <w:r w:rsidR="00742441">
        <w:rPr>
          <w:lang w:val="en-US"/>
        </w:rPr>
        <w:t>)</w:t>
      </w:r>
      <w:r w:rsidRPr="00594CA6">
        <w:rPr>
          <w:lang w:val="en-US"/>
        </w:rPr>
        <w:t xml:space="preserve"> A comparative review of the fisheries resource </w:t>
      </w:r>
      <w:r w:rsidRPr="00594CA6">
        <w:rPr>
          <w:lang w:val="en-US"/>
        </w:rPr>
        <w:lastRenderedPageBreak/>
        <w:t xml:space="preserve">management systems in New Zealand and in the European Union. </w:t>
      </w:r>
      <w:r w:rsidRPr="00742441">
        <w:rPr>
          <w:i/>
          <w:iCs/>
          <w:lang w:val="en-US"/>
        </w:rPr>
        <w:t>Aquatic Living Resources</w:t>
      </w:r>
      <w:r w:rsidRPr="00594CA6">
        <w:rPr>
          <w:lang w:val="en-US"/>
        </w:rPr>
        <w:t xml:space="preserve"> </w:t>
      </w:r>
      <w:r w:rsidR="002D2D8D">
        <w:rPr>
          <w:bCs/>
          <w:lang w:val="en-US"/>
        </w:rPr>
        <w:t>22,</w:t>
      </w:r>
      <w:r w:rsidRPr="00594CA6">
        <w:rPr>
          <w:lang w:val="en-US"/>
        </w:rPr>
        <w:t xml:space="preserve"> 463-481.</w:t>
      </w:r>
    </w:p>
    <w:p w:rsidR="00327EC5" w:rsidRDefault="00594CA6" w:rsidP="000A3C4B">
      <w:pPr>
        <w:suppressLineNumbers w:val="0"/>
        <w:spacing w:line="480" w:lineRule="auto"/>
        <w:ind w:left="773" w:hangingChars="322" w:hanging="773"/>
        <w:rPr>
          <w:lang w:val="en-US"/>
        </w:rPr>
      </w:pPr>
      <w:r w:rsidRPr="00594CA6">
        <w:rPr>
          <w:lang w:val="en-US"/>
        </w:rPr>
        <w:t xml:space="preserve">Ministry for Primary Industries </w:t>
      </w:r>
      <w:r w:rsidR="00475D30">
        <w:rPr>
          <w:lang w:val="en-US"/>
        </w:rPr>
        <w:t>(</w:t>
      </w:r>
      <w:r w:rsidRPr="00594CA6">
        <w:rPr>
          <w:lang w:val="en-US"/>
        </w:rPr>
        <w:t>201</w:t>
      </w:r>
      <w:r w:rsidR="00327EC5">
        <w:rPr>
          <w:lang w:val="en-US"/>
        </w:rPr>
        <w:t>3</w:t>
      </w:r>
      <w:r w:rsidR="00475D30">
        <w:rPr>
          <w:lang w:val="en-US"/>
        </w:rPr>
        <w:t>)</w:t>
      </w:r>
      <w:r w:rsidRPr="00594CA6">
        <w:rPr>
          <w:lang w:val="en-US"/>
        </w:rPr>
        <w:t xml:space="preserve"> The status of New Zealand’s fisheries 201</w:t>
      </w:r>
      <w:r w:rsidR="00327EC5">
        <w:rPr>
          <w:lang w:val="en-US"/>
        </w:rPr>
        <w:t>3</w:t>
      </w:r>
      <w:r w:rsidRPr="00594CA6">
        <w:rPr>
          <w:lang w:val="en-US"/>
        </w:rPr>
        <w:t xml:space="preserve">, </w:t>
      </w:r>
      <w:r w:rsidR="00327EC5">
        <w:rPr>
          <w:lang w:val="en-US"/>
        </w:rPr>
        <w:t>5pp.</w:t>
      </w:r>
    </w:p>
    <w:p w:rsidR="00A53E23" w:rsidRPr="00A53E23" w:rsidRDefault="000A3C4B" w:rsidP="00A53E23">
      <w:pPr>
        <w:suppressLineNumbers w:val="0"/>
        <w:spacing w:line="480" w:lineRule="auto"/>
        <w:ind w:left="773" w:hangingChars="322" w:hanging="773"/>
        <w:rPr>
          <w:lang w:val="en-US"/>
        </w:rPr>
      </w:pPr>
      <w:r w:rsidRPr="000A3C4B">
        <w:rPr>
          <w:lang w:val="en-US"/>
        </w:rPr>
        <w:t>Ministry for Primary Industries (2014</w:t>
      </w:r>
      <w:r w:rsidR="00A53E23">
        <w:rPr>
          <w:lang w:val="en-US"/>
        </w:rPr>
        <w:t>a</w:t>
      </w:r>
      <w:r w:rsidRPr="000A3C4B">
        <w:rPr>
          <w:lang w:val="en-US"/>
        </w:rPr>
        <w:t>). Fisheries Assessment Plenary, May 2014: stock assessments and stock status. Compiled by the Fisheries Science Group, Ministry for Primary Industries, Wellington, New Zealand. 1381p.</w:t>
      </w:r>
    </w:p>
    <w:p w:rsidR="00A53E23" w:rsidRPr="00A53E23" w:rsidRDefault="00A53E23" w:rsidP="00A53E23">
      <w:pPr>
        <w:suppressLineNumbers w:val="0"/>
        <w:spacing w:line="480" w:lineRule="auto"/>
        <w:ind w:left="773" w:hangingChars="322" w:hanging="773"/>
        <w:rPr>
          <w:lang w:val="en-US"/>
        </w:rPr>
      </w:pPr>
      <w:r w:rsidRPr="00A53E23">
        <w:rPr>
          <w:lang w:val="en-US"/>
        </w:rPr>
        <w:t>Ministry for Primary Industries (2014b). Fisheries Assessment Plenary May 2014 –</w:t>
      </w:r>
      <w:r>
        <w:rPr>
          <w:lang w:val="en-US"/>
        </w:rPr>
        <w:t xml:space="preserve"> </w:t>
      </w:r>
      <w:r w:rsidRPr="00A53E23">
        <w:rPr>
          <w:lang w:val="en-US"/>
        </w:rPr>
        <w:t>Supplement. A Celebration of 30+ Years of Fisheries Science. Edited by Pamela Mace and Marianne Vignaux, Ministry for Primary Industries, Wellington, New Zealand.</w:t>
      </w:r>
      <w:r>
        <w:rPr>
          <w:lang w:val="en-US"/>
        </w:rPr>
        <w:t xml:space="preserve"> </w:t>
      </w:r>
      <w:r w:rsidRPr="00A53E23">
        <w:rPr>
          <w:lang w:val="en-US"/>
        </w:rPr>
        <w:t>87p.</w:t>
      </w:r>
    </w:p>
    <w:p w:rsidR="0068324C" w:rsidRDefault="0068324C" w:rsidP="0068324C">
      <w:pPr>
        <w:suppressLineNumbers w:val="0"/>
        <w:spacing w:line="480" w:lineRule="auto"/>
        <w:ind w:left="773" w:hangingChars="322" w:hanging="773"/>
        <w:rPr>
          <w:lang w:val="en-US"/>
        </w:rPr>
      </w:pPr>
      <w:r w:rsidRPr="00594CA6">
        <w:rPr>
          <w:lang w:val="en-US"/>
        </w:rPr>
        <w:t xml:space="preserve">Minnegal, M.M., and Dwyer, P.D. </w:t>
      </w:r>
      <w:r>
        <w:rPr>
          <w:lang w:val="en-US"/>
        </w:rPr>
        <w:t>(</w:t>
      </w:r>
      <w:r w:rsidRPr="00594CA6">
        <w:rPr>
          <w:lang w:val="en-US"/>
        </w:rPr>
        <w:t>2008</w:t>
      </w:r>
      <w:r>
        <w:rPr>
          <w:lang w:val="en-US"/>
        </w:rPr>
        <w:t>)</w:t>
      </w:r>
      <w:r w:rsidRPr="00594CA6">
        <w:rPr>
          <w:lang w:val="en-US"/>
        </w:rPr>
        <w:t xml:space="preserve"> Mixed messages: Buying back Australia's fishing industry. </w:t>
      </w:r>
      <w:r w:rsidRPr="00742441">
        <w:rPr>
          <w:i/>
          <w:lang w:val="en-US"/>
        </w:rPr>
        <w:t>Marine Policy</w:t>
      </w:r>
      <w:r w:rsidRPr="00594CA6">
        <w:rPr>
          <w:lang w:val="en-US"/>
        </w:rPr>
        <w:t xml:space="preserve"> 32, 1063-1071.</w:t>
      </w:r>
    </w:p>
    <w:p w:rsidR="00067323" w:rsidRPr="00594CA6" w:rsidRDefault="00067323" w:rsidP="0068324C">
      <w:pPr>
        <w:suppressLineNumbers w:val="0"/>
        <w:spacing w:line="480" w:lineRule="auto"/>
        <w:ind w:left="773" w:hangingChars="322" w:hanging="773"/>
        <w:rPr>
          <w:lang w:val="en-US"/>
        </w:rPr>
      </w:pPr>
      <w:r>
        <w:rPr>
          <w:lang w:val="en-US"/>
        </w:rPr>
        <w:t xml:space="preserve">Motos, L., and Wilson, D.C. </w:t>
      </w:r>
      <w:r w:rsidR="00A83A56">
        <w:rPr>
          <w:lang w:val="en-US"/>
        </w:rPr>
        <w:t xml:space="preserve">(Eds.) </w:t>
      </w:r>
      <w:r>
        <w:rPr>
          <w:lang w:val="en-US"/>
        </w:rPr>
        <w:t xml:space="preserve">(2006) The Knowledge Base for Fisheries Management. </w:t>
      </w:r>
      <w:r w:rsidRPr="00067323">
        <w:rPr>
          <w:i/>
          <w:lang w:val="en-US"/>
        </w:rPr>
        <w:t>Developments in Aquaculture and Fisheries and Aquaculture</w:t>
      </w:r>
      <w:r>
        <w:rPr>
          <w:lang w:val="en-US"/>
        </w:rPr>
        <w:t xml:space="preserve"> 36, 1-454.</w:t>
      </w:r>
    </w:p>
    <w:p w:rsidR="00594CA6" w:rsidRPr="00594CA6" w:rsidRDefault="00594CA6" w:rsidP="00A51148">
      <w:pPr>
        <w:suppressLineNumbers w:val="0"/>
        <w:spacing w:line="480" w:lineRule="auto"/>
        <w:ind w:left="773" w:hangingChars="322" w:hanging="773"/>
        <w:rPr>
          <w:lang w:val="en-US"/>
        </w:rPr>
      </w:pPr>
      <w:r w:rsidRPr="00594CA6">
        <w:rPr>
          <w:lang w:val="en-US"/>
        </w:rPr>
        <w:t>N</w:t>
      </w:r>
      <w:r w:rsidR="00A53E23">
        <w:rPr>
          <w:lang w:val="en-US"/>
        </w:rPr>
        <w:t xml:space="preserve">ew </w:t>
      </w:r>
      <w:r w:rsidRPr="00594CA6">
        <w:rPr>
          <w:lang w:val="en-US"/>
        </w:rPr>
        <w:t>Z</w:t>
      </w:r>
      <w:r w:rsidR="00A53E23">
        <w:rPr>
          <w:lang w:val="en-US"/>
        </w:rPr>
        <w:t xml:space="preserve">ealand </w:t>
      </w:r>
      <w:r w:rsidRPr="00594CA6">
        <w:rPr>
          <w:lang w:val="en-US"/>
        </w:rPr>
        <w:t>M</w:t>
      </w:r>
      <w:r w:rsidR="00A53E23">
        <w:rPr>
          <w:lang w:val="en-US"/>
        </w:rPr>
        <w:t xml:space="preserve">inistry of </w:t>
      </w:r>
      <w:r w:rsidRPr="00594CA6">
        <w:rPr>
          <w:lang w:val="en-US"/>
        </w:rPr>
        <w:t>F</w:t>
      </w:r>
      <w:r w:rsidR="00A53E23">
        <w:rPr>
          <w:lang w:val="en-US"/>
        </w:rPr>
        <w:t>isheries</w:t>
      </w:r>
      <w:r w:rsidRPr="00594CA6">
        <w:rPr>
          <w:lang w:val="en-US"/>
        </w:rPr>
        <w:t xml:space="preserve"> </w:t>
      </w:r>
      <w:r w:rsidR="00475D30">
        <w:rPr>
          <w:lang w:val="en-US"/>
        </w:rPr>
        <w:t>(</w:t>
      </w:r>
      <w:r w:rsidRPr="00594CA6">
        <w:rPr>
          <w:lang w:val="en-US"/>
        </w:rPr>
        <w:t>2008</w:t>
      </w:r>
      <w:r w:rsidR="00475D30">
        <w:rPr>
          <w:lang w:val="en-US"/>
        </w:rPr>
        <w:t>)</w:t>
      </w:r>
      <w:r w:rsidRPr="00594CA6">
        <w:rPr>
          <w:lang w:val="en-US"/>
        </w:rPr>
        <w:t xml:space="preserve"> Harvest Strategy Standards for New Zealand fisheries. Ministry of Fisheries, October, 25 pp.</w:t>
      </w:r>
    </w:p>
    <w:p w:rsidR="00A53E23" w:rsidRPr="00594CA6" w:rsidRDefault="00A53E23" w:rsidP="00A51148">
      <w:pPr>
        <w:suppressLineNumbers w:val="0"/>
        <w:spacing w:line="480" w:lineRule="auto"/>
        <w:ind w:left="773" w:hangingChars="322" w:hanging="773"/>
        <w:rPr>
          <w:lang w:val="en-US"/>
        </w:rPr>
      </w:pPr>
      <w:r>
        <w:rPr>
          <w:lang w:val="en-US"/>
        </w:rPr>
        <w:t>New Zealand Ministry of Fisheries (2009) Fisheries 2030: New Zealanders maximizing benefits from the use of fisheries within environmental limits. Ministry of Fisheries, September, 14 pp.</w:t>
      </w:r>
    </w:p>
    <w:p w:rsidR="009A261E" w:rsidRPr="00594CA6" w:rsidRDefault="009A261E" w:rsidP="009A261E">
      <w:pPr>
        <w:suppressLineNumbers w:val="0"/>
        <w:spacing w:line="480" w:lineRule="auto"/>
        <w:ind w:left="773" w:hangingChars="322" w:hanging="773"/>
        <w:rPr>
          <w:lang w:val="en-US"/>
        </w:rPr>
      </w:pPr>
      <w:r w:rsidRPr="00594CA6">
        <w:rPr>
          <w:lang w:val="de-DE"/>
        </w:rPr>
        <w:t xml:space="preserve">Nielsen, </w:t>
      </w:r>
      <w:r>
        <w:rPr>
          <w:lang w:val="de-DE"/>
        </w:rPr>
        <w:t>J.R., Ulrich, C., Hegland, T.J. et al.</w:t>
      </w:r>
      <w:r w:rsidRPr="00594CA6">
        <w:rPr>
          <w:lang w:val="de-DE"/>
        </w:rPr>
        <w:t xml:space="preserve"> </w:t>
      </w:r>
      <w:r>
        <w:rPr>
          <w:lang w:val="de-DE"/>
        </w:rPr>
        <w:t>(</w:t>
      </w:r>
      <w:r w:rsidRPr="00594CA6">
        <w:rPr>
          <w:lang w:val="de-DE"/>
        </w:rPr>
        <w:t>2013</w:t>
      </w:r>
      <w:r>
        <w:rPr>
          <w:lang w:val="de-DE"/>
        </w:rPr>
        <w:t>)</w:t>
      </w:r>
      <w:r w:rsidRPr="00594CA6">
        <w:rPr>
          <w:lang w:val="de-DE"/>
        </w:rPr>
        <w:t xml:space="preserve"> </w:t>
      </w:r>
      <w:r w:rsidRPr="00594CA6">
        <w:rPr>
          <w:lang w:val="en-US"/>
        </w:rPr>
        <w:t>Critical report of current fisheries management measures implemented for the North Sea mixed demersal fisherie</w:t>
      </w:r>
      <w:r>
        <w:rPr>
          <w:lang w:val="en-US"/>
        </w:rPr>
        <w:t>s. DTU Aqua Report No. 263-2013,</w:t>
      </w:r>
      <w:r w:rsidRPr="00594CA6">
        <w:rPr>
          <w:lang w:val="en-US"/>
        </w:rPr>
        <w:t xml:space="preserve"> 71 pp. </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OECD </w:t>
      </w:r>
      <w:r w:rsidR="00475D30">
        <w:rPr>
          <w:lang w:val="en-US"/>
        </w:rPr>
        <w:t>(</w:t>
      </w:r>
      <w:r w:rsidRPr="00594CA6">
        <w:rPr>
          <w:lang w:val="en-US"/>
        </w:rPr>
        <w:t>2012</w:t>
      </w:r>
      <w:r w:rsidR="00475D30">
        <w:rPr>
          <w:lang w:val="en-US"/>
        </w:rPr>
        <w:t>)</w:t>
      </w:r>
      <w:r w:rsidRPr="00594CA6">
        <w:rPr>
          <w:lang w:val="en-US"/>
        </w:rPr>
        <w:t xml:space="preserve"> </w:t>
      </w:r>
      <w:r w:rsidRPr="00594CA6">
        <w:rPr>
          <w:rStyle w:val="Fremhv"/>
          <w:lang w:val="en-US"/>
        </w:rPr>
        <w:t>OECD Review of Fisheries: Country Statistics 2012</w:t>
      </w:r>
      <w:r w:rsidRPr="00594CA6">
        <w:rPr>
          <w:lang w:val="en-US"/>
        </w:rPr>
        <w:t>, Éditions OCDE Publishing.</w:t>
      </w:r>
    </w:p>
    <w:p w:rsidR="00594CA6" w:rsidRDefault="00475D30" w:rsidP="00A51148">
      <w:pPr>
        <w:suppressLineNumbers w:val="0"/>
        <w:spacing w:line="480" w:lineRule="auto"/>
        <w:ind w:left="773" w:hangingChars="322" w:hanging="773"/>
        <w:rPr>
          <w:lang w:val="en-US"/>
        </w:rPr>
      </w:pPr>
      <w:r>
        <w:rPr>
          <w:lang w:val="en-US"/>
        </w:rPr>
        <w:t>OECD (2013)</w:t>
      </w:r>
      <w:r w:rsidR="00594CA6" w:rsidRPr="00594CA6">
        <w:rPr>
          <w:lang w:val="en-US"/>
        </w:rPr>
        <w:t xml:space="preserve"> </w:t>
      </w:r>
      <w:r w:rsidR="00594CA6" w:rsidRPr="00594CA6">
        <w:rPr>
          <w:rStyle w:val="Fremhv"/>
          <w:lang w:val="en-US"/>
        </w:rPr>
        <w:t>OECD Review of Fisheries: Country Statistics 2013</w:t>
      </w:r>
      <w:r w:rsidR="00594CA6" w:rsidRPr="00594CA6">
        <w:rPr>
          <w:lang w:val="en-US"/>
        </w:rPr>
        <w:t>, Éditions OCDE Publishing.</w:t>
      </w:r>
    </w:p>
    <w:p w:rsidR="003C21FC" w:rsidRPr="00594CA6" w:rsidRDefault="003C21FC" w:rsidP="00A51148">
      <w:pPr>
        <w:suppressLineNumbers w:val="0"/>
        <w:spacing w:line="480" w:lineRule="auto"/>
        <w:ind w:left="773" w:hangingChars="322" w:hanging="773"/>
        <w:rPr>
          <w:lang w:val="en-US"/>
        </w:rPr>
      </w:pPr>
      <w:r w:rsidRPr="00EE69E3">
        <w:rPr>
          <w:lang w:val="da-DK"/>
        </w:rPr>
        <w:t xml:space="preserve">O’Leary, B.C., Smart, J.C., Neale, F.C. et al. </w:t>
      </w:r>
      <w:r>
        <w:rPr>
          <w:lang w:val="en-US"/>
        </w:rPr>
        <w:t xml:space="preserve">(2011) Fisheries mismanagement. </w:t>
      </w:r>
      <w:r w:rsidRPr="003C21FC">
        <w:rPr>
          <w:i/>
          <w:lang w:val="en-US"/>
        </w:rPr>
        <w:t xml:space="preserve">Marine Pollution </w:t>
      </w:r>
      <w:r w:rsidRPr="003C21FC">
        <w:rPr>
          <w:i/>
          <w:lang w:val="en-US"/>
        </w:rPr>
        <w:lastRenderedPageBreak/>
        <w:t>Bulletin</w:t>
      </w:r>
      <w:r>
        <w:rPr>
          <w:lang w:val="en-US"/>
        </w:rPr>
        <w:t xml:space="preserve"> 62, 2642-2648.</w:t>
      </w:r>
    </w:p>
    <w:p w:rsidR="00594CA6" w:rsidRPr="00594CA6" w:rsidRDefault="00594CA6" w:rsidP="00A51148">
      <w:pPr>
        <w:suppressLineNumbers w:val="0"/>
        <w:spacing w:line="480" w:lineRule="auto"/>
        <w:ind w:left="773" w:hangingChars="322" w:hanging="773"/>
        <w:rPr>
          <w:lang w:val="en-NZ"/>
        </w:rPr>
      </w:pPr>
      <w:r w:rsidRPr="00594CA6">
        <w:rPr>
          <w:lang w:val="en-US"/>
        </w:rPr>
        <w:t xml:space="preserve">Pearce, P.H. </w:t>
      </w:r>
      <w:r w:rsidR="00475D30">
        <w:rPr>
          <w:lang w:val="en-US"/>
        </w:rPr>
        <w:t>(</w:t>
      </w:r>
      <w:r w:rsidRPr="00594CA6">
        <w:rPr>
          <w:lang w:val="en-US"/>
        </w:rPr>
        <w:t>1980</w:t>
      </w:r>
      <w:r w:rsidR="00475D30">
        <w:rPr>
          <w:lang w:val="en-US"/>
        </w:rPr>
        <w:t>)</w:t>
      </w:r>
      <w:r w:rsidRPr="00594CA6">
        <w:rPr>
          <w:lang w:val="en-US"/>
        </w:rPr>
        <w:t xml:space="preserve"> Regulation of fishing effort: with special reference to Mediterranean </w:t>
      </w:r>
      <w:r w:rsidRPr="00594CA6">
        <w:rPr>
          <w:lang w:val="en-US"/>
        </w:rPr>
        <w:br/>
        <w:t>trawl fisheries, FAO Fish. Tech. Pap. (197), 82 pp.</w:t>
      </w:r>
    </w:p>
    <w:p w:rsidR="00120F9E" w:rsidRDefault="00120F9E" w:rsidP="003A73FD">
      <w:pPr>
        <w:suppressLineNumbers w:val="0"/>
        <w:spacing w:line="480" w:lineRule="auto"/>
        <w:ind w:left="773" w:hangingChars="322" w:hanging="773"/>
        <w:rPr>
          <w:lang w:val="en-US" w:bidi="en-US"/>
        </w:rPr>
      </w:pPr>
      <w:r>
        <w:rPr>
          <w:lang w:val="en-US" w:bidi="en-US"/>
        </w:rPr>
        <w:t>Plaganyi, E.E., van Putten,</w:t>
      </w:r>
      <w:r w:rsidRPr="00120F9E">
        <w:rPr>
          <w:lang w:val="en-US" w:bidi="en-US"/>
        </w:rPr>
        <w:t xml:space="preserve"> </w:t>
      </w:r>
      <w:r>
        <w:rPr>
          <w:lang w:val="en-US" w:bidi="en-US"/>
        </w:rPr>
        <w:t>I., Hutton,</w:t>
      </w:r>
      <w:r w:rsidRPr="00120F9E">
        <w:rPr>
          <w:lang w:val="en-US" w:bidi="en-US"/>
        </w:rPr>
        <w:t xml:space="preserve"> </w:t>
      </w:r>
      <w:r>
        <w:rPr>
          <w:lang w:val="en-US" w:bidi="en-US"/>
        </w:rPr>
        <w:t>T., et al.</w:t>
      </w:r>
      <w:r w:rsidRPr="005A65EF">
        <w:rPr>
          <w:lang w:val="en-US" w:bidi="en-US"/>
        </w:rPr>
        <w:t xml:space="preserve"> </w:t>
      </w:r>
      <w:r>
        <w:rPr>
          <w:lang w:val="en-US" w:bidi="en-US"/>
        </w:rPr>
        <w:t>(</w:t>
      </w:r>
      <w:r w:rsidRPr="005A65EF">
        <w:rPr>
          <w:lang w:val="en-US" w:bidi="en-US"/>
        </w:rPr>
        <w:t>2013</w:t>
      </w:r>
      <w:r>
        <w:rPr>
          <w:lang w:val="en-US" w:bidi="en-US"/>
        </w:rPr>
        <w:t xml:space="preserve">) Integrating indigenous livelihood and lifestyle objectives in managing a natural resource. </w:t>
      </w:r>
      <w:r w:rsidRPr="00807FFD">
        <w:rPr>
          <w:i/>
          <w:lang w:val="en-US" w:bidi="en-US"/>
        </w:rPr>
        <w:t>Proceedings of the National Academy of Sciences</w:t>
      </w:r>
      <w:r>
        <w:rPr>
          <w:lang w:val="en-US" w:bidi="en-US"/>
        </w:rPr>
        <w:t xml:space="preserve"> 110, 3639-3644.</w:t>
      </w:r>
    </w:p>
    <w:p w:rsidR="003A73FD" w:rsidRPr="00120F9E" w:rsidRDefault="00594CA6" w:rsidP="003A73FD">
      <w:pPr>
        <w:suppressLineNumbers w:val="0"/>
        <w:spacing w:line="480" w:lineRule="auto"/>
        <w:ind w:left="773" w:hangingChars="322" w:hanging="773"/>
        <w:rPr>
          <w:lang w:val="en-US"/>
        </w:rPr>
      </w:pPr>
      <w:r w:rsidRPr="00475D30">
        <w:rPr>
          <w:lang w:val="en-US"/>
        </w:rPr>
        <w:t>Quillerou</w:t>
      </w:r>
      <w:r w:rsidR="00475D30" w:rsidRPr="00475D30">
        <w:rPr>
          <w:lang w:val="en-US"/>
        </w:rPr>
        <w:t>,</w:t>
      </w:r>
      <w:r w:rsidRPr="00475D30">
        <w:rPr>
          <w:lang w:val="en-US"/>
        </w:rPr>
        <w:t xml:space="preserve"> E</w:t>
      </w:r>
      <w:r w:rsidR="00475D30" w:rsidRPr="00475D30">
        <w:rPr>
          <w:lang w:val="en-US"/>
        </w:rPr>
        <w:t>.</w:t>
      </w:r>
      <w:r w:rsidRPr="00475D30">
        <w:rPr>
          <w:lang w:val="en-US"/>
        </w:rPr>
        <w:t>, Roudaut</w:t>
      </w:r>
      <w:r w:rsidR="00475D30" w:rsidRPr="00475D30">
        <w:rPr>
          <w:lang w:val="en-US"/>
        </w:rPr>
        <w:t>,</w:t>
      </w:r>
      <w:r w:rsidRPr="00475D30">
        <w:rPr>
          <w:lang w:val="en-US"/>
        </w:rPr>
        <w:t xml:space="preserve"> N., </w:t>
      </w:r>
      <w:r w:rsidR="00475D30" w:rsidRPr="00475D30">
        <w:rPr>
          <w:lang w:val="en-US"/>
        </w:rPr>
        <w:t xml:space="preserve">and </w:t>
      </w:r>
      <w:r w:rsidRPr="00475D30">
        <w:rPr>
          <w:lang w:val="en-US"/>
        </w:rPr>
        <w:t>Guyader</w:t>
      </w:r>
      <w:r w:rsidR="00475D30" w:rsidRPr="00475D30">
        <w:rPr>
          <w:lang w:val="en-US"/>
        </w:rPr>
        <w:t>,</w:t>
      </w:r>
      <w:r w:rsidRPr="00475D30">
        <w:rPr>
          <w:lang w:val="en-US"/>
        </w:rPr>
        <w:t xml:space="preserve"> O. </w:t>
      </w:r>
      <w:r w:rsidR="00475D30" w:rsidRPr="00475D30">
        <w:rPr>
          <w:lang w:val="en-US"/>
        </w:rPr>
        <w:t>(</w:t>
      </w:r>
      <w:r w:rsidRPr="00475D30">
        <w:rPr>
          <w:lang w:val="en-US"/>
        </w:rPr>
        <w:t>2013</w:t>
      </w:r>
      <w:r w:rsidR="00475D30" w:rsidRPr="00475D30">
        <w:rPr>
          <w:lang w:val="en-US"/>
        </w:rPr>
        <w:t>)</w:t>
      </w:r>
      <w:r w:rsidRPr="00475D30">
        <w:rPr>
          <w:lang w:val="en-US"/>
        </w:rPr>
        <w:t xml:space="preserve"> </w:t>
      </w:r>
      <w:r w:rsidRPr="00594CA6">
        <w:rPr>
          <w:lang w:val="en-US"/>
        </w:rPr>
        <w:t>Managing Fleet Capacity Effectively Under Second-Ha</w:t>
      </w:r>
      <w:r w:rsidR="00475D30">
        <w:rPr>
          <w:lang w:val="en-US"/>
        </w:rPr>
        <w:t xml:space="preserve">nd Market Redistribution. </w:t>
      </w:r>
      <w:r w:rsidR="00475D30" w:rsidRPr="00120F9E">
        <w:rPr>
          <w:i/>
          <w:lang w:val="en-US"/>
        </w:rPr>
        <w:t>Ambio</w:t>
      </w:r>
      <w:r w:rsidRPr="00120F9E">
        <w:rPr>
          <w:lang w:val="en-US"/>
        </w:rPr>
        <w:t xml:space="preserve"> 42, 611-627.</w:t>
      </w:r>
    </w:p>
    <w:p w:rsidR="003A73FD" w:rsidRDefault="003A73FD" w:rsidP="003A73FD">
      <w:pPr>
        <w:suppressLineNumbers w:val="0"/>
        <w:spacing w:line="480" w:lineRule="auto"/>
        <w:ind w:left="773" w:hangingChars="322" w:hanging="773"/>
        <w:rPr>
          <w:lang w:val="en-US" w:bidi="en-US"/>
        </w:rPr>
      </w:pPr>
      <w:r w:rsidRPr="005A65EF">
        <w:rPr>
          <w:lang w:val="en-US" w:bidi="en-US"/>
        </w:rPr>
        <w:t xml:space="preserve">Rayns, N. </w:t>
      </w:r>
      <w:r>
        <w:rPr>
          <w:lang w:val="en-US" w:bidi="en-US"/>
        </w:rPr>
        <w:t>(</w:t>
      </w:r>
      <w:r w:rsidRPr="005A65EF">
        <w:rPr>
          <w:lang w:val="en-US" w:bidi="en-US"/>
        </w:rPr>
        <w:t>2007</w:t>
      </w:r>
      <w:r>
        <w:rPr>
          <w:lang w:val="en-US" w:bidi="en-US"/>
        </w:rPr>
        <w:t xml:space="preserve">) The Australian government’s harvest strategy policy. </w:t>
      </w:r>
      <w:r w:rsidRPr="00807FFD">
        <w:rPr>
          <w:i/>
          <w:lang w:val="en-US" w:bidi="en-US"/>
        </w:rPr>
        <w:t>ICES Journal of Marine Science</w:t>
      </w:r>
      <w:r>
        <w:rPr>
          <w:lang w:val="en-US" w:bidi="en-US"/>
        </w:rPr>
        <w:t xml:space="preserve"> 64, 596-598.</w:t>
      </w:r>
    </w:p>
    <w:p w:rsidR="00594CA6" w:rsidRDefault="00594CA6" w:rsidP="00A51148">
      <w:pPr>
        <w:suppressLineNumbers w:val="0"/>
        <w:spacing w:line="480" w:lineRule="auto"/>
        <w:ind w:left="773" w:hangingChars="322" w:hanging="773"/>
        <w:rPr>
          <w:lang w:val="en-US"/>
        </w:rPr>
      </w:pPr>
      <w:r w:rsidRPr="001002E2">
        <w:t xml:space="preserve">Sanchirico, J.N., Holland, D., Quigley, K., </w:t>
      </w:r>
      <w:r w:rsidR="008C36AA" w:rsidRPr="001002E2">
        <w:t>et al.</w:t>
      </w:r>
      <w:r w:rsidRPr="001002E2">
        <w:t xml:space="preserve"> </w:t>
      </w:r>
      <w:r w:rsidR="00475D30">
        <w:rPr>
          <w:lang w:val="en-US"/>
        </w:rPr>
        <w:t>(</w:t>
      </w:r>
      <w:r w:rsidRPr="00594CA6">
        <w:rPr>
          <w:lang w:val="en-US"/>
        </w:rPr>
        <w:t>2006</w:t>
      </w:r>
      <w:r w:rsidR="00475D30">
        <w:rPr>
          <w:lang w:val="en-US"/>
        </w:rPr>
        <w:t>)</w:t>
      </w:r>
      <w:r w:rsidRPr="00594CA6">
        <w:rPr>
          <w:lang w:val="en-US"/>
        </w:rPr>
        <w:t xml:space="preserve"> Catch-quota balancing in multispecies individual fishing quotas. </w:t>
      </w:r>
      <w:r w:rsidRPr="00475D30">
        <w:rPr>
          <w:i/>
          <w:iCs/>
          <w:lang w:val="en-US"/>
        </w:rPr>
        <w:t>Marine Policy</w:t>
      </w:r>
      <w:r w:rsidRPr="00594CA6">
        <w:rPr>
          <w:lang w:val="en-US"/>
        </w:rPr>
        <w:t xml:space="preserve"> </w:t>
      </w:r>
      <w:r w:rsidRPr="00594CA6">
        <w:rPr>
          <w:bCs/>
          <w:lang w:val="en-US"/>
        </w:rPr>
        <w:t>30</w:t>
      </w:r>
      <w:r w:rsidR="00475D30">
        <w:rPr>
          <w:lang w:val="en-US"/>
        </w:rPr>
        <w:t>,</w:t>
      </w:r>
      <w:r w:rsidRPr="00594CA6">
        <w:rPr>
          <w:lang w:val="en-US"/>
        </w:rPr>
        <w:t xml:space="preserve"> 767–785.</w:t>
      </w:r>
    </w:p>
    <w:p w:rsidR="002D0F3A" w:rsidRDefault="002D0F3A" w:rsidP="00A51148">
      <w:pPr>
        <w:suppressLineNumbers w:val="0"/>
        <w:spacing w:line="480" w:lineRule="auto"/>
        <w:ind w:left="773" w:hangingChars="322" w:hanging="773"/>
        <w:rPr>
          <w:lang w:val="en-US"/>
        </w:rPr>
      </w:pPr>
      <w:r w:rsidRPr="002D0F3A">
        <w:t xml:space="preserve">Santiago, J.L., Ballesteros, M.A., Chapela, R., et al. </w:t>
      </w:r>
      <w:r w:rsidRPr="002D0F3A">
        <w:rPr>
          <w:lang w:val="en-US"/>
        </w:rPr>
        <w:t xml:space="preserve">(2015) Is Europe ready for a results-based approach to fisheries management ? </w:t>
      </w:r>
      <w:r>
        <w:rPr>
          <w:lang w:val="en-US"/>
        </w:rPr>
        <w:t xml:space="preserve">The voice of stakeholders. </w:t>
      </w:r>
      <w:r w:rsidRPr="002D0F3A">
        <w:rPr>
          <w:i/>
          <w:lang w:val="en-US"/>
        </w:rPr>
        <w:t>Marine Policy</w:t>
      </w:r>
      <w:r>
        <w:rPr>
          <w:lang w:val="en-US"/>
        </w:rPr>
        <w:t xml:space="preserve"> 56, 86-97.</w:t>
      </w:r>
    </w:p>
    <w:p w:rsidR="00B97E28" w:rsidRPr="002D0F3A" w:rsidRDefault="00B97E28" w:rsidP="00A51148">
      <w:pPr>
        <w:suppressLineNumbers w:val="0"/>
        <w:spacing w:line="480" w:lineRule="auto"/>
        <w:ind w:left="773" w:hangingChars="322" w:hanging="773"/>
        <w:rPr>
          <w:lang w:val="en-US"/>
        </w:rPr>
      </w:pPr>
      <w:r>
        <w:rPr>
          <w:lang w:val="en-US"/>
        </w:rPr>
        <w:t xml:space="preserve">Sissenwine, M., and Symes, D. (2007) Report to the General Directorate for Fisheries and Maritime Affairs of the European Commission, 75 pp. URL: </w:t>
      </w:r>
      <w:r w:rsidRPr="00B97E28">
        <w:rPr>
          <w:lang w:val="en-US"/>
        </w:rPr>
        <w:t>http://fishsec.org/downloads/1201534052_04993.pdf</w:t>
      </w:r>
      <w:r w:rsidR="0045177C">
        <w:rPr>
          <w:lang w:val="en-US"/>
        </w:rPr>
        <w:t>.</w:t>
      </w:r>
    </w:p>
    <w:p w:rsidR="005805C3" w:rsidRDefault="005805C3" w:rsidP="00516B69">
      <w:pPr>
        <w:suppressLineNumbers w:val="0"/>
        <w:spacing w:line="480" w:lineRule="auto"/>
        <w:ind w:left="773" w:hangingChars="322" w:hanging="773"/>
        <w:rPr>
          <w:lang w:val="en-US"/>
        </w:rPr>
      </w:pPr>
      <w:r>
        <w:rPr>
          <w:lang w:val="en-US"/>
        </w:rPr>
        <w:t xml:space="preserve">Sistiaga, M., Herrmann, B., Nielsen, K.N., and Larsen, R.B. (2011) Understanding limits to cod and haddock separation using size selectivity in a multispecies trawl fishery: an application of FISHSELECT. </w:t>
      </w:r>
      <w:r w:rsidRPr="007B4371">
        <w:rPr>
          <w:i/>
          <w:lang w:val="en-US"/>
        </w:rPr>
        <w:t>Canadian Journal of</w:t>
      </w:r>
      <w:r w:rsidR="00A2391D" w:rsidRPr="007B4371">
        <w:rPr>
          <w:i/>
          <w:lang w:val="en-US"/>
        </w:rPr>
        <w:t xml:space="preserve"> Fisheries and Aquatic Sciences</w:t>
      </w:r>
      <w:r>
        <w:rPr>
          <w:lang w:val="en-US"/>
        </w:rPr>
        <w:t xml:space="preserve"> </w:t>
      </w:r>
      <w:r w:rsidR="00A2391D">
        <w:rPr>
          <w:lang w:val="en-US"/>
        </w:rPr>
        <w:t>68, 927-940.</w:t>
      </w:r>
    </w:p>
    <w:p w:rsidR="00EF5BA7" w:rsidRDefault="00EF5BA7" w:rsidP="00516B69">
      <w:pPr>
        <w:suppressLineNumbers w:val="0"/>
        <w:spacing w:line="480" w:lineRule="auto"/>
        <w:ind w:left="773" w:hangingChars="322" w:hanging="773"/>
        <w:rPr>
          <w:lang w:val="en-US"/>
        </w:rPr>
      </w:pPr>
      <w:r>
        <w:rPr>
          <w:lang w:val="en-US"/>
        </w:rPr>
        <w:t xml:space="preserve">Smith, A.D.M. (2013) Fishery management: is Europe turning the corner? </w:t>
      </w:r>
      <w:r w:rsidRPr="00EF5BA7">
        <w:rPr>
          <w:i/>
          <w:lang w:val="en-US"/>
        </w:rPr>
        <w:t>Current Biology</w:t>
      </w:r>
      <w:r>
        <w:rPr>
          <w:lang w:val="en-US"/>
        </w:rPr>
        <w:t xml:space="preserve"> 23, R661-662.</w:t>
      </w:r>
    </w:p>
    <w:p w:rsidR="00D512B5" w:rsidRDefault="00516B69" w:rsidP="00D512B5">
      <w:pPr>
        <w:suppressLineNumbers w:val="0"/>
        <w:spacing w:line="480" w:lineRule="auto"/>
        <w:ind w:left="773" w:hangingChars="322" w:hanging="773"/>
        <w:rPr>
          <w:lang w:val="en-US"/>
        </w:rPr>
      </w:pPr>
      <w:r w:rsidRPr="00516B69">
        <w:rPr>
          <w:lang w:val="en-US"/>
        </w:rPr>
        <w:t>Smith, A.D.M.</w:t>
      </w:r>
      <w:r>
        <w:rPr>
          <w:lang w:val="en-US"/>
        </w:rPr>
        <w:t>,</w:t>
      </w:r>
      <w:r w:rsidRPr="00516B69">
        <w:rPr>
          <w:lang w:val="en-US"/>
        </w:rPr>
        <w:t xml:space="preserve"> Garcia</w:t>
      </w:r>
      <w:r>
        <w:rPr>
          <w:lang w:val="en-US"/>
        </w:rPr>
        <w:t>, S.M.</w:t>
      </w:r>
      <w:r w:rsidRPr="00516B69">
        <w:rPr>
          <w:lang w:val="en-US"/>
        </w:rPr>
        <w:t xml:space="preserve"> (2014) Fishery management: Contrasts in the Mediterranean and the </w:t>
      </w:r>
      <w:r w:rsidRPr="00516B69">
        <w:rPr>
          <w:lang w:val="en-US"/>
        </w:rPr>
        <w:lastRenderedPageBreak/>
        <w:t xml:space="preserve">Atlantic. </w:t>
      </w:r>
      <w:r w:rsidRPr="00516B69">
        <w:rPr>
          <w:i/>
          <w:lang w:val="en-US"/>
        </w:rPr>
        <w:t>Current Biology</w:t>
      </w:r>
      <w:r w:rsidRPr="00516B69">
        <w:rPr>
          <w:lang w:val="en-US"/>
        </w:rPr>
        <w:t xml:space="preserve"> 24</w:t>
      </w:r>
      <w:r>
        <w:rPr>
          <w:lang w:val="en-US"/>
        </w:rPr>
        <w:t>,</w:t>
      </w:r>
      <w:r w:rsidRPr="00516B69">
        <w:rPr>
          <w:lang w:val="en-US"/>
        </w:rPr>
        <w:t xml:space="preserve"> R810-812</w:t>
      </w:r>
      <w:r>
        <w:rPr>
          <w:lang w:val="en-US"/>
        </w:rPr>
        <w:t>.</w:t>
      </w:r>
    </w:p>
    <w:p w:rsidR="00B515D5" w:rsidRDefault="00D512B5" w:rsidP="00B515D5">
      <w:pPr>
        <w:suppressLineNumbers w:val="0"/>
        <w:spacing w:line="480" w:lineRule="auto"/>
        <w:ind w:left="773" w:hangingChars="322" w:hanging="773"/>
        <w:rPr>
          <w:rFonts w:eastAsia="Calibri"/>
          <w:lang w:val="en-US"/>
        </w:rPr>
      </w:pPr>
      <w:r w:rsidRPr="00D512B5">
        <w:rPr>
          <w:rFonts w:eastAsia="Calibri"/>
          <w:lang w:val="en-US"/>
        </w:rPr>
        <w:t>Smith, A.D.M.</w:t>
      </w:r>
      <w:r>
        <w:rPr>
          <w:rFonts w:eastAsia="Calibri"/>
          <w:lang w:val="en-US"/>
        </w:rPr>
        <w:t>,</w:t>
      </w:r>
      <w:r w:rsidRPr="00D512B5">
        <w:rPr>
          <w:rFonts w:eastAsia="Calibri"/>
          <w:lang w:val="en-US"/>
        </w:rPr>
        <w:t xml:space="preserve"> and Smith</w:t>
      </w:r>
      <w:r>
        <w:rPr>
          <w:rFonts w:eastAsia="Calibri"/>
          <w:lang w:val="en-US"/>
        </w:rPr>
        <w:t>,</w:t>
      </w:r>
      <w:r w:rsidRPr="00D512B5">
        <w:rPr>
          <w:rFonts w:eastAsia="Calibri"/>
          <w:lang w:val="en-US"/>
        </w:rPr>
        <w:t xml:space="preserve"> D.C. (2001) A complex quota managed fishery: science and management in Australia's South East Fishery. </w:t>
      </w:r>
      <w:r w:rsidRPr="00D512B5">
        <w:rPr>
          <w:rFonts w:eastAsia="Calibri"/>
          <w:i/>
          <w:lang w:val="en-US"/>
        </w:rPr>
        <w:t>Marine and Freshwater Research</w:t>
      </w:r>
      <w:r w:rsidRPr="00D512B5">
        <w:rPr>
          <w:rFonts w:eastAsia="Calibri"/>
          <w:lang w:val="en-US"/>
        </w:rPr>
        <w:t xml:space="preserve"> 52</w:t>
      </w:r>
      <w:r>
        <w:rPr>
          <w:rFonts w:eastAsia="Calibri"/>
          <w:lang w:val="en-US"/>
        </w:rPr>
        <w:t>,</w:t>
      </w:r>
      <w:r w:rsidRPr="00D512B5">
        <w:rPr>
          <w:rFonts w:eastAsia="Calibri"/>
          <w:lang w:val="en-US"/>
        </w:rPr>
        <w:t xml:space="preserve"> 353-359</w:t>
      </w:r>
      <w:r>
        <w:rPr>
          <w:rFonts w:eastAsia="Calibri"/>
          <w:lang w:val="en-US"/>
        </w:rPr>
        <w:t>.</w:t>
      </w:r>
    </w:p>
    <w:p w:rsidR="00416307" w:rsidRDefault="00B515D5" w:rsidP="00416307">
      <w:pPr>
        <w:suppressLineNumbers w:val="0"/>
        <w:spacing w:line="480" w:lineRule="auto"/>
        <w:ind w:left="773" w:hangingChars="322" w:hanging="773"/>
        <w:rPr>
          <w:lang w:val="en-US"/>
        </w:rPr>
      </w:pPr>
      <w:r w:rsidRPr="00EE69E3">
        <w:rPr>
          <w:lang w:val="da-DK"/>
        </w:rPr>
        <w:t xml:space="preserve">Smith, A.D.M., Fulton, E.J., Hobday, A.J., et al. </w:t>
      </w:r>
      <w:r w:rsidRPr="00B515D5">
        <w:rPr>
          <w:lang w:val="en-US"/>
        </w:rPr>
        <w:t xml:space="preserve">(2007) Scientific tools to support practical implementation of ecosystem based fisheries management. </w:t>
      </w:r>
      <w:r w:rsidRPr="00B515D5">
        <w:rPr>
          <w:i/>
          <w:lang w:val="en-US"/>
        </w:rPr>
        <w:t>ICES Journal of Marine Science</w:t>
      </w:r>
      <w:r w:rsidRPr="00B515D5">
        <w:rPr>
          <w:lang w:val="en-US"/>
        </w:rPr>
        <w:t xml:space="preserve"> 64</w:t>
      </w:r>
      <w:r>
        <w:rPr>
          <w:lang w:val="en-US"/>
        </w:rPr>
        <w:t>,</w:t>
      </w:r>
      <w:r w:rsidRPr="00B515D5">
        <w:rPr>
          <w:lang w:val="en-US"/>
        </w:rPr>
        <w:t xml:space="preserve"> 633-639</w:t>
      </w:r>
      <w:r w:rsidR="00416307">
        <w:rPr>
          <w:lang w:val="en-US"/>
        </w:rPr>
        <w:t>.</w:t>
      </w:r>
    </w:p>
    <w:p w:rsidR="00EC20AE" w:rsidRDefault="00EC20AE" w:rsidP="00EC20AE">
      <w:pPr>
        <w:suppressLineNumbers w:val="0"/>
        <w:spacing w:line="480" w:lineRule="auto"/>
        <w:ind w:left="773" w:hangingChars="322" w:hanging="773"/>
        <w:rPr>
          <w:rFonts w:eastAsia="Calibri"/>
          <w:lang w:val="en-US"/>
        </w:rPr>
      </w:pPr>
      <w:r w:rsidRPr="00A24B37">
        <w:rPr>
          <w:rFonts w:eastAsia="Calibri"/>
          <w:lang w:val="en-US"/>
        </w:rPr>
        <w:t>Smith, A.D.M., Sainsbury</w:t>
      </w:r>
      <w:r>
        <w:rPr>
          <w:rFonts w:eastAsia="Calibri"/>
          <w:lang w:val="en-US"/>
        </w:rPr>
        <w:t>, K.J.,</w:t>
      </w:r>
      <w:r w:rsidRPr="00A24B37">
        <w:rPr>
          <w:rFonts w:eastAsia="Calibri"/>
          <w:lang w:val="en-US"/>
        </w:rPr>
        <w:t xml:space="preserve"> and Stevens</w:t>
      </w:r>
      <w:r>
        <w:rPr>
          <w:rFonts w:eastAsia="Calibri"/>
          <w:lang w:val="en-US"/>
        </w:rPr>
        <w:t>, R.A.</w:t>
      </w:r>
      <w:r w:rsidRPr="00A24B37">
        <w:rPr>
          <w:rFonts w:eastAsia="Calibri"/>
          <w:lang w:val="en-US"/>
        </w:rPr>
        <w:t xml:space="preserve"> (1999) Implementing effective fisheries management systems – management strategy evaluation and the Australian partnership approach. </w:t>
      </w:r>
      <w:r w:rsidRPr="00A24B37">
        <w:rPr>
          <w:rFonts w:eastAsia="Calibri"/>
          <w:i/>
          <w:lang w:val="en-US"/>
        </w:rPr>
        <w:t>ICES Journal of Marine Science</w:t>
      </w:r>
      <w:r>
        <w:rPr>
          <w:rFonts w:eastAsia="Calibri"/>
          <w:lang w:val="en-US"/>
        </w:rPr>
        <w:t xml:space="preserve"> 56,</w:t>
      </w:r>
      <w:r w:rsidRPr="00A24B37">
        <w:rPr>
          <w:rFonts w:eastAsia="Calibri"/>
          <w:lang w:val="en-US"/>
        </w:rPr>
        <w:t xml:space="preserve"> 967-979.</w:t>
      </w:r>
    </w:p>
    <w:p w:rsidR="00416307" w:rsidRPr="00416307" w:rsidRDefault="00416307" w:rsidP="00416307">
      <w:pPr>
        <w:suppressLineNumbers w:val="0"/>
        <w:spacing w:line="480" w:lineRule="auto"/>
        <w:ind w:left="773" w:hangingChars="322" w:hanging="773"/>
        <w:rPr>
          <w:rFonts w:eastAsia="Calibri"/>
          <w:lang w:val="en-US"/>
        </w:rPr>
      </w:pPr>
      <w:r w:rsidRPr="00416307">
        <w:rPr>
          <w:rFonts w:eastAsia="Calibri"/>
          <w:lang w:val="en-US"/>
        </w:rPr>
        <w:t>Smith, A.D.M., Smith</w:t>
      </w:r>
      <w:r w:rsidR="00867538">
        <w:rPr>
          <w:rFonts w:eastAsia="Calibri"/>
          <w:lang w:val="en-US"/>
        </w:rPr>
        <w:t xml:space="preserve">, </w:t>
      </w:r>
      <w:r w:rsidR="00867538" w:rsidRPr="00416307">
        <w:rPr>
          <w:rFonts w:eastAsia="Calibri"/>
          <w:lang w:val="en-US"/>
        </w:rPr>
        <w:t>D.C.</w:t>
      </w:r>
      <w:r w:rsidRPr="00416307">
        <w:rPr>
          <w:rFonts w:eastAsia="Calibri"/>
          <w:lang w:val="en-US"/>
        </w:rPr>
        <w:t>, Tuck</w:t>
      </w:r>
      <w:r w:rsidR="00867538">
        <w:rPr>
          <w:rFonts w:eastAsia="Calibri"/>
          <w:lang w:val="en-US"/>
        </w:rPr>
        <w:t>,</w:t>
      </w:r>
      <w:r w:rsidR="00867538" w:rsidRPr="00416307">
        <w:rPr>
          <w:rFonts w:eastAsia="Calibri"/>
          <w:lang w:val="en-US"/>
        </w:rPr>
        <w:t xml:space="preserve"> G.N.</w:t>
      </w:r>
      <w:r w:rsidRPr="00416307">
        <w:rPr>
          <w:rFonts w:eastAsia="Calibri"/>
          <w:lang w:val="en-US"/>
        </w:rPr>
        <w:t xml:space="preserve">, </w:t>
      </w:r>
      <w:r w:rsidR="00EC20AE">
        <w:rPr>
          <w:rFonts w:eastAsia="Calibri"/>
          <w:lang w:val="en-US"/>
        </w:rPr>
        <w:t>et al.</w:t>
      </w:r>
      <w:r w:rsidR="00867538" w:rsidRPr="00416307">
        <w:rPr>
          <w:rFonts w:eastAsia="Calibri"/>
          <w:lang w:val="en-US"/>
        </w:rPr>
        <w:t xml:space="preserve"> </w:t>
      </w:r>
      <w:r w:rsidRPr="00416307">
        <w:rPr>
          <w:rFonts w:eastAsia="Calibri"/>
          <w:lang w:val="en-US"/>
        </w:rPr>
        <w:t xml:space="preserve">(2008) Experience in implementing harvest strategies in Australia’s south-eastern fisheries. </w:t>
      </w:r>
      <w:r w:rsidRPr="00416307">
        <w:rPr>
          <w:rFonts w:eastAsia="Calibri"/>
          <w:i/>
          <w:lang w:val="en-US"/>
        </w:rPr>
        <w:t>Fisheries Research</w:t>
      </w:r>
      <w:r w:rsidRPr="00416307">
        <w:rPr>
          <w:rFonts w:eastAsia="Calibri"/>
          <w:lang w:val="en-US"/>
        </w:rPr>
        <w:t xml:space="preserve"> 94</w:t>
      </w:r>
      <w:r w:rsidR="00867538">
        <w:rPr>
          <w:rFonts w:eastAsia="Calibri"/>
          <w:lang w:val="en-US"/>
        </w:rPr>
        <w:t>,</w:t>
      </w:r>
      <w:r w:rsidRPr="00416307">
        <w:rPr>
          <w:rFonts w:eastAsia="Calibri"/>
          <w:lang w:val="en-US"/>
        </w:rPr>
        <w:t xml:space="preserve"> 373-379</w:t>
      </w:r>
      <w:r>
        <w:rPr>
          <w:rFonts w:eastAsia="Calibri"/>
          <w:lang w:val="en-US"/>
        </w:rPr>
        <w:t>.</w:t>
      </w:r>
    </w:p>
    <w:p w:rsidR="00E64B8D" w:rsidRPr="00594CA6" w:rsidRDefault="00E64B8D" w:rsidP="00E64B8D">
      <w:pPr>
        <w:suppressLineNumbers w:val="0"/>
        <w:spacing w:line="480" w:lineRule="auto"/>
        <w:ind w:left="773" w:hangingChars="322" w:hanging="773"/>
        <w:rPr>
          <w:lang w:val="en-GB"/>
        </w:rPr>
      </w:pPr>
      <w:r w:rsidRPr="00594CA6">
        <w:rPr>
          <w:lang w:val="en-GB"/>
        </w:rPr>
        <w:t xml:space="preserve">Smith, D.C., Punt, A., Dowling, N., </w:t>
      </w:r>
      <w:r>
        <w:rPr>
          <w:lang w:val="en-GB"/>
        </w:rPr>
        <w:t>et al.</w:t>
      </w:r>
      <w:r w:rsidRPr="00594CA6">
        <w:rPr>
          <w:lang w:val="en-GB"/>
        </w:rPr>
        <w:t xml:space="preserve"> </w:t>
      </w:r>
      <w:r>
        <w:rPr>
          <w:lang w:val="en-GB"/>
        </w:rPr>
        <w:t>(</w:t>
      </w:r>
      <w:r w:rsidRPr="00594CA6">
        <w:rPr>
          <w:lang w:val="en-GB"/>
        </w:rPr>
        <w:t>2009</w:t>
      </w:r>
      <w:r>
        <w:rPr>
          <w:lang w:val="en-GB"/>
        </w:rPr>
        <w:t>)</w:t>
      </w:r>
      <w:r w:rsidRPr="00594CA6">
        <w:rPr>
          <w:lang w:val="en-GB"/>
        </w:rPr>
        <w:t xml:space="preserve"> Reconciling approaches to the assessment and management of data-poor species and fisheries with Australia’s Harvest Strategy Policy. </w:t>
      </w:r>
      <w:r w:rsidRPr="00475D40">
        <w:rPr>
          <w:i/>
          <w:lang w:val="en-GB"/>
        </w:rPr>
        <w:t>Marine and Coastal Fisheries: Dynamics, Management, and Ecosystem Science</w:t>
      </w:r>
      <w:r w:rsidRPr="00594CA6">
        <w:rPr>
          <w:lang w:val="en-GB"/>
        </w:rPr>
        <w:t xml:space="preserve"> 1, 244-254.</w:t>
      </w:r>
    </w:p>
    <w:p w:rsidR="00594CA6" w:rsidRPr="00594CA6" w:rsidRDefault="00594CA6" w:rsidP="00A51148">
      <w:pPr>
        <w:suppressLineNumbers w:val="0"/>
        <w:spacing w:line="480" w:lineRule="auto"/>
        <w:ind w:left="773" w:hangingChars="322" w:hanging="773"/>
        <w:rPr>
          <w:lang w:val="en-GB"/>
        </w:rPr>
      </w:pPr>
      <w:r w:rsidRPr="00594CA6">
        <w:rPr>
          <w:lang w:val="en-GB"/>
        </w:rPr>
        <w:t xml:space="preserve">Squires, D. </w:t>
      </w:r>
      <w:r w:rsidR="00475D40">
        <w:rPr>
          <w:lang w:val="en-GB"/>
        </w:rPr>
        <w:t>(</w:t>
      </w:r>
      <w:r w:rsidRPr="00594CA6">
        <w:rPr>
          <w:lang w:val="en-GB"/>
        </w:rPr>
        <w:t>2010</w:t>
      </w:r>
      <w:r w:rsidR="00475D40">
        <w:rPr>
          <w:lang w:val="en-GB"/>
        </w:rPr>
        <w:t>)</w:t>
      </w:r>
      <w:r w:rsidRPr="00594CA6">
        <w:rPr>
          <w:lang w:val="en-GB"/>
        </w:rPr>
        <w:t xml:space="preserve"> A review of fisheries buybacks. </w:t>
      </w:r>
      <w:r w:rsidRPr="00475D40">
        <w:rPr>
          <w:i/>
          <w:lang w:val="en-GB"/>
        </w:rPr>
        <w:t>Fish and Fisheries</w:t>
      </w:r>
      <w:r w:rsidRPr="00594CA6">
        <w:rPr>
          <w:lang w:val="en-GB"/>
        </w:rPr>
        <w:t xml:space="preserve"> 11, 366-387.</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Starr, P. </w:t>
      </w:r>
      <w:r w:rsidR="00475D40">
        <w:rPr>
          <w:lang w:val="en-US"/>
        </w:rPr>
        <w:t>(</w:t>
      </w:r>
      <w:r w:rsidRPr="00594CA6">
        <w:rPr>
          <w:lang w:val="en-US"/>
        </w:rPr>
        <w:t>2000</w:t>
      </w:r>
      <w:r w:rsidR="00475D40">
        <w:rPr>
          <w:lang w:val="en-US"/>
        </w:rPr>
        <w:t>)</w:t>
      </w:r>
      <w:r w:rsidRPr="00594CA6">
        <w:rPr>
          <w:lang w:val="en-US"/>
        </w:rPr>
        <w:t xml:space="preserve"> Fishery Management Innovations in New Zealand. </w:t>
      </w:r>
      <w:r w:rsidRPr="00594CA6">
        <w:rPr>
          <w:i/>
          <w:iCs/>
          <w:lang w:val="en-US"/>
        </w:rPr>
        <w:t>Proceedings of the Tenth Biennial Conference of the International Institute of Fisheries Economics and Trade</w:t>
      </w:r>
      <w:r w:rsidRPr="00594CA6">
        <w:rPr>
          <w:lang w:val="en-US"/>
        </w:rPr>
        <w:t>, July 10- 14, 2000, Corvallis, Oregon, USA. Edited by Richard S. Johnston and compiled by Ann L. Shriver. International Institute of Fisheries Economics and Trade (IIFET), Corvallis, OR.</w:t>
      </w:r>
    </w:p>
    <w:p w:rsidR="006122F5" w:rsidRPr="00497688" w:rsidRDefault="006122F5" w:rsidP="006122F5">
      <w:pPr>
        <w:suppressLineNumbers w:val="0"/>
        <w:spacing w:line="480" w:lineRule="auto"/>
        <w:ind w:left="773" w:hangingChars="322" w:hanging="773"/>
        <w:rPr>
          <w:lang w:val="en-US"/>
        </w:rPr>
      </w:pPr>
      <w:r w:rsidRPr="00497688">
        <w:rPr>
          <w:lang w:val="en-US"/>
        </w:rPr>
        <w:t>STECF (2013</w:t>
      </w:r>
      <w:r w:rsidR="00497688" w:rsidRPr="00497688">
        <w:rPr>
          <w:lang w:val="en-US"/>
        </w:rPr>
        <w:t>a</w:t>
      </w:r>
      <w:r w:rsidRPr="00497688">
        <w:rPr>
          <w:lang w:val="en-US"/>
        </w:rPr>
        <w:t xml:space="preserve">) </w:t>
      </w:r>
      <w:r w:rsidRPr="006122F5">
        <w:rPr>
          <w:lang w:val="en-US"/>
        </w:rPr>
        <w:t xml:space="preserve">Scientific, Technical and Economic Committee for Fisheries (STECF) – 2013 </w:t>
      </w:r>
      <w:r w:rsidRPr="00497688">
        <w:rPr>
          <w:lang w:val="en-US"/>
        </w:rPr>
        <w:t>A</w:t>
      </w:r>
      <w:r w:rsidRPr="006122F5">
        <w:rPr>
          <w:lang w:val="en-US"/>
        </w:rPr>
        <w:t xml:space="preserve">ssessment of Mediterranean Sea stocks part I (STECF 13-22). 2013. Publications Office of the European Union, Luxembourg, EUR 26329 EN, JRC 86087, 400 pp. </w:t>
      </w:r>
    </w:p>
    <w:p w:rsidR="00594CA6" w:rsidRPr="00594CA6" w:rsidRDefault="00475D40" w:rsidP="00A51148">
      <w:pPr>
        <w:suppressLineNumbers w:val="0"/>
        <w:spacing w:line="480" w:lineRule="auto"/>
        <w:ind w:left="773" w:hangingChars="322" w:hanging="773"/>
        <w:rPr>
          <w:lang w:val="en-US"/>
        </w:rPr>
      </w:pPr>
      <w:r>
        <w:rPr>
          <w:lang w:val="en-US"/>
        </w:rPr>
        <w:t>STECF (2013b)</w:t>
      </w:r>
      <w:r w:rsidR="00594CA6" w:rsidRPr="00594CA6">
        <w:rPr>
          <w:lang w:val="en-US"/>
        </w:rPr>
        <w:t xml:space="preserve"> Scientific, Technical and Economic Committee for Fisheries (STECF) – The 2013 </w:t>
      </w:r>
      <w:r w:rsidR="00594CA6" w:rsidRPr="00594CA6">
        <w:rPr>
          <w:lang w:val="en-US"/>
        </w:rPr>
        <w:lastRenderedPageBreak/>
        <w:t>Annual Economic Report on the EU Fishing Fleet (STECF-13-15). Publications Office of the European Union, Luxembourg, EUR 26158 EN, JRC 84745, 302 pp.</w:t>
      </w:r>
    </w:p>
    <w:p w:rsidR="00594CA6" w:rsidRPr="00594CA6" w:rsidRDefault="00594CA6" w:rsidP="00A51148">
      <w:pPr>
        <w:suppressLineNumbers w:val="0"/>
        <w:spacing w:line="480" w:lineRule="auto"/>
        <w:ind w:left="773" w:hangingChars="322" w:hanging="773"/>
        <w:rPr>
          <w:lang w:val="en-US"/>
        </w:rPr>
      </w:pPr>
      <w:r w:rsidRPr="00594CA6">
        <w:rPr>
          <w:lang w:val="en-US"/>
        </w:rPr>
        <w:t xml:space="preserve">STECF </w:t>
      </w:r>
      <w:r w:rsidR="00475D40">
        <w:rPr>
          <w:lang w:val="en-US"/>
        </w:rPr>
        <w:t>(</w:t>
      </w:r>
      <w:r w:rsidRPr="00594CA6">
        <w:rPr>
          <w:lang w:val="en-US"/>
        </w:rPr>
        <w:t>2013c</w:t>
      </w:r>
      <w:r w:rsidR="00475D40">
        <w:rPr>
          <w:lang w:val="en-US"/>
        </w:rPr>
        <w:t>)</w:t>
      </w:r>
      <w:r w:rsidRPr="00594CA6">
        <w:rPr>
          <w:lang w:val="en-US"/>
        </w:rPr>
        <w:t xml:space="preserve"> Assessment of balance indicators for key fleet segments and review of national reports on Member States efforts to achieve balance between fleet capacity and fishing opportunities. Scientific, Technical and Economic Committee for Fisheries (STECF). Publications Office of the European Union, Luxembourg, 140 pp.</w:t>
      </w:r>
    </w:p>
    <w:p w:rsidR="00497688" w:rsidRDefault="00497688" w:rsidP="00497688">
      <w:pPr>
        <w:suppressLineNumbers w:val="0"/>
        <w:spacing w:line="480" w:lineRule="auto"/>
        <w:ind w:left="773" w:hangingChars="322" w:hanging="773"/>
        <w:rPr>
          <w:lang w:val="en-US"/>
        </w:rPr>
      </w:pPr>
      <w:r w:rsidRPr="00497688">
        <w:rPr>
          <w:lang w:val="en-US"/>
        </w:rPr>
        <w:t>STECF (2014</w:t>
      </w:r>
      <w:r w:rsidR="00CF4080">
        <w:rPr>
          <w:lang w:val="en-US"/>
        </w:rPr>
        <w:t>a</w:t>
      </w:r>
      <w:r w:rsidRPr="00497688">
        <w:rPr>
          <w:lang w:val="en-US"/>
        </w:rPr>
        <w:t xml:space="preserve">) </w:t>
      </w:r>
      <w:r w:rsidRPr="006122F5">
        <w:rPr>
          <w:lang w:val="en-US"/>
        </w:rPr>
        <w:t>Scientific, Technical and Economic Committee for Fisheries (STECF) –</w:t>
      </w:r>
      <w:r w:rsidRPr="00497688">
        <w:rPr>
          <w:lang w:val="en-US"/>
        </w:rPr>
        <w:t xml:space="preserve"> </w:t>
      </w:r>
      <w:r w:rsidRPr="006122F5">
        <w:rPr>
          <w:lang w:val="en-US"/>
        </w:rPr>
        <w:t>2013 Assessment of Mediterranean Sea stocks part II</w:t>
      </w:r>
      <w:r w:rsidRPr="00497688">
        <w:rPr>
          <w:lang w:val="en-US"/>
        </w:rPr>
        <w:t xml:space="preserve"> </w:t>
      </w:r>
      <w:r w:rsidRPr="006122F5">
        <w:rPr>
          <w:lang w:val="en-US"/>
        </w:rPr>
        <w:t>(STECF-14-08</w:t>
      </w:r>
      <w:r w:rsidRPr="00497688">
        <w:rPr>
          <w:lang w:val="en-US"/>
        </w:rPr>
        <w:t>). 2013. P</w:t>
      </w:r>
      <w:r w:rsidRPr="006122F5">
        <w:rPr>
          <w:lang w:val="en-US"/>
        </w:rPr>
        <w:t>ublications Office of the European Union, Luxembourg, EUR 26614</w:t>
      </w:r>
      <w:r w:rsidRPr="00497688">
        <w:rPr>
          <w:lang w:val="en-US"/>
        </w:rPr>
        <w:t xml:space="preserve"> </w:t>
      </w:r>
      <w:r w:rsidRPr="006122F5">
        <w:rPr>
          <w:lang w:val="en-US"/>
        </w:rPr>
        <w:t>EN, JRC 89860, 364</w:t>
      </w:r>
      <w:r w:rsidRPr="00497688">
        <w:rPr>
          <w:lang w:val="en-US"/>
        </w:rPr>
        <w:t xml:space="preserve">  </w:t>
      </w:r>
      <w:r w:rsidRPr="006122F5">
        <w:rPr>
          <w:lang w:val="en-US"/>
        </w:rPr>
        <w:t>pp.</w:t>
      </w:r>
    </w:p>
    <w:p w:rsidR="00CF4080" w:rsidRPr="00497688" w:rsidRDefault="00CF4080" w:rsidP="00497688">
      <w:pPr>
        <w:suppressLineNumbers w:val="0"/>
        <w:spacing w:line="480" w:lineRule="auto"/>
        <w:ind w:left="773" w:hangingChars="322" w:hanging="773"/>
        <w:rPr>
          <w:lang w:val="en-US"/>
        </w:rPr>
      </w:pPr>
      <w:r>
        <w:rPr>
          <w:lang w:val="en-US"/>
        </w:rPr>
        <w:t xml:space="preserve">STECF (2014b) </w:t>
      </w:r>
      <w:r w:rsidRPr="006122F5">
        <w:rPr>
          <w:lang w:val="en-US"/>
        </w:rPr>
        <w:t>Scientific, Technical and Economic Committee for Fisheries (STECF)</w:t>
      </w:r>
      <w:r>
        <w:rPr>
          <w:lang w:val="en-US"/>
        </w:rPr>
        <w:t xml:space="preserve"> – Evaluation of Fishing Effort Regimes in European Waters – Part 2 (STECF-14-20). </w:t>
      </w:r>
      <w:r w:rsidRPr="00497688">
        <w:rPr>
          <w:lang w:val="en-US"/>
        </w:rPr>
        <w:t>P</w:t>
      </w:r>
      <w:r w:rsidRPr="006122F5">
        <w:rPr>
          <w:lang w:val="en-US"/>
        </w:rPr>
        <w:t>ublications Office of the European Union, Luxembourg, EUR 2</w:t>
      </w:r>
      <w:r>
        <w:rPr>
          <w:lang w:val="en-US"/>
        </w:rPr>
        <w:t>7027</w:t>
      </w:r>
      <w:r w:rsidRPr="00497688">
        <w:rPr>
          <w:lang w:val="en-US"/>
        </w:rPr>
        <w:t xml:space="preserve"> </w:t>
      </w:r>
      <w:r w:rsidRPr="006122F5">
        <w:rPr>
          <w:lang w:val="en-US"/>
        </w:rPr>
        <w:t xml:space="preserve">EN, JRC </w:t>
      </w:r>
      <w:r>
        <w:rPr>
          <w:lang w:val="en-US"/>
        </w:rPr>
        <w:t>93183</w:t>
      </w:r>
      <w:r w:rsidRPr="006122F5">
        <w:rPr>
          <w:lang w:val="en-US"/>
        </w:rPr>
        <w:t xml:space="preserve">, </w:t>
      </w:r>
      <w:r>
        <w:rPr>
          <w:lang w:val="en-US"/>
        </w:rPr>
        <w:t>84</w:t>
      </w:r>
      <w:r w:rsidRPr="006122F5">
        <w:rPr>
          <w:lang w:val="en-US"/>
        </w:rPr>
        <w:t>4</w:t>
      </w:r>
      <w:r w:rsidRPr="00497688">
        <w:rPr>
          <w:lang w:val="en-US"/>
        </w:rPr>
        <w:t xml:space="preserve">  </w:t>
      </w:r>
      <w:r w:rsidRPr="006122F5">
        <w:rPr>
          <w:lang w:val="en-US"/>
        </w:rPr>
        <w:t>pp.</w:t>
      </w:r>
    </w:p>
    <w:p w:rsidR="00A24B37" w:rsidRDefault="00F56229" w:rsidP="00A24B37">
      <w:pPr>
        <w:suppressLineNumbers w:val="0"/>
        <w:spacing w:line="480" w:lineRule="auto"/>
        <w:ind w:left="773" w:hangingChars="322" w:hanging="773"/>
        <w:rPr>
          <w:lang w:val="en-US"/>
        </w:rPr>
      </w:pPr>
      <w:r w:rsidRPr="00A626FE">
        <w:rPr>
          <w:color w:val="000000"/>
          <w:lang w:val="en-US"/>
        </w:rPr>
        <w:t>Stokes, T.K., Gibbs</w:t>
      </w:r>
      <w:r w:rsidR="00A17E2B">
        <w:rPr>
          <w:color w:val="000000"/>
          <w:lang w:val="en-US"/>
        </w:rPr>
        <w:t>, N.,</w:t>
      </w:r>
      <w:r w:rsidRPr="00A626FE">
        <w:rPr>
          <w:color w:val="000000"/>
          <w:lang w:val="en-US"/>
        </w:rPr>
        <w:t xml:space="preserve"> and Holland</w:t>
      </w:r>
      <w:r w:rsidR="00A17E2B">
        <w:rPr>
          <w:color w:val="000000"/>
          <w:lang w:val="en-US"/>
        </w:rPr>
        <w:t>, D.</w:t>
      </w:r>
      <w:r w:rsidRPr="00A626FE">
        <w:rPr>
          <w:color w:val="000000"/>
          <w:lang w:val="en-US"/>
        </w:rPr>
        <w:t xml:space="preserve"> (2006) </w:t>
      </w:r>
      <w:r w:rsidRPr="00A626FE">
        <w:rPr>
          <w:lang w:val="en-US"/>
        </w:rPr>
        <w:t xml:space="preserve">New Zealand's cost recovery regime for fisheries research services: an industry perspective. </w:t>
      </w:r>
      <w:r w:rsidR="00A17E2B">
        <w:rPr>
          <w:i/>
          <w:lang w:val="en-US"/>
        </w:rPr>
        <w:t>Bulletin of Marine science</w:t>
      </w:r>
      <w:r w:rsidR="00A17E2B">
        <w:rPr>
          <w:lang w:val="en-US"/>
        </w:rPr>
        <w:t xml:space="preserve"> 78, 467-485.</w:t>
      </w:r>
    </w:p>
    <w:p w:rsidR="002571C2" w:rsidRDefault="002571C2" w:rsidP="00A24B37">
      <w:pPr>
        <w:suppressLineNumbers w:val="0"/>
        <w:spacing w:line="480" w:lineRule="auto"/>
        <w:ind w:left="773" w:hangingChars="322" w:hanging="773"/>
        <w:rPr>
          <w:lang w:val="en-NZ"/>
        </w:rPr>
      </w:pPr>
      <w:r>
        <w:rPr>
          <w:lang w:val="en-NZ"/>
        </w:rPr>
        <w:t xml:space="preserve">Ulrich, C., Reeves, S.A., Vermard, Y., </w:t>
      </w:r>
      <w:r w:rsidR="008C36AA">
        <w:rPr>
          <w:lang w:val="en-NZ"/>
        </w:rPr>
        <w:t>et al. (201</w:t>
      </w:r>
      <w:r>
        <w:rPr>
          <w:lang w:val="en-NZ"/>
        </w:rPr>
        <w:t xml:space="preserve">1) Reconciling single-species TACs in the North Sea demersal fisheries using the Fcube mixed-fisheries advice framework. </w:t>
      </w:r>
      <w:r w:rsidRPr="00D764B5">
        <w:rPr>
          <w:i/>
          <w:lang w:val="en-NZ"/>
        </w:rPr>
        <w:t>ICES Journal of Marine Science</w:t>
      </w:r>
      <w:r>
        <w:rPr>
          <w:lang w:val="en-NZ"/>
        </w:rPr>
        <w:t xml:space="preserve"> 68, 1535-1547.</w:t>
      </w:r>
    </w:p>
    <w:p w:rsidR="00594CA6" w:rsidRPr="00594CA6" w:rsidRDefault="00594CA6" w:rsidP="00A51148">
      <w:pPr>
        <w:suppressLineNumbers w:val="0"/>
        <w:spacing w:line="480" w:lineRule="auto"/>
        <w:ind w:left="773" w:hangingChars="322" w:hanging="773"/>
        <w:rPr>
          <w:lang w:val="en-NZ"/>
        </w:rPr>
      </w:pPr>
      <w:r w:rsidRPr="00594CA6">
        <w:rPr>
          <w:lang w:val="en-NZ"/>
        </w:rPr>
        <w:t xml:space="preserve">UN </w:t>
      </w:r>
      <w:r w:rsidR="00475D40">
        <w:rPr>
          <w:lang w:val="en-NZ"/>
        </w:rPr>
        <w:t>(</w:t>
      </w:r>
      <w:r w:rsidRPr="00594CA6">
        <w:rPr>
          <w:lang w:val="en-NZ"/>
        </w:rPr>
        <w:t>1972</w:t>
      </w:r>
      <w:r w:rsidR="00475D40">
        <w:rPr>
          <w:lang w:val="en-NZ"/>
        </w:rPr>
        <w:t>)</w:t>
      </w:r>
      <w:r w:rsidRPr="00594CA6">
        <w:rPr>
          <w:lang w:val="en-NZ"/>
        </w:rPr>
        <w:t xml:space="preserve"> Report of the United Nations Conference on the Human Environment. Stockholm, Sweden, 5-16 June 1972.</w:t>
      </w:r>
    </w:p>
    <w:p w:rsidR="00594CA6" w:rsidRPr="00594CA6" w:rsidRDefault="00475D40" w:rsidP="00A51148">
      <w:pPr>
        <w:suppressLineNumbers w:val="0"/>
        <w:spacing w:line="480" w:lineRule="auto"/>
        <w:ind w:left="773" w:hangingChars="322" w:hanging="773"/>
        <w:rPr>
          <w:lang w:val="en-NZ"/>
        </w:rPr>
      </w:pPr>
      <w:r>
        <w:rPr>
          <w:lang w:val="en-NZ"/>
        </w:rPr>
        <w:t>UN (1992)</w:t>
      </w:r>
      <w:r w:rsidR="00594CA6" w:rsidRPr="00594CA6">
        <w:rPr>
          <w:lang w:val="en-NZ"/>
        </w:rPr>
        <w:t xml:space="preserve"> Report of the United Nations Conference on Environment and Development. Rio de Janeiro, Brazil, 3-14 June 1992.</w:t>
      </w:r>
    </w:p>
    <w:p w:rsidR="00594CA6" w:rsidRPr="00594CA6" w:rsidRDefault="00594CA6" w:rsidP="00A51148">
      <w:pPr>
        <w:suppressLineNumbers w:val="0"/>
        <w:spacing w:line="480" w:lineRule="auto"/>
        <w:ind w:left="773" w:hangingChars="322" w:hanging="773"/>
        <w:rPr>
          <w:lang w:val="en-NZ"/>
        </w:rPr>
      </w:pPr>
      <w:r w:rsidRPr="00594CA6">
        <w:rPr>
          <w:lang w:val="en-NZ"/>
        </w:rPr>
        <w:t xml:space="preserve">UN </w:t>
      </w:r>
      <w:r w:rsidR="00475D40">
        <w:rPr>
          <w:lang w:val="en-NZ"/>
        </w:rPr>
        <w:t>(</w:t>
      </w:r>
      <w:r w:rsidRPr="00594CA6">
        <w:rPr>
          <w:lang w:val="en-NZ"/>
        </w:rPr>
        <w:t>2002</w:t>
      </w:r>
      <w:r w:rsidR="00475D40">
        <w:rPr>
          <w:lang w:val="en-NZ"/>
        </w:rPr>
        <w:t>)</w:t>
      </w:r>
      <w:r w:rsidRPr="00594CA6">
        <w:rPr>
          <w:lang w:val="en-NZ"/>
        </w:rPr>
        <w:t xml:space="preserve"> Report of the World Summit on Sustainable Development. Johannesburg, South Africa, 26 August – 4 September 2002.</w:t>
      </w:r>
    </w:p>
    <w:p w:rsidR="00594CA6" w:rsidRPr="00594CA6" w:rsidRDefault="00475D40" w:rsidP="00A51148">
      <w:pPr>
        <w:suppressLineNumbers w:val="0"/>
        <w:spacing w:line="480" w:lineRule="auto"/>
        <w:ind w:left="773" w:hangingChars="322" w:hanging="773"/>
        <w:rPr>
          <w:lang w:val="en-US"/>
        </w:rPr>
      </w:pPr>
      <w:r>
        <w:rPr>
          <w:lang w:val="en-NZ"/>
        </w:rPr>
        <w:lastRenderedPageBreak/>
        <w:t>UN (2012)</w:t>
      </w:r>
      <w:r w:rsidR="00594CA6" w:rsidRPr="00594CA6">
        <w:rPr>
          <w:lang w:val="en-NZ"/>
        </w:rPr>
        <w:t xml:space="preserve"> Report of the United Nations Conference on Sustainable Development. </w:t>
      </w:r>
      <w:r w:rsidR="00594CA6" w:rsidRPr="00594CA6">
        <w:rPr>
          <w:lang w:val="en-US"/>
        </w:rPr>
        <w:t>Rio de Janeiro, Brazil, 20-22 June 2012.</w:t>
      </w:r>
    </w:p>
    <w:p w:rsidR="00F65FD2" w:rsidRDefault="00F65FD2" w:rsidP="00F65FD2">
      <w:pPr>
        <w:suppressLineNumbers w:val="0"/>
        <w:spacing w:line="480" w:lineRule="auto"/>
        <w:ind w:left="773" w:hangingChars="322" w:hanging="773"/>
        <w:rPr>
          <w:bCs/>
          <w:lang w:val="en-US"/>
        </w:rPr>
      </w:pPr>
      <w:r>
        <w:rPr>
          <w:bCs/>
          <w:lang w:val="en-US"/>
        </w:rPr>
        <w:t>Van Ho</w:t>
      </w:r>
      <w:r w:rsidR="00510B98">
        <w:rPr>
          <w:bCs/>
          <w:lang w:val="en-US"/>
        </w:rPr>
        <w:t>o</w:t>
      </w:r>
      <w:r>
        <w:rPr>
          <w:bCs/>
          <w:lang w:val="en-US"/>
        </w:rPr>
        <w:t>f, L. (2010) Tools for fishing fleet management. European Parliament study, Directorate General for Internal Policies, Policy Department B: Structural and Cohesion Policies – Fisheries, 61 pp.</w:t>
      </w:r>
    </w:p>
    <w:p w:rsidR="00B87BA5" w:rsidRPr="00B87BA5" w:rsidRDefault="00B87BA5" w:rsidP="00F65FD2">
      <w:pPr>
        <w:suppressLineNumbers w:val="0"/>
        <w:spacing w:line="480" w:lineRule="auto"/>
        <w:ind w:left="773" w:hangingChars="322" w:hanging="773"/>
        <w:rPr>
          <w:bCs/>
          <w:lang w:val="en-US"/>
        </w:rPr>
      </w:pPr>
      <w:r w:rsidRPr="00B87BA5">
        <w:rPr>
          <w:bCs/>
          <w:lang w:val="en-US"/>
        </w:rPr>
        <w:t xml:space="preserve">Vasilakopoulos, P., Maravelias, C.D., and Tserpes, G. (2014) Europe’s </w:t>
      </w:r>
      <w:r>
        <w:rPr>
          <w:bCs/>
          <w:lang w:val="en-US"/>
        </w:rPr>
        <w:t xml:space="preserve">skeleton in the closet, the steady decline of Mediterranean fish stocks. </w:t>
      </w:r>
      <w:r w:rsidRPr="00B87BA5">
        <w:rPr>
          <w:bCs/>
          <w:i/>
          <w:lang w:val="en-US"/>
        </w:rPr>
        <w:t>Current Biology</w:t>
      </w:r>
      <w:r>
        <w:rPr>
          <w:bCs/>
          <w:lang w:val="en-US"/>
        </w:rPr>
        <w:t xml:space="preserve"> </w:t>
      </w:r>
      <w:r w:rsidR="009F7265">
        <w:rPr>
          <w:bCs/>
          <w:lang w:val="en-US"/>
        </w:rPr>
        <w:t>24, 1</w:t>
      </w:r>
      <w:r w:rsidR="00084983">
        <w:rPr>
          <w:bCs/>
          <w:lang w:val="en-US"/>
        </w:rPr>
        <w:t>643</w:t>
      </w:r>
      <w:r w:rsidR="009F7265">
        <w:rPr>
          <w:bCs/>
          <w:lang w:val="en-US"/>
        </w:rPr>
        <w:t>-</w:t>
      </w:r>
      <w:r w:rsidR="00084983">
        <w:rPr>
          <w:bCs/>
          <w:lang w:val="en-US"/>
        </w:rPr>
        <w:t>1</w:t>
      </w:r>
      <w:r w:rsidR="009F7265">
        <w:rPr>
          <w:bCs/>
          <w:lang w:val="en-US"/>
        </w:rPr>
        <w:t>6</w:t>
      </w:r>
      <w:r w:rsidR="00084983">
        <w:rPr>
          <w:bCs/>
          <w:lang w:val="en-US"/>
        </w:rPr>
        <w:t>48</w:t>
      </w:r>
      <w:r>
        <w:rPr>
          <w:bCs/>
          <w:lang w:val="en-US"/>
        </w:rPr>
        <w:t>.</w:t>
      </w:r>
    </w:p>
    <w:p w:rsidR="001A7D8D" w:rsidRPr="00594CA6" w:rsidRDefault="001A7D8D" w:rsidP="001A7D8D">
      <w:pPr>
        <w:suppressLineNumbers w:val="0"/>
        <w:spacing w:line="480" w:lineRule="auto"/>
        <w:ind w:left="773" w:hangingChars="322" w:hanging="773"/>
        <w:rPr>
          <w:lang w:val="en-US"/>
        </w:rPr>
      </w:pPr>
      <w:r>
        <w:rPr>
          <w:lang w:val="en-US"/>
        </w:rPr>
        <w:t xml:space="preserve">Viana, M., Graham, N., Wilson, J.G., et al. (2011) Fishery discards in the Irish Sea exhibit temporal oscillations and trends reflecting underlying processes at an annual scale. </w:t>
      </w:r>
      <w:r w:rsidRPr="009F7265">
        <w:rPr>
          <w:i/>
          <w:lang w:val="en-US"/>
        </w:rPr>
        <w:t xml:space="preserve">ICES Journal of </w:t>
      </w:r>
      <w:r w:rsidR="009F7265" w:rsidRPr="009F7265">
        <w:rPr>
          <w:i/>
          <w:lang w:val="en-US"/>
        </w:rPr>
        <w:t>Marine Science</w:t>
      </w:r>
      <w:r w:rsidR="009F7265">
        <w:rPr>
          <w:lang w:val="en-US"/>
        </w:rPr>
        <w:t xml:space="preserve"> 68, 221-227.</w:t>
      </w:r>
    </w:p>
    <w:p w:rsidR="00594CA6" w:rsidRDefault="00594CA6" w:rsidP="00A51148">
      <w:pPr>
        <w:suppressLineNumbers w:val="0"/>
        <w:spacing w:line="480" w:lineRule="auto"/>
        <w:ind w:left="773" w:hangingChars="322" w:hanging="773"/>
        <w:rPr>
          <w:lang w:val="en-US"/>
        </w:rPr>
      </w:pPr>
      <w:r w:rsidRPr="00594CA6">
        <w:rPr>
          <w:lang w:val="en-US"/>
        </w:rPr>
        <w:t xml:space="preserve">Vinther, M., Reeves, S.A., and Patterson, K.R. </w:t>
      </w:r>
      <w:r w:rsidR="00475D40">
        <w:rPr>
          <w:lang w:val="en-US"/>
        </w:rPr>
        <w:t>(</w:t>
      </w:r>
      <w:r w:rsidRPr="00594CA6">
        <w:rPr>
          <w:lang w:val="en-US"/>
        </w:rPr>
        <w:t>2004</w:t>
      </w:r>
      <w:r w:rsidR="00475D40">
        <w:rPr>
          <w:lang w:val="en-US"/>
        </w:rPr>
        <w:t>)</w:t>
      </w:r>
      <w:r w:rsidRPr="00594CA6">
        <w:rPr>
          <w:lang w:val="en-US"/>
        </w:rPr>
        <w:t xml:space="preserve"> From single-species advice to mixed-species management: taking the next step. </w:t>
      </w:r>
      <w:r w:rsidRPr="00475D40">
        <w:rPr>
          <w:i/>
          <w:lang w:val="en-US"/>
        </w:rPr>
        <w:t>ICES Journal of Marine Science</w:t>
      </w:r>
      <w:r w:rsidRPr="00594CA6">
        <w:rPr>
          <w:lang w:val="en-US"/>
        </w:rPr>
        <w:t xml:space="preserve"> 61, 1398-1409.</w:t>
      </w:r>
    </w:p>
    <w:p w:rsidR="0031482F" w:rsidRDefault="0031482F" w:rsidP="00A51148">
      <w:pPr>
        <w:suppressLineNumbers w:val="0"/>
        <w:spacing w:line="480" w:lineRule="auto"/>
        <w:ind w:left="773" w:hangingChars="322" w:hanging="773"/>
        <w:rPr>
          <w:lang w:val="en-US"/>
        </w:rPr>
      </w:pPr>
      <w:r>
        <w:rPr>
          <w:lang w:val="en-US"/>
        </w:rPr>
        <w:t>Woodhams, J., Vieira, S., and Stobutzki, I. (eds) (2013) Fishery status reports 2012, Australian Bureau of Agricultural and Resource Economics and Science, Canberra.</w:t>
      </w:r>
    </w:p>
    <w:p w:rsidR="00DB4E18" w:rsidRPr="0073126B" w:rsidRDefault="00594CA6" w:rsidP="00A51148">
      <w:pPr>
        <w:suppressLineNumbers w:val="0"/>
        <w:spacing w:line="480" w:lineRule="auto"/>
        <w:ind w:left="773" w:hangingChars="322" w:hanging="773"/>
        <w:rPr>
          <w:lang w:val="en-US"/>
        </w:rPr>
      </w:pPr>
      <w:r w:rsidRPr="00594CA6">
        <w:rPr>
          <w:lang w:val="en-US"/>
        </w:rPr>
        <w:t xml:space="preserve">Yandle, T., and Dewees, C.M. </w:t>
      </w:r>
      <w:r w:rsidR="00475D40">
        <w:rPr>
          <w:lang w:val="en-US"/>
        </w:rPr>
        <w:t>(</w:t>
      </w:r>
      <w:r w:rsidRPr="00594CA6">
        <w:rPr>
          <w:lang w:val="en-US"/>
        </w:rPr>
        <w:t>2008</w:t>
      </w:r>
      <w:r w:rsidR="00475D40">
        <w:rPr>
          <w:lang w:val="en-US"/>
        </w:rPr>
        <w:t>)</w:t>
      </w:r>
      <w:r w:rsidRPr="00594CA6">
        <w:rPr>
          <w:lang w:val="en-US"/>
        </w:rPr>
        <w:t xml:space="preserve"> Consolidation in an individual transferable quota regime: lessons from New Zealand. </w:t>
      </w:r>
      <w:r w:rsidRPr="00475D40">
        <w:rPr>
          <w:i/>
          <w:lang w:val="en-US"/>
        </w:rPr>
        <w:t>Environmental Management</w:t>
      </w:r>
      <w:r w:rsidRPr="00594CA6">
        <w:rPr>
          <w:lang w:val="en-US"/>
        </w:rPr>
        <w:t xml:space="preserve"> 41, 915-928.</w:t>
      </w:r>
    </w:p>
    <w:p w:rsidR="00872E21" w:rsidRPr="0073126B" w:rsidRDefault="00872E21" w:rsidP="00A51148">
      <w:pPr>
        <w:suppressLineNumbers w:val="0"/>
        <w:spacing w:line="480" w:lineRule="auto"/>
        <w:ind w:right="283"/>
        <w:rPr>
          <w:b/>
          <w:bCs/>
          <w:lang w:val="en-US"/>
        </w:rPr>
        <w:sectPr w:rsidR="00872E21" w:rsidRPr="0073126B" w:rsidSect="00A51148">
          <w:footerReference w:type="even" r:id="rId11"/>
          <w:footerReference w:type="default" r:id="rId12"/>
          <w:type w:val="continuous"/>
          <w:pgSz w:w="11907" w:h="16840" w:code="9"/>
          <w:pgMar w:top="1418" w:right="708" w:bottom="1418" w:left="1418" w:header="709" w:footer="709" w:gutter="0"/>
          <w:lnNumType w:countBy="1" w:restart="continuous"/>
          <w:cols w:space="708"/>
          <w:docGrid w:linePitch="360"/>
        </w:sectPr>
      </w:pPr>
    </w:p>
    <w:p w:rsidR="00467706" w:rsidRPr="008556BA" w:rsidRDefault="00467706" w:rsidP="00A51148">
      <w:pPr>
        <w:suppressLineNumbers w:val="0"/>
        <w:spacing w:line="480" w:lineRule="auto"/>
        <w:rPr>
          <w:lang w:val="en-US"/>
        </w:rPr>
      </w:pPr>
      <w:r w:rsidRPr="00D378C9">
        <w:rPr>
          <w:b/>
          <w:lang w:val="en-US"/>
        </w:rPr>
        <w:lastRenderedPageBreak/>
        <w:t>Table 1.</w:t>
      </w:r>
      <w:r w:rsidRPr="00D378C9">
        <w:rPr>
          <w:lang w:val="en-US"/>
        </w:rPr>
        <w:t xml:space="preserve"> </w:t>
      </w:r>
      <w:r>
        <w:rPr>
          <w:lang w:val="en-US"/>
        </w:rPr>
        <w:t>Main fisheries statistics</w:t>
      </w:r>
      <w:r w:rsidRPr="00D378C9">
        <w:rPr>
          <w:lang w:val="en-US"/>
        </w:rPr>
        <w:t xml:space="preserve"> </w:t>
      </w:r>
      <w:r w:rsidR="008556BA">
        <w:rPr>
          <w:lang w:val="en-US"/>
        </w:rPr>
        <w:t xml:space="preserve">and indicators </w:t>
      </w:r>
      <w:r w:rsidRPr="00D378C9">
        <w:rPr>
          <w:lang w:val="en-US"/>
        </w:rPr>
        <w:t>for the EU, Iceland, New Zealand and Australia, including fleet size, employment in harvest sector, land</w:t>
      </w:r>
      <w:r w:rsidR="006846D2">
        <w:rPr>
          <w:lang w:val="en-US"/>
        </w:rPr>
        <w:t>ed</w:t>
      </w:r>
      <w:r w:rsidRPr="00D378C9">
        <w:rPr>
          <w:lang w:val="en-US"/>
        </w:rPr>
        <w:t xml:space="preserve"> value</w:t>
      </w:r>
      <w:r w:rsidR="008556BA">
        <w:rPr>
          <w:lang w:val="en-US"/>
        </w:rPr>
        <w:t>,</w:t>
      </w:r>
      <w:r w:rsidRPr="00D378C9">
        <w:rPr>
          <w:lang w:val="en-US"/>
        </w:rPr>
        <w:t xml:space="preserve"> trade</w:t>
      </w:r>
      <w:r w:rsidR="008556BA">
        <w:rPr>
          <w:lang w:val="en-US"/>
        </w:rPr>
        <w:t xml:space="preserve"> and government transfers</w:t>
      </w:r>
      <w:r w:rsidRPr="00D378C9">
        <w:rPr>
          <w:lang w:val="en-US"/>
        </w:rPr>
        <w:t xml:space="preserve">. </w:t>
      </w:r>
      <w:r w:rsidR="00560429">
        <w:rPr>
          <w:rFonts w:cstheme="minorHAnsi"/>
          <w:lang w:val="en-US"/>
        </w:rPr>
        <w:t>Different time periods have been considered depending on data availability. Information was occasionally missing in some years for a number of countries, so the indicators were averaged over the whole time period.</w:t>
      </w:r>
    </w:p>
    <w:tbl>
      <w:tblPr>
        <w:tblStyle w:val="Tabel-Gitter"/>
        <w:tblW w:w="12900"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545"/>
        <w:gridCol w:w="2835"/>
        <w:gridCol w:w="1221"/>
        <w:gridCol w:w="1614"/>
        <w:gridCol w:w="2260"/>
        <w:gridCol w:w="1425"/>
      </w:tblGrid>
      <w:tr w:rsidR="00467706" w:rsidRPr="005F2CBE" w:rsidTr="00B67D13">
        <w:trPr>
          <w:jc w:val="center"/>
        </w:trPr>
        <w:tc>
          <w:tcPr>
            <w:tcW w:w="3545" w:type="dxa"/>
          </w:tcPr>
          <w:p w:rsidR="00467706" w:rsidRPr="008556BA" w:rsidRDefault="00467706" w:rsidP="00A51148">
            <w:pPr>
              <w:suppressLineNumbers w:val="0"/>
              <w:spacing w:line="480" w:lineRule="auto"/>
              <w:rPr>
                <w:b/>
                <w:sz w:val="20"/>
                <w:szCs w:val="20"/>
                <w:lang w:val="en-US"/>
              </w:rPr>
            </w:pPr>
          </w:p>
        </w:tc>
        <w:tc>
          <w:tcPr>
            <w:tcW w:w="2835" w:type="dxa"/>
          </w:tcPr>
          <w:p w:rsidR="00467706" w:rsidRPr="008556BA" w:rsidRDefault="00467706" w:rsidP="00A51148">
            <w:pPr>
              <w:suppressLineNumbers w:val="0"/>
              <w:spacing w:line="480" w:lineRule="auto"/>
              <w:rPr>
                <w:b/>
                <w:sz w:val="20"/>
                <w:szCs w:val="20"/>
                <w:lang w:val="en-US"/>
              </w:rPr>
            </w:pPr>
          </w:p>
        </w:tc>
        <w:tc>
          <w:tcPr>
            <w:tcW w:w="1221" w:type="dxa"/>
          </w:tcPr>
          <w:p w:rsidR="00467706" w:rsidRPr="005F2CBE" w:rsidRDefault="00467706" w:rsidP="00A51148">
            <w:pPr>
              <w:suppressLineNumbers w:val="0"/>
              <w:spacing w:line="480" w:lineRule="auto"/>
              <w:rPr>
                <w:b/>
                <w:sz w:val="20"/>
                <w:szCs w:val="20"/>
                <w:lang w:val="en-NZ"/>
              </w:rPr>
            </w:pPr>
            <w:r>
              <w:rPr>
                <w:b/>
                <w:sz w:val="20"/>
                <w:szCs w:val="20"/>
                <w:lang w:val="en-NZ"/>
              </w:rPr>
              <w:t>EU</w:t>
            </w:r>
          </w:p>
        </w:tc>
        <w:tc>
          <w:tcPr>
            <w:tcW w:w="1614" w:type="dxa"/>
          </w:tcPr>
          <w:p w:rsidR="00467706" w:rsidRPr="005F2CBE" w:rsidRDefault="00467706" w:rsidP="00A51148">
            <w:pPr>
              <w:suppressLineNumbers w:val="0"/>
              <w:spacing w:line="480" w:lineRule="auto"/>
              <w:rPr>
                <w:b/>
                <w:sz w:val="20"/>
                <w:szCs w:val="20"/>
                <w:lang w:val="en-NZ"/>
              </w:rPr>
            </w:pPr>
            <w:r w:rsidRPr="005F2CBE">
              <w:rPr>
                <w:b/>
                <w:sz w:val="20"/>
                <w:szCs w:val="20"/>
                <w:lang w:val="en-NZ"/>
              </w:rPr>
              <w:t>Iceland</w:t>
            </w:r>
          </w:p>
        </w:tc>
        <w:tc>
          <w:tcPr>
            <w:tcW w:w="2260" w:type="dxa"/>
          </w:tcPr>
          <w:p w:rsidR="00467706" w:rsidRPr="005F2CBE" w:rsidRDefault="00467706" w:rsidP="00A51148">
            <w:pPr>
              <w:suppressLineNumbers w:val="0"/>
              <w:spacing w:line="480" w:lineRule="auto"/>
              <w:rPr>
                <w:b/>
                <w:sz w:val="20"/>
                <w:szCs w:val="20"/>
                <w:lang w:val="en-NZ"/>
              </w:rPr>
            </w:pPr>
            <w:r w:rsidRPr="005F2CBE">
              <w:rPr>
                <w:b/>
                <w:sz w:val="20"/>
                <w:szCs w:val="20"/>
                <w:lang w:val="en-NZ"/>
              </w:rPr>
              <w:t>New Zealand</w:t>
            </w:r>
          </w:p>
        </w:tc>
        <w:tc>
          <w:tcPr>
            <w:tcW w:w="1425" w:type="dxa"/>
          </w:tcPr>
          <w:p w:rsidR="00467706" w:rsidRPr="005F2CBE" w:rsidRDefault="00467706" w:rsidP="00A51148">
            <w:pPr>
              <w:suppressLineNumbers w:val="0"/>
              <w:spacing w:line="480" w:lineRule="auto"/>
              <w:rPr>
                <w:b/>
                <w:sz w:val="20"/>
                <w:szCs w:val="20"/>
                <w:lang w:val="en-NZ"/>
              </w:rPr>
            </w:pPr>
            <w:r w:rsidRPr="005F2CBE">
              <w:rPr>
                <w:b/>
                <w:sz w:val="20"/>
                <w:szCs w:val="20"/>
                <w:lang w:val="en-NZ"/>
              </w:rPr>
              <w:t>Australia</w:t>
            </w:r>
          </w:p>
        </w:tc>
      </w:tr>
      <w:tr w:rsidR="00246176" w:rsidRPr="00246176" w:rsidTr="00B67D13">
        <w:trPr>
          <w:jc w:val="center"/>
        </w:trPr>
        <w:tc>
          <w:tcPr>
            <w:tcW w:w="3545" w:type="dxa"/>
          </w:tcPr>
          <w:p w:rsidR="00246176" w:rsidRPr="00246176" w:rsidRDefault="00246176" w:rsidP="00A51148">
            <w:pPr>
              <w:suppressLineNumbers w:val="0"/>
              <w:spacing w:line="480" w:lineRule="auto"/>
              <w:rPr>
                <w:sz w:val="20"/>
                <w:szCs w:val="20"/>
                <w:lang w:val="en-US"/>
              </w:rPr>
            </w:pPr>
            <w:r w:rsidRPr="00246176">
              <w:rPr>
                <w:sz w:val="20"/>
                <w:szCs w:val="20"/>
                <w:lang w:val="en-US"/>
              </w:rPr>
              <w:t>EE</w:t>
            </w:r>
            <w:r>
              <w:rPr>
                <w:sz w:val="20"/>
                <w:szCs w:val="20"/>
                <w:lang w:val="en-US"/>
              </w:rPr>
              <w:t>Z (million km</w:t>
            </w:r>
            <w:r w:rsidRPr="00246176">
              <w:rPr>
                <w:sz w:val="20"/>
                <w:szCs w:val="20"/>
                <w:vertAlign w:val="superscript"/>
                <w:lang w:val="en-US"/>
              </w:rPr>
              <w:t>2</w:t>
            </w:r>
            <w:r w:rsidRPr="00246176">
              <w:rPr>
                <w:sz w:val="20"/>
                <w:szCs w:val="20"/>
                <w:lang w:val="en-US"/>
              </w:rPr>
              <w:t>)</w:t>
            </w:r>
          </w:p>
        </w:tc>
        <w:tc>
          <w:tcPr>
            <w:tcW w:w="2835" w:type="dxa"/>
          </w:tcPr>
          <w:p w:rsidR="00246176" w:rsidRPr="00246176" w:rsidRDefault="00246176" w:rsidP="00A51148">
            <w:pPr>
              <w:suppressLineNumbers w:val="0"/>
              <w:spacing w:line="480" w:lineRule="auto"/>
              <w:rPr>
                <w:sz w:val="20"/>
                <w:szCs w:val="20"/>
                <w:lang w:val="en-US"/>
              </w:rPr>
            </w:pPr>
          </w:p>
        </w:tc>
        <w:tc>
          <w:tcPr>
            <w:tcW w:w="1221" w:type="dxa"/>
          </w:tcPr>
          <w:p w:rsidR="00246176" w:rsidRPr="00246176" w:rsidRDefault="00246176" w:rsidP="00A51148">
            <w:pPr>
              <w:suppressLineNumbers w:val="0"/>
              <w:spacing w:line="480" w:lineRule="auto"/>
              <w:rPr>
                <w:sz w:val="20"/>
                <w:szCs w:val="20"/>
                <w:lang w:val="en-NZ"/>
              </w:rPr>
            </w:pPr>
            <w:r>
              <w:rPr>
                <w:sz w:val="20"/>
                <w:szCs w:val="20"/>
                <w:lang w:val="en-NZ"/>
              </w:rPr>
              <w:t>25</w:t>
            </w:r>
          </w:p>
        </w:tc>
        <w:tc>
          <w:tcPr>
            <w:tcW w:w="1614" w:type="dxa"/>
          </w:tcPr>
          <w:p w:rsidR="00246176" w:rsidRPr="00246176" w:rsidRDefault="00246176" w:rsidP="00A51148">
            <w:pPr>
              <w:suppressLineNumbers w:val="0"/>
              <w:spacing w:line="480" w:lineRule="auto"/>
              <w:rPr>
                <w:sz w:val="20"/>
                <w:szCs w:val="20"/>
                <w:lang w:val="en-NZ"/>
              </w:rPr>
            </w:pPr>
            <w:r>
              <w:rPr>
                <w:sz w:val="20"/>
                <w:szCs w:val="20"/>
                <w:lang w:val="en-NZ"/>
              </w:rPr>
              <w:t>0.8</w:t>
            </w:r>
          </w:p>
        </w:tc>
        <w:tc>
          <w:tcPr>
            <w:tcW w:w="2260" w:type="dxa"/>
          </w:tcPr>
          <w:p w:rsidR="00246176" w:rsidRPr="00246176" w:rsidRDefault="00246176" w:rsidP="00A51148">
            <w:pPr>
              <w:suppressLineNumbers w:val="0"/>
              <w:spacing w:line="480" w:lineRule="auto"/>
              <w:rPr>
                <w:sz w:val="20"/>
                <w:szCs w:val="20"/>
                <w:lang w:val="en-NZ"/>
              </w:rPr>
            </w:pPr>
            <w:r>
              <w:rPr>
                <w:sz w:val="20"/>
                <w:szCs w:val="20"/>
                <w:lang w:val="en-NZ"/>
              </w:rPr>
              <w:t>7</w:t>
            </w:r>
          </w:p>
        </w:tc>
        <w:tc>
          <w:tcPr>
            <w:tcW w:w="1425" w:type="dxa"/>
          </w:tcPr>
          <w:p w:rsidR="00246176" w:rsidRPr="00246176" w:rsidRDefault="00246176" w:rsidP="00A51148">
            <w:pPr>
              <w:suppressLineNumbers w:val="0"/>
              <w:spacing w:line="480" w:lineRule="auto"/>
              <w:rPr>
                <w:sz w:val="20"/>
                <w:szCs w:val="20"/>
                <w:lang w:val="en-NZ"/>
              </w:rPr>
            </w:pPr>
            <w:r>
              <w:rPr>
                <w:sz w:val="20"/>
                <w:szCs w:val="20"/>
                <w:lang w:val="en-NZ"/>
              </w:rPr>
              <w:t>9</w:t>
            </w:r>
          </w:p>
        </w:tc>
      </w:tr>
      <w:tr w:rsidR="00467706" w:rsidRPr="00C0533D" w:rsidTr="00B67D13">
        <w:trPr>
          <w:trHeight w:val="424"/>
          <w:jc w:val="center"/>
        </w:trPr>
        <w:tc>
          <w:tcPr>
            <w:tcW w:w="3545" w:type="dxa"/>
            <w:tcBorders>
              <w:bottom w:val="nil"/>
            </w:tcBorders>
          </w:tcPr>
          <w:p w:rsidR="00467706" w:rsidRPr="00F47A3A" w:rsidRDefault="00D0760D" w:rsidP="00A51148">
            <w:pPr>
              <w:suppressLineNumbers w:val="0"/>
              <w:spacing w:line="480" w:lineRule="auto"/>
              <w:rPr>
                <w:sz w:val="20"/>
                <w:szCs w:val="20"/>
                <w:lang w:val="en-NZ"/>
              </w:rPr>
            </w:pPr>
            <w:r>
              <w:rPr>
                <w:sz w:val="20"/>
                <w:szCs w:val="20"/>
                <w:lang w:val="en-NZ"/>
              </w:rPr>
              <w:t>N</w:t>
            </w:r>
            <w:r w:rsidR="00C90D0D">
              <w:rPr>
                <w:sz w:val="20"/>
                <w:szCs w:val="20"/>
                <w:lang w:val="en-NZ"/>
              </w:rPr>
              <w:t>o</w:t>
            </w:r>
            <w:r w:rsidR="00467706">
              <w:rPr>
                <w:sz w:val="20"/>
                <w:szCs w:val="20"/>
                <w:lang w:val="en-NZ"/>
              </w:rPr>
              <w:t xml:space="preserve">. vessels </w:t>
            </w:r>
            <w:r w:rsidR="00C90D0D">
              <w:rPr>
                <w:sz w:val="20"/>
                <w:szCs w:val="20"/>
                <w:lang w:val="en-NZ"/>
              </w:rPr>
              <w:t>(2008-</w:t>
            </w:r>
            <w:r w:rsidR="00467706">
              <w:rPr>
                <w:sz w:val="20"/>
                <w:szCs w:val="20"/>
                <w:lang w:val="en-NZ"/>
              </w:rPr>
              <w:t>201</w:t>
            </w:r>
            <w:r w:rsidR="00C90D0D">
              <w:rPr>
                <w:sz w:val="20"/>
                <w:szCs w:val="20"/>
                <w:lang w:val="en-NZ"/>
              </w:rPr>
              <w:t>2)</w:t>
            </w:r>
            <w:r w:rsidR="00543184">
              <w:rPr>
                <w:rStyle w:val="Fodnotehenvisning"/>
                <w:sz w:val="20"/>
                <w:szCs w:val="20"/>
                <w:lang w:val="en-NZ"/>
              </w:rPr>
              <w:footnoteReference w:id="1"/>
            </w:r>
          </w:p>
        </w:tc>
        <w:tc>
          <w:tcPr>
            <w:tcW w:w="2835" w:type="dxa"/>
          </w:tcPr>
          <w:p w:rsidR="00467706" w:rsidRPr="00F47A3A" w:rsidRDefault="00D0760D" w:rsidP="00A51148">
            <w:pPr>
              <w:suppressLineNumbers w:val="0"/>
              <w:spacing w:line="480" w:lineRule="auto"/>
              <w:rPr>
                <w:sz w:val="20"/>
                <w:szCs w:val="20"/>
                <w:lang w:val="en-NZ"/>
              </w:rPr>
            </w:pPr>
            <w:r>
              <w:rPr>
                <w:sz w:val="20"/>
                <w:szCs w:val="20"/>
                <w:lang w:val="en-NZ"/>
              </w:rPr>
              <w:t>Average</w:t>
            </w:r>
          </w:p>
        </w:tc>
        <w:tc>
          <w:tcPr>
            <w:tcW w:w="1221" w:type="dxa"/>
          </w:tcPr>
          <w:p w:rsidR="00467706" w:rsidRPr="00F47A3A" w:rsidRDefault="00C90D0D" w:rsidP="00A51148">
            <w:pPr>
              <w:suppressLineNumbers w:val="0"/>
              <w:spacing w:line="480" w:lineRule="auto"/>
              <w:rPr>
                <w:sz w:val="20"/>
                <w:szCs w:val="20"/>
                <w:lang w:val="en-NZ"/>
              </w:rPr>
            </w:pPr>
            <w:r>
              <w:rPr>
                <w:sz w:val="20"/>
                <w:szCs w:val="20"/>
                <w:lang w:val="en-NZ"/>
              </w:rPr>
              <w:t>83,611</w:t>
            </w:r>
          </w:p>
        </w:tc>
        <w:tc>
          <w:tcPr>
            <w:tcW w:w="1614" w:type="dxa"/>
          </w:tcPr>
          <w:p w:rsidR="00467706" w:rsidRPr="00F47A3A" w:rsidRDefault="00C90D0D" w:rsidP="00A51148">
            <w:pPr>
              <w:suppressLineNumbers w:val="0"/>
              <w:spacing w:line="480" w:lineRule="auto"/>
              <w:rPr>
                <w:sz w:val="20"/>
                <w:szCs w:val="20"/>
                <w:lang w:val="en-NZ"/>
              </w:rPr>
            </w:pPr>
            <w:r>
              <w:rPr>
                <w:sz w:val="20"/>
                <w:szCs w:val="20"/>
                <w:lang w:val="en-NZ"/>
              </w:rPr>
              <w:t>1,619</w:t>
            </w:r>
          </w:p>
        </w:tc>
        <w:tc>
          <w:tcPr>
            <w:tcW w:w="2260" w:type="dxa"/>
          </w:tcPr>
          <w:p w:rsidR="00467706" w:rsidRPr="00F47A3A" w:rsidRDefault="00467706" w:rsidP="00A51148">
            <w:pPr>
              <w:suppressLineNumbers w:val="0"/>
              <w:spacing w:line="480" w:lineRule="auto"/>
              <w:rPr>
                <w:sz w:val="20"/>
                <w:szCs w:val="20"/>
                <w:lang w:val="en-NZ"/>
              </w:rPr>
            </w:pPr>
            <w:r>
              <w:rPr>
                <w:sz w:val="20"/>
                <w:szCs w:val="20"/>
                <w:lang w:val="en-NZ"/>
              </w:rPr>
              <w:t>1,4</w:t>
            </w:r>
            <w:r w:rsidR="00C90D0D">
              <w:rPr>
                <w:sz w:val="20"/>
                <w:szCs w:val="20"/>
                <w:lang w:val="en-NZ"/>
              </w:rPr>
              <w:t>14</w:t>
            </w:r>
          </w:p>
        </w:tc>
        <w:tc>
          <w:tcPr>
            <w:tcW w:w="1425" w:type="dxa"/>
          </w:tcPr>
          <w:p w:rsidR="00467706" w:rsidRPr="00F47A3A" w:rsidRDefault="00467706" w:rsidP="00A51148">
            <w:pPr>
              <w:suppressLineNumbers w:val="0"/>
              <w:spacing w:line="480" w:lineRule="auto"/>
              <w:rPr>
                <w:sz w:val="20"/>
                <w:szCs w:val="20"/>
                <w:lang w:val="en-NZ"/>
              </w:rPr>
            </w:pPr>
            <w:r>
              <w:rPr>
                <w:sz w:val="20"/>
                <w:szCs w:val="20"/>
                <w:lang w:val="en-NZ"/>
              </w:rPr>
              <w:t>3</w:t>
            </w:r>
            <w:r w:rsidR="00C90D0D">
              <w:rPr>
                <w:sz w:val="20"/>
                <w:szCs w:val="20"/>
                <w:lang w:val="en-NZ"/>
              </w:rPr>
              <w:t>25</w:t>
            </w:r>
          </w:p>
        </w:tc>
      </w:tr>
      <w:tr w:rsidR="00D0760D" w:rsidRPr="00D0760D" w:rsidTr="00B67D13">
        <w:trPr>
          <w:trHeight w:val="424"/>
          <w:jc w:val="center"/>
        </w:trPr>
        <w:tc>
          <w:tcPr>
            <w:tcW w:w="3545" w:type="dxa"/>
            <w:tcBorders>
              <w:top w:val="nil"/>
              <w:bottom w:val="single" w:sz="4" w:space="0" w:color="auto"/>
            </w:tcBorders>
          </w:tcPr>
          <w:p w:rsidR="00D0760D" w:rsidRDefault="00D0760D" w:rsidP="00A51148">
            <w:pPr>
              <w:suppressLineNumbers w:val="0"/>
              <w:spacing w:line="480" w:lineRule="auto"/>
              <w:rPr>
                <w:sz w:val="20"/>
                <w:szCs w:val="20"/>
                <w:lang w:val="en-NZ"/>
              </w:rPr>
            </w:pPr>
          </w:p>
        </w:tc>
        <w:tc>
          <w:tcPr>
            <w:tcW w:w="2835" w:type="dxa"/>
          </w:tcPr>
          <w:p w:rsidR="00D0760D" w:rsidRPr="00F47A3A" w:rsidRDefault="00246176" w:rsidP="00A51148">
            <w:pPr>
              <w:suppressLineNumbers w:val="0"/>
              <w:spacing w:line="480" w:lineRule="auto"/>
              <w:rPr>
                <w:sz w:val="20"/>
                <w:szCs w:val="20"/>
                <w:lang w:val="en-NZ"/>
              </w:rPr>
            </w:pPr>
            <w:r>
              <w:rPr>
                <w:sz w:val="20"/>
                <w:szCs w:val="20"/>
                <w:lang w:val="en-NZ"/>
              </w:rPr>
              <w:t>Mean i</w:t>
            </w:r>
            <w:r w:rsidR="00D0760D">
              <w:rPr>
                <w:sz w:val="20"/>
                <w:szCs w:val="20"/>
                <w:lang w:val="en-NZ"/>
              </w:rPr>
              <w:t>nter-annual change</w:t>
            </w:r>
          </w:p>
        </w:tc>
        <w:tc>
          <w:tcPr>
            <w:tcW w:w="1221" w:type="dxa"/>
          </w:tcPr>
          <w:p w:rsidR="00D0760D" w:rsidRDefault="00D0760D" w:rsidP="00A51148">
            <w:pPr>
              <w:suppressLineNumbers w:val="0"/>
              <w:spacing w:line="480" w:lineRule="auto"/>
              <w:rPr>
                <w:sz w:val="20"/>
                <w:szCs w:val="20"/>
                <w:lang w:val="en-NZ"/>
              </w:rPr>
            </w:pPr>
            <w:r>
              <w:rPr>
                <w:sz w:val="20"/>
                <w:szCs w:val="20"/>
                <w:lang w:val="en-NZ"/>
              </w:rPr>
              <w:t>-2%</w:t>
            </w:r>
          </w:p>
        </w:tc>
        <w:tc>
          <w:tcPr>
            <w:tcW w:w="1614" w:type="dxa"/>
          </w:tcPr>
          <w:p w:rsidR="00D0760D" w:rsidRDefault="00D0760D" w:rsidP="00A51148">
            <w:pPr>
              <w:suppressLineNumbers w:val="0"/>
              <w:spacing w:line="480" w:lineRule="auto"/>
              <w:rPr>
                <w:sz w:val="20"/>
                <w:szCs w:val="20"/>
                <w:lang w:val="en-NZ"/>
              </w:rPr>
            </w:pPr>
            <w:r>
              <w:rPr>
                <w:sz w:val="20"/>
                <w:szCs w:val="20"/>
                <w:lang w:val="en-NZ"/>
              </w:rPr>
              <w:t>+2%</w:t>
            </w:r>
          </w:p>
        </w:tc>
        <w:tc>
          <w:tcPr>
            <w:tcW w:w="2260" w:type="dxa"/>
          </w:tcPr>
          <w:p w:rsidR="00D0760D" w:rsidRDefault="00D0760D" w:rsidP="00A51148">
            <w:pPr>
              <w:suppressLineNumbers w:val="0"/>
              <w:spacing w:line="480" w:lineRule="auto"/>
              <w:rPr>
                <w:sz w:val="20"/>
                <w:szCs w:val="20"/>
                <w:lang w:val="en-NZ"/>
              </w:rPr>
            </w:pPr>
            <w:r>
              <w:rPr>
                <w:sz w:val="20"/>
                <w:szCs w:val="20"/>
                <w:lang w:val="en-NZ"/>
              </w:rPr>
              <w:t>0%</w:t>
            </w:r>
          </w:p>
        </w:tc>
        <w:tc>
          <w:tcPr>
            <w:tcW w:w="1425" w:type="dxa"/>
          </w:tcPr>
          <w:p w:rsidR="00D0760D" w:rsidRDefault="00D0760D" w:rsidP="00A51148">
            <w:pPr>
              <w:suppressLineNumbers w:val="0"/>
              <w:spacing w:line="480" w:lineRule="auto"/>
              <w:rPr>
                <w:sz w:val="20"/>
                <w:szCs w:val="20"/>
                <w:lang w:val="en-NZ"/>
              </w:rPr>
            </w:pPr>
            <w:r>
              <w:rPr>
                <w:sz w:val="20"/>
                <w:szCs w:val="20"/>
                <w:lang w:val="en-NZ"/>
              </w:rPr>
              <w:t>-1%</w:t>
            </w:r>
          </w:p>
        </w:tc>
      </w:tr>
      <w:tr w:rsidR="00467706" w:rsidRPr="00D0760D" w:rsidTr="00B67D13">
        <w:trPr>
          <w:trHeight w:val="424"/>
          <w:jc w:val="center"/>
        </w:trPr>
        <w:tc>
          <w:tcPr>
            <w:tcW w:w="3545" w:type="dxa"/>
            <w:tcBorders>
              <w:bottom w:val="nil"/>
            </w:tcBorders>
          </w:tcPr>
          <w:p w:rsidR="00467706" w:rsidRDefault="00D0760D" w:rsidP="00A51148">
            <w:pPr>
              <w:suppressLineNumbers w:val="0"/>
              <w:spacing w:line="480" w:lineRule="auto"/>
              <w:rPr>
                <w:sz w:val="20"/>
                <w:szCs w:val="20"/>
                <w:lang w:val="en-NZ"/>
              </w:rPr>
            </w:pPr>
            <w:r>
              <w:rPr>
                <w:sz w:val="20"/>
                <w:szCs w:val="20"/>
                <w:lang w:val="en-NZ"/>
              </w:rPr>
              <w:t xml:space="preserve">Employment </w:t>
            </w:r>
            <w:r w:rsidR="00467706">
              <w:rPr>
                <w:sz w:val="20"/>
                <w:szCs w:val="20"/>
                <w:lang w:val="en-NZ"/>
              </w:rPr>
              <w:t xml:space="preserve">harvest sector </w:t>
            </w:r>
            <w:r>
              <w:rPr>
                <w:sz w:val="20"/>
                <w:szCs w:val="20"/>
                <w:lang w:val="en-NZ"/>
              </w:rPr>
              <w:t>(</w:t>
            </w:r>
            <w:r w:rsidR="00467706">
              <w:rPr>
                <w:sz w:val="20"/>
                <w:szCs w:val="20"/>
                <w:lang w:val="en-NZ"/>
              </w:rPr>
              <w:t>20</w:t>
            </w:r>
            <w:r w:rsidR="00543184">
              <w:rPr>
                <w:sz w:val="20"/>
                <w:szCs w:val="20"/>
                <w:lang w:val="en-NZ"/>
              </w:rPr>
              <w:t>09</w:t>
            </w:r>
            <w:r>
              <w:rPr>
                <w:sz w:val="20"/>
                <w:szCs w:val="20"/>
                <w:lang w:val="en-NZ"/>
              </w:rPr>
              <w:t>-201</w:t>
            </w:r>
            <w:r w:rsidR="00543184">
              <w:rPr>
                <w:sz w:val="20"/>
                <w:szCs w:val="20"/>
                <w:lang w:val="en-NZ"/>
              </w:rPr>
              <w:t>1</w:t>
            </w:r>
            <w:r>
              <w:rPr>
                <w:sz w:val="20"/>
                <w:szCs w:val="20"/>
                <w:lang w:val="en-NZ"/>
              </w:rPr>
              <w:t>)</w:t>
            </w:r>
            <w:r w:rsidR="003713E3">
              <w:rPr>
                <w:rStyle w:val="Fodnotehenvisning"/>
                <w:sz w:val="20"/>
                <w:szCs w:val="20"/>
                <w:lang w:val="en-NZ"/>
              </w:rPr>
              <w:footnoteReference w:id="2"/>
            </w:r>
          </w:p>
        </w:tc>
        <w:tc>
          <w:tcPr>
            <w:tcW w:w="2835" w:type="dxa"/>
          </w:tcPr>
          <w:p w:rsidR="00467706" w:rsidRPr="00F47A3A" w:rsidRDefault="00FB4486" w:rsidP="00A51148">
            <w:pPr>
              <w:suppressLineNumbers w:val="0"/>
              <w:spacing w:line="480" w:lineRule="auto"/>
              <w:rPr>
                <w:sz w:val="20"/>
                <w:szCs w:val="20"/>
                <w:lang w:val="en-NZ"/>
              </w:rPr>
            </w:pPr>
            <w:r>
              <w:rPr>
                <w:sz w:val="20"/>
                <w:szCs w:val="20"/>
                <w:lang w:val="en-NZ"/>
              </w:rPr>
              <w:t>Average</w:t>
            </w:r>
          </w:p>
        </w:tc>
        <w:tc>
          <w:tcPr>
            <w:tcW w:w="1221" w:type="dxa"/>
          </w:tcPr>
          <w:p w:rsidR="00467706" w:rsidRPr="00801EDF" w:rsidRDefault="00467706" w:rsidP="00A51148">
            <w:pPr>
              <w:suppressLineNumbers w:val="0"/>
              <w:spacing w:line="480" w:lineRule="auto"/>
              <w:rPr>
                <w:sz w:val="20"/>
                <w:szCs w:val="20"/>
                <w:lang w:val="en-NZ"/>
              </w:rPr>
            </w:pPr>
            <w:r w:rsidRPr="00801EDF">
              <w:rPr>
                <w:sz w:val="20"/>
                <w:szCs w:val="20"/>
                <w:lang w:val="en-NZ"/>
              </w:rPr>
              <w:t>1</w:t>
            </w:r>
            <w:r w:rsidR="00543184">
              <w:rPr>
                <w:sz w:val="20"/>
                <w:szCs w:val="20"/>
                <w:lang w:val="en-NZ"/>
              </w:rPr>
              <w:t>31</w:t>
            </w:r>
            <w:r w:rsidRPr="00801EDF">
              <w:rPr>
                <w:sz w:val="20"/>
                <w:szCs w:val="20"/>
                <w:lang w:val="en-NZ"/>
              </w:rPr>
              <w:t>,</w:t>
            </w:r>
            <w:r w:rsidR="00543184">
              <w:rPr>
                <w:sz w:val="20"/>
                <w:szCs w:val="20"/>
                <w:lang w:val="en-NZ"/>
              </w:rPr>
              <w:t>525</w:t>
            </w:r>
          </w:p>
        </w:tc>
        <w:tc>
          <w:tcPr>
            <w:tcW w:w="1614" w:type="dxa"/>
          </w:tcPr>
          <w:p w:rsidR="00467706" w:rsidRPr="00801EDF" w:rsidRDefault="00543184" w:rsidP="00A51148">
            <w:pPr>
              <w:suppressLineNumbers w:val="0"/>
              <w:spacing w:line="480" w:lineRule="auto"/>
              <w:rPr>
                <w:sz w:val="20"/>
                <w:szCs w:val="20"/>
                <w:lang w:val="en-NZ"/>
              </w:rPr>
            </w:pPr>
            <w:r>
              <w:rPr>
                <w:sz w:val="20"/>
                <w:szCs w:val="20"/>
                <w:lang w:val="en-NZ"/>
              </w:rPr>
              <w:t>4</w:t>
            </w:r>
            <w:r w:rsidR="00467706" w:rsidRPr="00801EDF">
              <w:rPr>
                <w:sz w:val="20"/>
                <w:szCs w:val="20"/>
                <w:lang w:val="en-NZ"/>
              </w:rPr>
              <w:t>,</w:t>
            </w:r>
            <w:r>
              <w:rPr>
                <w:sz w:val="20"/>
                <w:szCs w:val="20"/>
                <w:lang w:val="en-NZ"/>
              </w:rPr>
              <w:t>9</w:t>
            </w:r>
            <w:r w:rsidR="00D0760D">
              <w:rPr>
                <w:sz w:val="20"/>
                <w:szCs w:val="20"/>
                <w:lang w:val="en-NZ"/>
              </w:rPr>
              <w:t>33</w:t>
            </w:r>
          </w:p>
        </w:tc>
        <w:tc>
          <w:tcPr>
            <w:tcW w:w="2260" w:type="dxa"/>
          </w:tcPr>
          <w:p w:rsidR="00467706" w:rsidRPr="00801EDF" w:rsidRDefault="00467706" w:rsidP="00A51148">
            <w:pPr>
              <w:suppressLineNumbers w:val="0"/>
              <w:spacing w:line="480" w:lineRule="auto"/>
              <w:rPr>
                <w:sz w:val="20"/>
                <w:szCs w:val="20"/>
                <w:lang w:val="en-NZ"/>
              </w:rPr>
            </w:pPr>
            <w:r w:rsidRPr="00801EDF">
              <w:rPr>
                <w:sz w:val="20"/>
                <w:szCs w:val="20"/>
                <w:lang w:val="en-NZ"/>
              </w:rPr>
              <w:t>1,</w:t>
            </w:r>
            <w:r w:rsidR="00D0760D">
              <w:rPr>
                <w:sz w:val="20"/>
                <w:szCs w:val="20"/>
                <w:lang w:val="en-NZ"/>
              </w:rPr>
              <w:t>7</w:t>
            </w:r>
            <w:r w:rsidR="00543184">
              <w:rPr>
                <w:sz w:val="20"/>
                <w:szCs w:val="20"/>
                <w:lang w:val="en-NZ"/>
              </w:rPr>
              <w:t>80</w:t>
            </w:r>
          </w:p>
        </w:tc>
        <w:tc>
          <w:tcPr>
            <w:tcW w:w="1425" w:type="dxa"/>
          </w:tcPr>
          <w:p w:rsidR="00467706" w:rsidRPr="00801EDF" w:rsidRDefault="00467706" w:rsidP="00A51148">
            <w:pPr>
              <w:suppressLineNumbers w:val="0"/>
              <w:spacing w:line="480" w:lineRule="auto"/>
              <w:rPr>
                <w:sz w:val="20"/>
                <w:szCs w:val="20"/>
                <w:lang w:val="en-NZ"/>
              </w:rPr>
            </w:pPr>
            <w:r w:rsidRPr="00801EDF">
              <w:rPr>
                <w:sz w:val="20"/>
                <w:szCs w:val="20"/>
                <w:lang w:val="en-NZ"/>
              </w:rPr>
              <w:t>7,</w:t>
            </w:r>
            <w:r w:rsidR="00543184">
              <w:rPr>
                <w:sz w:val="20"/>
                <w:szCs w:val="20"/>
                <w:lang w:val="en-NZ"/>
              </w:rPr>
              <w:t>521</w:t>
            </w:r>
          </w:p>
        </w:tc>
      </w:tr>
      <w:tr w:rsidR="00FB4486" w:rsidRPr="00D0760D" w:rsidTr="00B67D13">
        <w:trPr>
          <w:trHeight w:val="424"/>
          <w:jc w:val="center"/>
        </w:trPr>
        <w:tc>
          <w:tcPr>
            <w:tcW w:w="3545" w:type="dxa"/>
            <w:tcBorders>
              <w:top w:val="nil"/>
            </w:tcBorders>
          </w:tcPr>
          <w:p w:rsidR="00FB4486" w:rsidRDefault="00FB4486" w:rsidP="00A51148">
            <w:pPr>
              <w:suppressLineNumbers w:val="0"/>
              <w:spacing w:line="480" w:lineRule="auto"/>
              <w:rPr>
                <w:sz w:val="20"/>
                <w:szCs w:val="20"/>
                <w:lang w:val="en-NZ"/>
              </w:rPr>
            </w:pPr>
          </w:p>
        </w:tc>
        <w:tc>
          <w:tcPr>
            <w:tcW w:w="2835" w:type="dxa"/>
          </w:tcPr>
          <w:p w:rsidR="00FB4486" w:rsidRPr="00F47A3A" w:rsidRDefault="00FB4486" w:rsidP="00A51148">
            <w:pPr>
              <w:suppressLineNumbers w:val="0"/>
              <w:spacing w:line="480" w:lineRule="auto"/>
              <w:rPr>
                <w:sz w:val="20"/>
                <w:szCs w:val="20"/>
                <w:lang w:val="en-NZ"/>
              </w:rPr>
            </w:pPr>
            <w:r>
              <w:rPr>
                <w:sz w:val="20"/>
                <w:szCs w:val="20"/>
                <w:lang w:val="en-NZ"/>
              </w:rPr>
              <w:t>Mean inter-annual change</w:t>
            </w:r>
          </w:p>
        </w:tc>
        <w:tc>
          <w:tcPr>
            <w:tcW w:w="1221" w:type="dxa"/>
          </w:tcPr>
          <w:p w:rsidR="00FB4486" w:rsidRPr="00801EDF" w:rsidRDefault="00543184" w:rsidP="00A51148">
            <w:pPr>
              <w:suppressLineNumbers w:val="0"/>
              <w:spacing w:line="480" w:lineRule="auto"/>
              <w:rPr>
                <w:sz w:val="20"/>
                <w:szCs w:val="20"/>
                <w:lang w:val="en-NZ"/>
              </w:rPr>
            </w:pPr>
            <w:r>
              <w:rPr>
                <w:sz w:val="20"/>
                <w:szCs w:val="20"/>
                <w:lang w:val="en-NZ"/>
              </w:rPr>
              <w:t>-3%</w:t>
            </w:r>
          </w:p>
        </w:tc>
        <w:tc>
          <w:tcPr>
            <w:tcW w:w="1614" w:type="dxa"/>
          </w:tcPr>
          <w:p w:rsidR="00FB4486" w:rsidRDefault="00543184" w:rsidP="00A51148">
            <w:pPr>
              <w:suppressLineNumbers w:val="0"/>
              <w:spacing w:line="480" w:lineRule="auto"/>
              <w:rPr>
                <w:sz w:val="20"/>
                <w:szCs w:val="20"/>
                <w:lang w:val="en-NZ"/>
              </w:rPr>
            </w:pPr>
            <w:r>
              <w:rPr>
                <w:sz w:val="20"/>
                <w:szCs w:val="20"/>
                <w:lang w:val="en-NZ"/>
              </w:rPr>
              <w:t>+21%</w:t>
            </w:r>
          </w:p>
        </w:tc>
        <w:tc>
          <w:tcPr>
            <w:tcW w:w="2260" w:type="dxa"/>
          </w:tcPr>
          <w:p w:rsidR="00FB4486" w:rsidRPr="00801EDF" w:rsidRDefault="00543184" w:rsidP="00A51148">
            <w:pPr>
              <w:suppressLineNumbers w:val="0"/>
              <w:spacing w:line="480" w:lineRule="auto"/>
              <w:rPr>
                <w:sz w:val="20"/>
                <w:szCs w:val="20"/>
                <w:lang w:val="en-NZ"/>
              </w:rPr>
            </w:pPr>
            <w:r>
              <w:rPr>
                <w:sz w:val="20"/>
                <w:szCs w:val="20"/>
                <w:lang w:val="en-NZ"/>
              </w:rPr>
              <w:t>-2%</w:t>
            </w:r>
          </w:p>
        </w:tc>
        <w:tc>
          <w:tcPr>
            <w:tcW w:w="1425" w:type="dxa"/>
          </w:tcPr>
          <w:p w:rsidR="00FB4486" w:rsidRPr="00801EDF" w:rsidRDefault="00543184" w:rsidP="00A51148">
            <w:pPr>
              <w:suppressLineNumbers w:val="0"/>
              <w:spacing w:line="480" w:lineRule="auto"/>
              <w:rPr>
                <w:sz w:val="20"/>
                <w:szCs w:val="20"/>
                <w:lang w:val="en-NZ"/>
              </w:rPr>
            </w:pPr>
            <w:r>
              <w:rPr>
                <w:sz w:val="20"/>
                <w:szCs w:val="20"/>
                <w:lang w:val="en-NZ"/>
              </w:rPr>
              <w:t>-5%</w:t>
            </w:r>
          </w:p>
        </w:tc>
      </w:tr>
      <w:tr w:rsidR="00467706" w:rsidRPr="00F424ED" w:rsidTr="00B67D13">
        <w:trPr>
          <w:trHeight w:val="460"/>
          <w:jc w:val="center"/>
        </w:trPr>
        <w:tc>
          <w:tcPr>
            <w:tcW w:w="3545" w:type="dxa"/>
            <w:tcBorders>
              <w:bottom w:val="nil"/>
            </w:tcBorders>
          </w:tcPr>
          <w:p w:rsidR="00467706" w:rsidRDefault="00D0760D" w:rsidP="006846D2">
            <w:pPr>
              <w:suppressLineNumbers w:val="0"/>
              <w:spacing w:line="480" w:lineRule="auto"/>
              <w:rPr>
                <w:sz w:val="20"/>
                <w:szCs w:val="20"/>
                <w:lang w:val="en-NZ"/>
              </w:rPr>
            </w:pPr>
            <w:r>
              <w:rPr>
                <w:sz w:val="20"/>
                <w:szCs w:val="20"/>
                <w:lang w:val="en-NZ"/>
              </w:rPr>
              <w:t>Total l</w:t>
            </w:r>
            <w:r w:rsidR="00467706">
              <w:rPr>
                <w:sz w:val="20"/>
                <w:szCs w:val="20"/>
                <w:lang w:val="en-NZ"/>
              </w:rPr>
              <w:t>and</w:t>
            </w:r>
            <w:r w:rsidR="006846D2">
              <w:rPr>
                <w:sz w:val="20"/>
                <w:szCs w:val="20"/>
                <w:lang w:val="en-NZ"/>
              </w:rPr>
              <w:t>ed</w:t>
            </w:r>
            <w:r w:rsidR="00467706">
              <w:rPr>
                <w:sz w:val="20"/>
                <w:szCs w:val="20"/>
                <w:lang w:val="en-NZ"/>
              </w:rPr>
              <w:t xml:space="preserve"> value (</w:t>
            </w:r>
            <w:r w:rsidR="003F6538">
              <w:rPr>
                <w:sz w:val="20"/>
                <w:szCs w:val="20"/>
                <w:lang w:val="en-NZ"/>
              </w:rPr>
              <w:t>2005-2012</w:t>
            </w:r>
            <w:r w:rsidR="00467706">
              <w:rPr>
                <w:sz w:val="20"/>
                <w:szCs w:val="20"/>
                <w:lang w:val="en-NZ"/>
              </w:rPr>
              <w:t>)</w:t>
            </w:r>
            <w:r w:rsidR="005724D1">
              <w:rPr>
                <w:rStyle w:val="Fodnotehenvisning"/>
                <w:sz w:val="20"/>
                <w:szCs w:val="20"/>
                <w:lang w:val="en-NZ"/>
              </w:rPr>
              <w:footnoteReference w:id="3"/>
            </w:r>
          </w:p>
        </w:tc>
        <w:tc>
          <w:tcPr>
            <w:tcW w:w="2835" w:type="dxa"/>
          </w:tcPr>
          <w:p w:rsidR="00467706" w:rsidRPr="00F47A3A" w:rsidRDefault="00D0760D" w:rsidP="00A51148">
            <w:pPr>
              <w:suppressLineNumbers w:val="0"/>
              <w:spacing w:line="480" w:lineRule="auto"/>
              <w:rPr>
                <w:sz w:val="20"/>
                <w:szCs w:val="20"/>
                <w:lang w:val="en-NZ"/>
              </w:rPr>
            </w:pPr>
            <w:r>
              <w:rPr>
                <w:sz w:val="20"/>
                <w:szCs w:val="20"/>
                <w:lang w:val="en-NZ"/>
              </w:rPr>
              <w:t>Million US $</w:t>
            </w:r>
          </w:p>
        </w:tc>
        <w:tc>
          <w:tcPr>
            <w:tcW w:w="1221" w:type="dxa"/>
          </w:tcPr>
          <w:p w:rsidR="00467706" w:rsidRPr="00F47A3A" w:rsidRDefault="00D0760D" w:rsidP="00A51148">
            <w:pPr>
              <w:suppressLineNumbers w:val="0"/>
              <w:spacing w:line="480" w:lineRule="auto"/>
              <w:rPr>
                <w:sz w:val="20"/>
                <w:szCs w:val="20"/>
                <w:lang w:val="en-NZ"/>
              </w:rPr>
            </w:pPr>
            <w:r>
              <w:rPr>
                <w:sz w:val="20"/>
                <w:szCs w:val="20"/>
                <w:lang w:val="en-NZ"/>
              </w:rPr>
              <w:t>8</w:t>
            </w:r>
            <w:r w:rsidR="00467706">
              <w:rPr>
                <w:sz w:val="20"/>
                <w:szCs w:val="20"/>
                <w:lang w:val="en-NZ"/>
              </w:rPr>
              <w:t>,</w:t>
            </w:r>
            <w:r>
              <w:rPr>
                <w:sz w:val="20"/>
                <w:szCs w:val="20"/>
                <w:lang w:val="en-NZ"/>
              </w:rPr>
              <w:t>141</w:t>
            </w:r>
          </w:p>
        </w:tc>
        <w:tc>
          <w:tcPr>
            <w:tcW w:w="1614" w:type="dxa"/>
          </w:tcPr>
          <w:p w:rsidR="00467706" w:rsidRPr="00F47A3A" w:rsidRDefault="003F6538" w:rsidP="00A51148">
            <w:pPr>
              <w:suppressLineNumbers w:val="0"/>
              <w:spacing w:line="480" w:lineRule="auto"/>
              <w:rPr>
                <w:sz w:val="20"/>
                <w:szCs w:val="20"/>
                <w:lang w:val="en-NZ"/>
              </w:rPr>
            </w:pPr>
            <w:r>
              <w:rPr>
                <w:sz w:val="20"/>
                <w:szCs w:val="20"/>
                <w:lang w:val="en-NZ"/>
              </w:rPr>
              <w:t>1,158</w:t>
            </w:r>
          </w:p>
        </w:tc>
        <w:tc>
          <w:tcPr>
            <w:tcW w:w="2260" w:type="dxa"/>
          </w:tcPr>
          <w:p w:rsidR="00467706" w:rsidRPr="00F47A3A" w:rsidRDefault="003F6538" w:rsidP="00A51148">
            <w:pPr>
              <w:suppressLineNumbers w:val="0"/>
              <w:spacing w:line="480" w:lineRule="auto"/>
              <w:rPr>
                <w:sz w:val="20"/>
                <w:szCs w:val="20"/>
                <w:lang w:val="en-NZ"/>
              </w:rPr>
            </w:pPr>
            <w:r>
              <w:rPr>
                <w:sz w:val="20"/>
                <w:szCs w:val="20"/>
                <w:lang w:val="en-NZ"/>
              </w:rPr>
              <w:t>275</w:t>
            </w:r>
          </w:p>
        </w:tc>
        <w:tc>
          <w:tcPr>
            <w:tcW w:w="1425" w:type="dxa"/>
          </w:tcPr>
          <w:p w:rsidR="00467706" w:rsidRPr="00F47A3A" w:rsidRDefault="00467706" w:rsidP="00A51148">
            <w:pPr>
              <w:suppressLineNumbers w:val="0"/>
              <w:spacing w:line="480" w:lineRule="auto"/>
              <w:rPr>
                <w:sz w:val="20"/>
                <w:szCs w:val="20"/>
                <w:lang w:val="en-NZ"/>
              </w:rPr>
            </w:pPr>
            <w:r>
              <w:rPr>
                <w:sz w:val="20"/>
                <w:szCs w:val="20"/>
                <w:lang w:val="en-NZ"/>
              </w:rPr>
              <w:t>1,1</w:t>
            </w:r>
            <w:r w:rsidR="003F6538">
              <w:rPr>
                <w:sz w:val="20"/>
                <w:szCs w:val="20"/>
                <w:lang w:val="en-NZ"/>
              </w:rPr>
              <w:t>87</w:t>
            </w:r>
          </w:p>
        </w:tc>
      </w:tr>
      <w:tr w:rsidR="00467706" w:rsidRPr="00F424ED" w:rsidTr="00B67D13">
        <w:trPr>
          <w:trHeight w:val="460"/>
          <w:jc w:val="center"/>
        </w:trPr>
        <w:tc>
          <w:tcPr>
            <w:tcW w:w="3545" w:type="dxa"/>
            <w:tcBorders>
              <w:bottom w:val="nil"/>
            </w:tcBorders>
          </w:tcPr>
          <w:p w:rsidR="00467706" w:rsidRDefault="00467706" w:rsidP="00A51148">
            <w:pPr>
              <w:suppressLineNumbers w:val="0"/>
              <w:spacing w:line="480" w:lineRule="auto"/>
              <w:rPr>
                <w:sz w:val="20"/>
                <w:szCs w:val="20"/>
                <w:lang w:val="en-NZ"/>
              </w:rPr>
            </w:pPr>
            <w:r>
              <w:rPr>
                <w:sz w:val="20"/>
                <w:szCs w:val="20"/>
                <w:lang w:val="en-NZ"/>
              </w:rPr>
              <w:t xml:space="preserve">Trade </w:t>
            </w:r>
            <w:r w:rsidR="003F6538">
              <w:rPr>
                <w:sz w:val="20"/>
                <w:szCs w:val="20"/>
                <w:lang w:val="en-NZ"/>
              </w:rPr>
              <w:t>(2005-</w:t>
            </w:r>
            <w:r>
              <w:rPr>
                <w:sz w:val="20"/>
                <w:szCs w:val="20"/>
                <w:lang w:val="en-NZ"/>
              </w:rPr>
              <w:t>201</w:t>
            </w:r>
            <w:r w:rsidR="003F6538">
              <w:rPr>
                <w:sz w:val="20"/>
                <w:szCs w:val="20"/>
                <w:lang w:val="en-NZ"/>
              </w:rPr>
              <w:t>2)</w:t>
            </w:r>
            <w:r w:rsidR="005724D1" w:rsidRPr="005724D1">
              <w:rPr>
                <w:sz w:val="20"/>
                <w:szCs w:val="20"/>
                <w:vertAlign w:val="superscript"/>
                <w:lang w:val="en-NZ"/>
              </w:rPr>
              <w:t>3</w:t>
            </w:r>
          </w:p>
        </w:tc>
        <w:tc>
          <w:tcPr>
            <w:tcW w:w="2835" w:type="dxa"/>
          </w:tcPr>
          <w:p w:rsidR="00467706" w:rsidRPr="00F47A3A" w:rsidRDefault="003F6538" w:rsidP="00A51148">
            <w:pPr>
              <w:suppressLineNumbers w:val="0"/>
              <w:spacing w:line="480" w:lineRule="auto"/>
              <w:rPr>
                <w:sz w:val="20"/>
                <w:szCs w:val="20"/>
                <w:lang w:val="en-NZ"/>
              </w:rPr>
            </w:pPr>
            <w:r>
              <w:rPr>
                <w:sz w:val="20"/>
                <w:szCs w:val="20"/>
                <w:lang w:val="en-NZ"/>
              </w:rPr>
              <w:t>I</w:t>
            </w:r>
            <w:r w:rsidR="00467706">
              <w:rPr>
                <w:sz w:val="20"/>
                <w:szCs w:val="20"/>
                <w:lang w:val="en-NZ"/>
              </w:rPr>
              <w:t>mports</w:t>
            </w:r>
            <w:r>
              <w:rPr>
                <w:sz w:val="20"/>
                <w:szCs w:val="20"/>
                <w:lang w:val="en-NZ"/>
              </w:rPr>
              <w:t xml:space="preserve"> (Million US $)</w:t>
            </w:r>
          </w:p>
        </w:tc>
        <w:tc>
          <w:tcPr>
            <w:tcW w:w="1221" w:type="dxa"/>
          </w:tcPr>
          <w:p w:rsidR="00467706" w:rsidRPr="00F47A3A" w:rsidRDefault="00467706" w:rsidP="00A51148">
            <w:pPr>
              <w:suppressLineNumbers w:val="0"/>
              <w:spacing w:line="480" w:lineRule="auto"/>
              <w:rPr>
                <w:sz w:val="20"/>
                <w:szCs w:val="20"/>
                <w:lang w:val="en-NZ"/>
              </w:rPr>
            </w:pPr>
            <w:r>
              <w:rPr>
                <w:sz w:val="20"/>
                <w:szCs w:val="20"/>
                <w:lang w:val="en-NZ"/>
              </w:rPr>
              <w:t>22,</w:t>
            </w:r>
            <w:r w:rsidR="003F6538">
              <w:rPr>
                <w:sz w:val="20"/>
                <w:szCs w:val="20"/>
                <w:lang w:val="en-NZ"/>
              </w:rPr>
              <w:t>855</w:t>
            </w:r>
          </w:p>
        </w:tc>
        <w:tc>
          <w:tcPr>
            <w:tcW w:w="1614" w:type="dxa"/>
          </w:tcPr>
          <w:p w:rsidR="00467706" w:rsidRPr="00F47A3A" w:rsidRDefault="003F6538" w:rsidP="00A51148">
            <w:pPr>
              <w:suppressLineNumbers w:val="0"/>
              <w:spacing w:line="480" w:lineRule="auto"/>
              <w:rPr>
                <w:sz w:val="20"/>
                <w:szCs w:val="20"/>
                <w:lang w:val="en-NZ"/>
              </w:rPr>
            </w:pPr>
            <w:r>
              <w:rPr>
                <w:sz w:val="20"/>
                <w:szCs w:val="20"/>
                <w:lang w:val="en-NZ"/>
              </w:rPr>
              <w:t>9</w:t>
            </w:r>
            <w:r w:rsidR="00467706">
              <w:rPr>
                <w:sz w:val="20"/>
                <w:szCs w:val="20"/>
                <w:lang w:val="en-NZ"/>
              </w:rPr>
              <w:t>6</w:t>
            </w:r>
          </w:p>
        </w:tc>
        <w:tc>
          <w:tcPr>
            <w:tcW w:w="2260" w:type="dxa"/>
          </w:tcPr>
          <w:p w:rsidR="00467706" w:rsidRPr="00F47A3A" w:rsidRDefault="00467706" w:rsidP="00A51148">
            <w:pPr>
              <w:suppressLineNumbers w:val="0"/>
              <w:spacing w:line="480" w:lineRule="auto"/>
              <w:rPr>
                <w:sz w:val="20"/>
                <w:szCs w:val="20"/>
                <w:lang w:val="en-NZ"/>
              </w:rPr>
            </w:pPr>
            <w:r>
              <w:rPr>
                <w:sz w:val="20"/>
                <w:szCs w:val="20"/>
                <w:lang w:val="en-NZ"/>
              </w:rPr>
              <w:t>1</w:t>
            </w:r>
            <w:r w:rsidR="003F6538">
              <w:rPr>
                <w:sz w:val="20"/>
                <w:szCs w:val="20"/>
                <w:lang w:val="en-NZ"/>
              </w:rPr>
              <w:t>0</w:t>
            </w:r>
            <w:r>
              <w:rPr>
                <w:sz w:val="20"/>
                <w:szCs w:val="20"/>
                <w:lang w:val="en-NZ"/>
              </w:rPr>
              <w:t>2</w:t>
            </w:r>
          </w:p>
        </w:tc>
        <w:tc>
          <w:tcPr>
            <w:tcW w:w="1425" w:type="dxa"/>
          </w:tcPr>
          <w:p w:rsidR="00467706" w:rsidRPr="00F47A3A" w:rsidRDefault="00467706" w:rsidP="00A51148">
            <w:pPr>
              <w:suppressLineNumbers w:val="0"/>
              <w:spacing w:line="480" w:lineRule="auto"/>
              <w:rPr>
                <w:sz w:val="20"/>
                <w:szCs w:val="20"/>
                <w:lang w:val="en-NZ"/>
              </w:rPr>
            </w:pPr>
            <w:r>
              <w:rPr>
                <w:sz w:val="20"/>
                <w:szCs w:val="20"/>
                <w:lang w:val="en-NZ"/>
              </w:rPr>
              <w:t>1,</w:t>
            </w:r>
            <w:r w:rsidR="003F6538">
              <w:rPr>
                <w:sz w:val="20"/>
                <w:szCs w:val="20"/>
                <w:lang w:val="en-NZ"/>
              </w:rPr>
              <w:t>137</w:t>
            </w:r>
          </w:p>
        </w:tc>
      </w:tr>
      <w:tr w:rsidR="00467706" w:rsidRPr="00F424ED" w:rsidTr="00B67D13">
        <w:trPr>
          <w:trHeight w:val="460"/>
          <w:jc w:val="center"/>
        </w:trPr>
        <w:tc>
          <w:tcPr>
            <w:tcW w:w="3545" w:type="dxa"/>
            <w:tcBorders>
              <w:top w:val="nil"/>
              <w:bottom w:val="nil"/>
            </w:tcBorders>
          </w:tcPr>
          <w:p w:rsidR="00467706" w:rsidRDefault="00467706" w:rsidP="00A51148">
            <w:pPr>
              <w:suppressLineNumbers w:val="0"/>
              <w:spacing w:line="480" w:lineRule="auto"/>
              <w:rPr>
                <w:sz w:val="20"/>
                <w:szCs w:val="20"/>
                <w:lang w:val="en-NZ"/>
              </w:rPr>
            </w:pPr>
          </w:p>
        </w:tc>
        <w:tc>
          <w:tcPr>
            <w:tcW w:w="2835" w:type="dxa"/>
          </w:tcPr>
          <w:p w:rsidR="00467706" w:rsidRPr="00F47A3A" w:rsidRDefault="003F6538" w:rsidP="00A51148">
            <w:pPr>
              <w:suppressLineNumbers w:val="0"/>
              <w:spacing w:line="480" w:lineRule="auto"/>
              <w:rPr>
                <w:sz w:val="20"/>
                <w:szCs w:val="20"/>
                <w:lang w:val="en-NZ"/>
              </w:rPr>
            </w:pPr>
            <w:r>
              <w:rPr>
                <w:sz w:val="20"/>
                <w:szCs w:val="20"/>
                <w:lang w:val="en-NZ"/>
              </w:rPr>
              <w:t>E</w:t>
            </w:r>
            <w:r w:rsidR="00467706">
              <w:rPr>
                <w:sz w:val="20"/>
                <w:szCs w:val="20"/>
                <w:lang w:val="en-NZ"/>
              </w:rPr>
              <w:t>xports</w:t>
            </w:r>
            <w:r>
              <w:rPr>
                <w:sz w:val="20"/>
                <w:szCs w:val="20"/>
                <w:lang w:val="en-NZ"/>
              </w:rPr>
              <w:t xml:space="preserve"> (Million US $)</w:t>
            </w:r>
          </w:p>
        </w:tc>
        <w:tc>
          <w:tcPr>
            <w:tcW w:w="1221" w:type="dxa"/>
          </w:tcPr>
          <w:p w:rsidR="00467706" w:rsidRPr="00F47A3A" w:rsidRDefault="003F6538" w:rsidP="00A51148">
            <w:pPr>
              <w:suppressLineNumbers w:val="0"/>
              <w:spacing w:line="480" w:lineRule="auto"/>
              <w:rPr>
                <w:sz w:val="20"/>
                <w:szCs w:val="20"/>
                <w:lang w:val="en-NZ"/>
              </w:rPr>
            </w:pPr>
            <w:r>
              <w:rPr>
                <w:sz w:val="20"/>
                <w:szCs w:val="20"/>
                <w:lang w:val="en-NZ"/>
              </w:rPr>
              <w:t>4</w:t>
            </w:r>
            <w:r w:rsidR="00467706">
              <w:rPr>
                <w:sz w:val="20"/>
                <w:szCs w:val="20"/>
                <w:lang w:val="en-NZ"/>
              </w:rPr>
              <w:t>,</w:t>
            </w:r>
            <w:r>
              <w:rPr>
                <w:sz w:val="20"/>
                <w:szCs w:val="20"/>
                <w:lang w:val="en-NZ"/>
              </w:rPr>
              <w:t>051</w:t>
            </w:r>
          </w:p>
        </w:tc>
        <w:tc>
          <w:tcPr>
            <w:tcW w:w="1614" w:type="dxa"/>
          </w:tcPr>
          <w:p w:rsidR="00467706" w:rsidRPr="00F47A3A" w:rsidRDefault="00467706" w:rsidP="00A51148">
            <w:pPr>
              <w:suppressLineNumbers w:val="0"/>
              <w:spacing w:line="480" w:lineRule="auto"/>
              <w:rPr>
                <w:sz w:val="20"/>
                <w:szCs w:val="20"/>
                <w:lang w:val="en-NZ"/>
              </w:rPr>
            </w:pPr>
            <w:r>
              <w:rPr>
                <w:sz w:val="20"/>
                <w:szCs w:val="20"/>
                <w:lang w:val="en-NZ"/>
              </w:rPr>
              <w:t>1,</w:t>
            </w:r>
            <w:r w:rsidR="003F6538">
              <w:rPr>
                <w:sz w:val="20"/>
                <w:szCs w:val="20"/>
                <w:lang w:val="en-NZ"/>
              </w:rPr>
              <w:t>951</w:t>
            </w:r>
          </w:p>
        </w:tc>
        <w:tc>
          <w:tcPr>
            <w:tcW w:w="2260" w:type="dxa"/>
          </w:tcPr>
          <w:p w:rsidR="00467706" w:rsidRPr="00F47A3A" w:rsidRDefault="003F6538" w:rsidP="00A51148">
            <w:pPr>
              <w:suppressLineNumbers w:val="0"/>
              <w:spacing w:line="480" w:lineRule="auto"/>
              <w:rPr>
                <w:sz w:val="20"/>
                <w:szCs w:val="20"/>
                <w:lang w:val="en-NZ"/>
              </w:rPr>
            </w:pPr>
            <w:r>
              <w:rPr>
                <w:sz w:val="20"/>
                <w:szCs w:val="20"/>
                <w:lang w:val="en-NZ"/>
              </w:rPr>
              <w:t>907</w:t>
            </w:r>
          </w:p>
        </w:tc>
        <w:tc>
          <w:tcPr>
            <w:tcW w:w="1425" w:type="dxa"/>
          </w:tcPr>
          <w:p w:rsidR="00467706" w:rsidRPr="00F47A3A" w:rsidRDefault="00467706" w:rsidP="00A51148">
            <w:pPr>
              <w:suppressLineNumbers w:val="0"/>
              <w:spacing w:line="480" w:lineRule="auto"/>
              <w:rPr>
                <w:sz w:val="20"/>
                <w:szCs w:val="20"/>
                <w:lang w:val="en-NZ"/>
              </w:rPr>
            </w:pPr>
            <w:r>
              <w:rPr>
                <w:sz w:val="20"/>
                <w:szCs w:val="20"/>
                <w:lang w:val="en-NZ"/>
              </w:rPr>
              <w:t>9</w:t>
            </w:r>
            <w:r w:rsidR="003F6538">
              <w:rPr>
                <w:sz w:val="20"/>
                <w:szCs w:val="20"/>
                <w:lang w:val="en-NZ"/>
              </w:rPr>
              <w:t>24</w:t>
            </w:r>
          </w:p>
        </w:tc>
      </w:tr>
      <w:tr w:rsidR="00467706" w:rsidRPr="00F424ED" w:rsidTr="00B67D13">
        <w:trPr>
          <w:trHeight w:val="460"/>
          <w:jc w:val="center"/>
        </w:trPr>
        <w:tc>
          <w:tcPr>
            <w:tcW w:w="3545" w:type="dxa"/>
            <w:tcBorders>
              <w:top w:val="nil"/>
              <w:bottom w:val="nil"/>
            </w:tcBorders>
          </w:tcPr>
          <w:p w:rsidR="00467706" w:rsidRDefault="00467706" w:rsidP="00A51148">
            <w:pPr>
              <w:suppressLineNumbers w:val="0"/>
              <w:spacing w:line="480" w:lineRule="auto"/>
              <w:rPr>
                <w:sz w:val="20"/>
                <w:szCs w:val="20"/>
                <w:lang w:val="en-NZ"/>
              </w:rPr>
            </w:pPr>
          </w:p>
        </w:tc>
        <w:tc>
          <w:tcPr>
            <w:tcW w:w="2835" w:type="dxa"/>
          </w:tcPr>
          <w:p w:rsidR="00467706" w:rsidRDefault="003F6538" w:rsidP="00A51148">
            <w:pPr>
              <w:suppressLineNumbers w:val="0"/>
              <w:spacing w:line="480" w:lineRule="auto"/>
              <w:rPr>
                <w:sz w:val="20"/>
                <w:szCs w:val="20"/>
                <w:lang w:val="en-NZ"/>
              </w:rPr>
            </w:pPr>
            <w:r>
              <w:rPr>
                <w:sz w:val="20"/>
                <w:szCs w:val="20"/>
                <w:lang w:val="en-NZ"/>
              </w:rPr>
              <w:t>B</w:t>
            </w:r>
            <w:r w:rsidR="00467706">
              <w:rPr>
                <w:sz w:val="20"/>
                <w:szCs w:val="20"/>
                <w:lang w:val="en-NZ"/>
              </w:rPr>
              <w:t>alance</w:t>
            </w:r>
            <w:r>
              <w:rPr>
                <w:sz w:val="20"/>
                <w:szCs w:val="20"/>
                <w:lang w:val="en-NZ"/>
              </w:rPr>
              <w:t xml:space="preserve"> (Million US $)</w:t>
            </w:r>
          </w:p>
        </w:tc>
        <w:tc>
          <w:tcPr>
            <w:tcW w:w="1221" w:type="dxa"/>
          </w:tcPr>
          <w:p w:rsidR="00467706" w:rsidRPr="00F47A3A" w:rsidRDefault="00467706" w:rsidP="00A51148">
            <w:pPr>
              <w:suppressLineNumbers w:val="0"/>
              <w:spacing w:line="480" w:lineRule="auto"/>
              <w:rPr>
                <w:sz w:val="20"/>
                <w:szCs w:val="20"/>
                <w:lang w:val="en-NZ"/>
              </w:rPr>
            </w:pPr>
            <w:r>
              <w:rPr>
                <w:sz w:val="20"/>
                <w:szCs w:val="20"/>
                <w:lang w:val="en-NZ"/>
              </w:rPr>
              <w:t>-18,</w:t>
            </w:r>
            <w:r w:rsidR="003F6538">
              <w:rPr>
                <w:sz w:val="20"/>
                <w:szCs w:val="20"/>
                <w:lang w:val="en-NZ"/>
              </w:rPr>
              <w:t>804</w:t>
            </w:r>
          </w:p>
        </w:tc>
        <w:tc>
          <w:tcPr>
            <w:tcW w:w="1614" w:type="dxa"/>
          </w:tcPr>
          <w:p w:rsidR="00467706" w:rsidRPr="00F47A3A" w:rsidRDefault="00467706" w:rsidP="00A51148">
            <w:pPr>
              <w:suppressLineNumbers w:val="0"/>
              <w:spacing w:line="480" w:lineRule="auto"/>
              <w:rPr>
                <w:sz w:val="20"/>
                <w:szCs w:val="20"/>
                <w:lang w:val="en-NZ"/>
              </w:rPr>
            </w:pPr>
            <w:r>
              <w:rPr>
                <w:sz w:val="20"/>
                <w:szCs w:val="20"/>
                <w:lang w:val="en-NZ"/>
              </w:rPr>
              <w:t>+1,</w:t>
            </w:r>
            <w:r w:rsidR="003F6538">
              <w:rPr>
                <w:sz w:val="20"/>
                <w:szCs w:val="20"/>
                <w:lang w:val="en-NZ"/>
              </w:rPr>
              <w:t>855</w:t>
            </w:r>
          </w:p>
        </w:tc>
        <w:tc>
          <w:tcPr>
            <w:tcW w:w="2260" w:type="dxa"/>
          </w:tcPr>
          <w:p w:rsidR="00467706" w:rsidRPr="00F47A3A" w:rsidRDefault="003F6538" w:rsidP="00A51148">
            <w:pPr>
              <w:suppressLineNumbers w:val="0"/>
              <w:spacing w:line="480" w:lineRule="auto"/>
              <w:rPr>
                <w:sz w:val="20"/>
                <w:szCs w:val="20"/>
                <w:lang w:val="en-NZ"/>
              </w:rPr>
            </w:pPr>
            <w:r>
              <w:rPr>
                <w:sz w:val="20"/>
                <w:szCs w:val="20"/>
                <w:lang w:val="en-NZ"/>
              </w:rPr>
              <w:t>805</w:t>
            </w:r>
          </w:p>
        </w:tc>
        <w:tc>
          <w:tcPr>
            <w:tcW w:w="1425" w:type="dxa"/>
          </w:tcPr>
          <w:p w:rsidR="00467706" w:rsidRPr="00F47A3A" w:rsidRDefault="00467706" w:rsidP="00A51148">
            <w:pPr>
              <w:suppressLineNumbers w:val="0"/>
              <w:spacing w:line="480" w:lineRule="auto"/>
              <w:rPr>
                <w:sz w:val="20"/>
                <w:szCs w:val="20"/>
                <w:lang w:val="en-NZ"/>
              </w:rPr>
            </w:pPr>
            <w:r>
              <w:rPr>
                <w:sz w:val="20"/>
                <w:szCs w:val="20"/>
                <w:lang w:val="en-NZ"/>
              </w:rPr>
              <w:t>-</w:t>
            </w:r>
            <w:r w:rsidR="003F6538">
              <w:rPr>
                <w:sz w:val="20"/>
                <w:szCs w:val="20"/>
                <w:lang w:val="en-NZ"/>
              </w:rPr>
              <w:t>213</w:t>
            </w:r>
          </w:p>
        </w:tc>
      </w:tr>
      <w:tr w:rsidR="003F6538" w:rsidRPr="00F424ED" w:rsidTr="00B67D13">
        <w:trPr>
          <w:trHeight w:val="460"/>
          <w:jc w:val="center"/>
        </w:trPr>
        <w:tc>
          <w:tcPr>
            <w:tcW w:w="3545" w:type="dxa"/>
            <w:tcBorders>
              <w:bottom w:val="nil"/>
            </w:tcBorders>
          </w:tcPr>
          <w:p w:rsidR="003F6538" w:rsidRDefault="003F6538" w:rsidP="00A51148">
            <w:pPr>
              <w:suppressLineNumbers w:val="0"/>
              <w:spacing w:line="480" w:lineRule="auto"/>
              <w:rPr>
                <w:sz w:val="20"/>
                <w:szCs w:val="20"/>
                <w:lang w:val="en-NZ"/>
              </w:rPr>
            </w:pPr>
            <w:r>
              <w:rPr>
                <w:sz w:val="20"/>
                <w:szCs w:val="20"/>
                <w:lang w:val="en-NZ"/>
              </w:rPr>
              <w:t>Government transfers (2005-2012)</w:t>
            </w:r>
            <w:r w:rsidR="005724D1" w:rsidRPr="005724D1">
              <w:rPr>
                <w:sz w:val="20"/>
                <w:szCs w:val="20"/>
                <w:vertAlign w:val="superscript"/>
                <w:lang w:val="en-NZ"/>
              </w:rPr>
              <w:t xml:space="preserve"> 3</w:t>
            </w:r>
          </w:p>
        </w:tc>
        <w:tc>
          <w:tcPr>
            <w:tcW w:w="2835" w:type="dxa"/>
          </w:tcPr>
          <w:p w:rsidR="003F6538" w:rsidRPr="00F47A3A" w:rsidRDefault="003F6538" w:rsidP="00A51148">
            <w:pPr>
              <w:suppressLineNumbers w:val="0"/>
              <w:spacing w:line="480" w:lineRule="auto"/>
              <w:rPr>
                <w:sz w:val="20"/>
                <w:szCs w:val="20"/>
                <w:lang w:val="en-NZ"/>
              </w:rPr>
            </w:pPr>
            <w:r>
              <w:rPr>
                <w:sz w:val="20"/>
                <w:szCs w:val="20"/>
                <w:lang w:val="en-NZ"/>
              </w:rPr>
              <w:t>Total (Million US $)</w:t>
            </w:r>
          </w:p>
        </w:tc>
        <w:tc>
          <w:tcPr>
            <w:tcW w:w="1221" w:type="dxa"/>
          </w:tcPr>
          <w:p w:rsidR="003F6538" w:rsidRPr="00F47A3A" w:rsidRDefault="00C61251" w:rsidP="00A51148">
            <w:pPr>
              <w:suppressLineNumbers w:val="0"/>
              <w:spacing w:line="480" w:lineRule="auto"/>
              <w:rPr>
                <w:sz w:val="20"/>
                <w:szCs w:val="20"/>
                <w:lang w:val="en-NZ"/>
              </w:rPr>
            </w:pPr>
            <w:r>
              <w:rPr>
                <w:sz w:val="20"/>
                <w:szCs w:val="20"/>
                <w:lang w:val="en-NZ"/>
              </w:rPr>
              <w:t>1</w:t>
            </w:r>
            <w:r w:rsidR="003F6538">
              <w:rPr>
                <w:sz w:val="20"/>
                <w:szCs w:val="20"/>
                <w:lang w:val="en-NZ"/>
              </w:rPr>
              <w:t>,</w:t>
            </w:r>
            <w:r>
              <w:rPr>
                <w:sz w:val="20"/>
                <w:szCs w:val="20"/>
                <w:lang w:val="en-NZ"/>
              </w:rPr>
              <w:t>123</w:t>
            </w:r>
          </w:p>
        </w:tc>
        <w:tc>
          <w:tcPr>
            <w:tcW w:w="1614" w:type="dxa"/>
          </w:tcPr>
          <w:p w:rsidR="003F6538" w:rsidRPr="00F47A3A" w:rsidRDefault="00C61251" w:rsidP="00A51148">
            <w:pPr>
              <w:suppressLineNumbers w:val="0"/>
              <w:spacing w:line="480" w:lineRule="auto"/>
              <w:rPr>
                <w:sz w:val="20"/>
                <w:szCs w:val="20"/>
                <w:lang w:val="en-NZ"/>
              </w:rPr>
            </w:pPr>
            <w:r>
              <w:rPr>
                <w:sz w:val="20"/>
                <w:szCs w:val="20"/>
                <w:lang w:val="en-NZ"/>
              </w:rPr>
              <w:t>24</w:t>
            </w:r>
          </w:p>
        </w:tc>
        <w:tc>
          <w:tcPr>
            <w:tcW w:w="2260" w:type="dxa"/>
          </w:tcPr>
          <w:p w:rsidR="003F6538" w:rsidRPr="00F47A3A" w:rsidRDefault="00C61251" w:rsidP="00A51148">
            <w:pPr>
              <w:suppressLineNumbers w:val="0"/>
              <w:spacing w:line="480" w:lineRule="auto"/>
              <w:rPr>
                <w:sz w:val="20"/>
                <w:szCs w:val="20"/>
                <w:lang w:val="en-NZ"/>
              </w:rPr>
            </w:pPr>
            <w:r>
              <w:rPr>
                <w:sz w:val="20"/>
                <w:szCs w:val="20"/>
                <w:lang w:val="en-NZ"/>
              </w:rPr>
              <w:t>40</w:t>
            </w:r>
          </w:p>
        </w:tc>
        <w:tc>
          <w:tcPr>
            <w:tcW w:w="1425" w:type="dxa"/>
          </w:tcPr>
          <w:p w:rsidR="003F6538" w:rsidRPr="00F47A3A" w:rsidRDefault="00C61251" w:rsidP="00A51148">
            <w:pPr>
              <w:suppressLineNumbers w:val="0"/>
              <w:spacing w:line="480" w:lineRule="auto"/>
              <w:rPr>
                <w:sz w:val="20"/>
                <w:szCs w:val="20"/>
                <w:lang w:val="en-NZ"/>
              </w:rPr>
            </w:pPr>
            <w:r>
              <w:rPr>
                <w:sz w:val="20"/>
                <w:szCs w:val="20"/>
                <w:lang w:val="en-NZ"/>
              </w:rPr>
              <w:t>36</w:t>
            </w:r>
          </w:p>
        </w:tc>
      </w:tr>
      <w:tr w:rsidR="003F6538" w:rsidRPr="00F424ED" w:rsidTr="00B67D13">
        <w:trPr>
          <w:trHeight w:val="460"/>
          <w:jc w:val="center"/>
        </w:trPr>
        <w:tc>
          <w:tcPr>
            <w:tcW w:w="3545" w:type="dxa"/>
            <w:tcBorders>
              <w:top w:val="nil"/>
              <w:bottom w:val="nil"/>
            </w:tcBorders>
          </w:tcPr>
          <w:p w:rsidR="003F6538" w:rsidRDefault="003F6538" w:rsidP="00A51148">
            <w:pPr>
              <w:suppressLineNumbers w:val="0"/>
              <w:spacing w:line="480" w:lineRule="auto"/>
              <w:rPr>
                <w:sz w:val="20"/>
                <w:szCs w:val="20"/>
                <w:lang w:val="en-NZ"/>
              </w:rPr>
            </w:pPr>
          </w:p>
        </w:tc>
        <w:tc>
          <w:tcPr>
            <w:tcW w:w="2835" w:type="dxa"/>
          </w:tcPr>
          <w:p w:rsidR="003F6538" w:rsidRPr="00F47A3A" w:rsidRDefault="00C61251" w:rsidP="00A51148">
            <w:pPr>
              <w:suppressLineNumbers w:val="0"/>
              <w:spacing w:line="480" w:lineRule="auto"/>
              <w:rPr>
                <w:sz w:val="20"/>
                <w:szCs w:val="20"/>
                <w:lang w:val="en-NZ"/>
              </w:rPr>
            </w:pPr>
            <w:r>
              <w:rPr>
                <w:sz w:val="20"/>
                <w:szCs w:val="20"/>
                <w:lang w:val="en-NZ"/>
              </w:rPr>
              <w:t>Proportion of landing value (%</w:t>
            </w:r>
            <w:r w:rsidR="003F6538">
              <w:rPr>
                <w:sz w:val="20"/>
                <w:szCs w:val="20"/>
                <w:lang w:val="en-NZ"/>
              </w:rPr>
              <w:t>)</w:t>
            </w:r>
          </w:p>
        </w:tc>
        <w:tc>
          <w:tcPr>
            <w:tcW w:w="1221" w:type="dxa"/>
          </w:tcPr>
          <w:p w:rsidR="003F6538" w:rsidRPr="00F47A3A" w:rsidRDefault="00C61251" w:rsidP="00A51148">
            <w:pPr>
              <w:suppressLineNumbers w:val="0"/>
              <w:spacing w:line="480" w:lineRule="auto"/>
              <w:rPr>
                <w:sz w:val="20"/>
                <w:szCs w:val="20"/>
                <w:lang w:val="en-NZ"/>
              </w:rPr>
            </w:pPr>
            <w:r>
              <w:rPr>
                <w:sz w:val="20"/>
                <w:szCs w:val="20"/>
                <w:lang w:val="en-NZ"/>
              </w:rPr>
              <w:t>14%</w:t>
            </w:r>
          </w:p>
        </w:tc>
        <w:tc>
          <w:tcPr>
            <w:tcW w:w="1614" w:type="dxa"/>
          </w:tcPr>
          <w:p w:rsidR="003F6538" w:rsidRPr="00F47A3A" w:rsidRDefault="00C61251" w:rsidP="00A51148">
            <w:pPr>
              <w:suppressLineNumbers w:val="0"/>
              <w:spacing w:line="480" w:lineRule="auto"/>
              <w:rPr>
                <w:sz w:val="20"/>
                <w:szCs w:val="20"/>
                <w:lang w:val="en-NZ"/>
              </w:rPr>
            </w:pPr>
            <w:r>
              <w:rPr>
                <w:sz w:val="20"/>
                <w:szCs w:val="20"/>
                <w:lang w:val="en-NZ"/>
              </w:rPr>
              <w:t>2%</w:t>
            </w:r>
          </w:p>
        </w:tc>
        <w:tc>
          <w:tcPr>
            <w:tcW w:w="2260" w:type="dxa"/>
          </w:tcPr>
          <w:p w:rsidR="003F6538" w:rsidRPr="00F47A3A" w:rsidRDefault="00C61251" w:rsidP="00A51148">
            <w:pPr>
              <w:suppressLineNumbers w:val="0"/>
              <w:spacing w:line="480" w:lineRule="auto"/>
              <w:rPr>
                <w:sz w:val="20"/>
                <w:szCs w:val="20"/>
                <w:lang w:val="en-NZ"/>
              </w:rPr>
            </w:pPr>
            <w:r>
              <w:rPr>
                <w:sz w:val="20"/>
                <w:szCs w:val="20"/>
                <w:lang w:val="en-NZ"/>
              </w:rPr>
              <w:t>15%</w:t>
            </w:r>
          </w:p>
        </w:tc>
        <w:tc>
          <w:tcPr>
            <w:tcW w:w="1425" w:type="dxa"/>
          </w:tcPr>
          <w:p w:rsidR="003F6538" w:rsidRPr="00F47A3A" w:rsidRDefault="00C61251" w:rsidP="00A51148">
            <w:pPr>
              <w:suppressLineNumbers w:val="0"/>
              <w:spacing w:line="480" w:lineRule="auto"/>
              <w:rPr>
                <w:sz w:val="20"/>
                <w:szCs w:val="20"/>
                <w:lang w:val="en-NZ"/>
              </w:rPr>
            </w:pPr>
            <w:r>
              <w:rPr>
                <w:sz w:val="20"/>
                <w:szCs w:val="20"/>
                <w:lang w:val="en-NZ"/>
              </w:rPr>
              <w:t>3%</w:t>
            </w:r>
          </w:p>
        </w:tc>
      </w:tr>
      <w:tr w:rsidR="003F6538" w:rsidRPr="00F424ED" w:rsidTr="00B67D13">
        <w:trPr>
          <w:trHeight w:val="460"/>
          <w:jc w:val="center"/>
        </w:trPr>
        <w:tc>
          <w:tcPr>
            <w:tcW w:w="3545" w:type="dxa"/>
            <w:tcBorders>
              <w:top w:val="nil"/>
              <w:bottom w:val="nil"/>
            </w:tcBorders>
          </w:tcPr>
          <w:p w:rsidR="003F6538" w:rsidRDefault="003F6538" w:rsidP="00A51148">
            <w:pPr>
              <w:suppressLineNumbers w:val="0"/>
              <w:spacing w:line="480" w:lineRule="auto"/>
              <w:rPr>
                <w:sz w:val="20"/>
                <w:szCs w:val="20"/>
                <w:lang w:val="en-NZ"/>
              </w:rPr>
            </w:pPr>
          </w:p>
        </w:tc>
        <w:tc>
          <w:tcPr>
            <w:tcW w:w="2835" w:type="dxa"/>
          </w:tcPr>
          <w:p w:rsidR="003F6538" w:rsidRDefault="00C61251" w:rsidP="00A51148">
            <w:pPr>
              <w:suppressLineNumbers w:val="0"/>
              <w:spacing w:line="480" w:lineRule="auto"/>
              <w:rPr>
                <w:sz w:val="20"/>
                <w:szCs w:val="20"/>
                <w:lang w:val="en-NZ"/>
              </w:rPr>
            </w:pPr>
            <w:r>
              <w:rPr>
                <w:sz w:val="20"/>
                <w:szCs w:val="20"/>
                <w:lang w:val="en-NZ"/>
              </w:rPr>
              <w:t>Subsidies (% of total transfers</w:t>
            </w:r>
            <w:r w:rsidR="008556BA">
              <w:rPr>
                <w:sz w:val="20"/>
                <w:szCs w:val="20"/>
                <w:lang w:val="en-NZ"/>
              </w:rPr>
              <w:t>)</w:t>
            </w:r>
          </w:p>
        </w:tc>
        <w:tc>
          <w:tcPr>
            <w:tcW w:w="1221" w:type="dxa"/>
          </w:tcPr>
          <w:p w:rsidR="003F6538" w:rsidRPr="00F47A3A" w:rsidRDefault="00C61251" w:rsidP="00A51148">
            <w:pPr>
              <w:suppressLineNumbers w:val="0"/>
              <w:spacing w:line="480" w:lineRule="auto"/>
              <w:rPr>
                <w:sz w:val="20"/>
                <w:szCs w:val="20"/>
                <w:lang w:val="en-NZ"/>
              </w:rPr>
            </w:pPr>
            <w:r>
              <w:rPr>
                <w:sz w:val="20"/>
                <w:szCs w:val="20"/>
                <w:lang w:val="en-NZ"/>
              </w:rPr>
              <w:t>50%</w:t>
            </w:r>
          </w:p>
        </w:tc>
        <w:tc>
          <w:tcPr>
            <w:tcW w:w="1614" w:type="dxa"/>
          </w:tcPr>
          <w:p w:rsidR="003F6538" w:rsidRPr="00F47A3A" w:rsidRDefault="00C61251" w:rsidP="00A51148">
            <w:pPr>
              <w:suppressLineNumbers w:val="0"/>
              <w:spacing w:line="480" w:lineRule="auto"/>
              <w:rPr>
                <w:sz w:val="20"/>
                <w:szCs w:val="20"/>
                <w:lang w:val="en-NZ"/>
              </w:rPr>
            </w:pPr>
            <w:r>
              <w:rPr>
                <w:sz w:val="20"/>
                <w:szCs w:val="20"/>
                <w:lang w:val="en-NZ"/>
              </w:rPr>
              <w:t>27%</w:t>
            </w:r>
          </w:p>
        </w:tc>
        <w:tc>
          <w:tcPr>
            <w:tcW w:w="2260" w:type="dxa"/>
          </w:tcPr>
          <w:p w:rsidR="003F6538" w:rsidRPr="00F47A3A" w:rsidRDefault="00C61251" w:rsidP="00A51148">
            <w:pPr>
              <w:suppressLineNumbers w:val="0"/>
              <w:spacing w:line="480" w:lineRule="auto"/>
              <w:rPr>
                <w:sz w:val="20"/>
                <w:szCs w:val="20"/>
                <w:lang w:val="en-NZ"/>
              </w:rPr>
            </w:pPr>
            <w:r>
              <w:rPr>
                <w:sz w:val="20"/>
                <w:szCs w:val="20"/>
                <w:lang w:val="en-NZ"/>
              </w:rPr>
              <w:t>0%</w:t>
            </w:r>
          </w:p>
        </w:tc>
        <w:tc>
          <w:tcPr>
            <w:tcW w:w="1425" w:type="dxa"/>
          </w:tcPr>
          <w:p w:rsidR="003F6538" w:rsidRPr="00F47A3A" w:rsidRDefault="00C61251" w:rsidP="00A51148">
            <w:pPr>
              <w:suppressLineNumbers w:val="0"/>
              <w:spacing w:line="480" w:lineRule="auto"/>
              <w:rPr>
                <w:sz w:val="20"/>
                <w:szCs w:val="20"/>
                <w:lang w:val="en-NZ"/>
              </w:rPr>
            </w:pPr>
            <w:r>
              <w:rPr>
                <w:sz w:val="20"/>
                <w:szCs w:val="20"/>
                <w:lang w:val="en-NZ"/>
              </w:rPr>
              <w:t>0%</w:t>
            </w:r>
          </w:p>
        </w:tc>
      </w:tr>
      <w:tr w:rsidR="00C61251" w:rsidRPr="00F424ED" w:rsidTr="00B67D13">
        <w:trPr>
          <w:trHeight w:val="460"/>
          <w:jc w:val="center"/>
        </w:trPr>
        <w:tc>
          <w:tcPr>
            <w:tcW w:w="3545" w:type="dxa"/>
            <w:tcBorders>
              <w:top w:val="nil"/>
            </w:tcBorders>
          </w:tcPr>
          <w:p w:rsidR="00C61251" w:rsidRDefault="00C61251" w:rsidP="00A51148">
            <w:pPr>
              <w:suppressLineNumbers w:val="0"/>
              <w:spacing w:line="480" w:lineRule="auto"/>
              <w:rPr>
                <w:sz w:val="20"/>
                <w:szCs w:val="20"/>
                <w:lang w:val="en-NZ"/>
              </w:rPr>
            </w:pPr>
          </w:p>
        </w:tc>
        <w:tc>
          <w:tcPr>
            <w:tcW w:w="2835" w:type="dxa"/>
          </w:tcPr>
          <w:p w:rsidR="00C61251" w:rsidRDefault="00C61251" w:rsidP="00A51148">
            <w:pPr>
              <w:suppressLineNumbers w:val="0"/>
              <w:spacing w:line="480" w:lineRule="auto"/>
              <w:rPr>
                <w:sz w:val="20"/>
                <w:szCs w:val="20"/>
                <w:lang w:val="en-NZ"/>
              </w:rPr>
            </w:pPr>
            <w:r>
              <w:rPr>
                <w:sz w:val="20"/>
                <w:szCs w:val="20"/>
                <w:lang w:val="en-NZ"/>
              </w:rPr>
              <w:t>Cost recovery (%)</w:t>
            </w:r>
          </w:p>
        </w:tc>
        <w:tc>
          <w:tcPr>
            <w:tcW w:w="1221" w:type="dxa"/>
          </w:tcPr>
          <w:p w:rsidR="00C61251" w:rsidRDefault="00C61251" w:rsidP="00A51148">
            <w:pPr>
              <w:suppressLineNumbers w:val="0"/>
              <w:spacing w:line="480" w:lineRule="auto"/>
              <w:rPr>
                <w:sz w:val="20"/>
                <w:szCs w:val="20"/>
                <w:lang w:val="en-NZ"/>
              </w:rPr>
            </w:pPr>
            <w:r>
              <w:rPr>
                <w:sz w:val="20"/>
                <w:szCs w:val="20"/>
                <w:lang w:val="en-NZ"/>
              </w:rPr>
              <w:t>0%</w:t>
            </w:r>
          </w:p>
        </w:tc>
        <w:tc>
          <w:tcPr>
            <w:tcW w:w="1614" w:type="dxa"/>
          </w:tcPr>
          <w:p w:rsidR="00C61251" w:rsidRDefault="00C61251" w:rsidP="00A51148">
            <w:pPr>
              <w:suppressLineNumbers w:val="0"/>
              <w:spacing w:line="480" w:lineRule="auto"/>
              <w:rPr>
                <w:sz w:val="20"/>
                <w:szCs w:val="20"/>
                <w:lang w:val="en-NZ"/>
              </w:rPr>
            </w:pPr>
            <w:r>
              <w:rPr>
                <w:sz w:val="20"/>
                <w:szCs w:val="20"/>
                <w:lang w:val="en-NZ"/>
              </w:rPr>
              <w:t>65%</w:t>
            </w:r>
          </w:p>
        </w:tc>
        <w:tc>
          <w:tcPr>
            <w:tcW w:w="2260" w:type="dxa"/>
          </w:tcPr>
          <w:p w:rsidR="00C61251" w:rsidRDefault="00C61251" w:rsidP="00A51148">
            <w:pPr>
              <w:suppressLineNumbers w:val="0"/>
              <w:spacing w:line="480" w:lineRule="auto"/>
              <w:rPr>
                <w:sz w:val="20"/>
                <w:szCs w:val="20"/>
                <w:lang w:val="en-NZ"/>
              </w:rPr>
            </w:pPr>
            <w:r>
              <w:rPr>
                <w:sz w:val="20"/>
                <w:szCs w:val="20"/>
                <w:lang w:val="en-NZ"/>
              </w:rPr>
              <w:t>39%</w:t>
            </w:r>
          </w:p>
        </w:tc>
        <w:tc>
          <w:tcPr>
            <w:tcW w:w="1425" w:type="dxa"/>
          </w:tcPr>
          <w:p w:rsidR="00C61251" w:rsidRDefault="00C61251" w:rsidP="00A51148">
            <w:pPr>
              <w:suppressLineNumbers w:val="0"/>
              <w:spacing w:line="480" w:lineRule="auto"/>
              <w:rPr>
                <w:sz w:val="20"/>
                <w:szCs w:val="20"/>
                <w:lang w:val="en-NZ"/>
              </w:rPr>
            </w:pPr>
            <w:r>
              <w:rPr>
                <w:sz w:val="20"/>
                <w:szCs w:val="20"/>
                <w:lang w:val="en-NZ"/>
              </w:rPr>
              <w:t>36%</w:t>
            </w:r>
          </w:p>
        </w:tc>
      </w:tr>
    </w:tbl>
    <w:p w:rsidR="00467706" w:rsidRPr="00913DA4" w:rsidRDefault="00467706" w:rsidP="00A51148">
      <w:pPr>
        <w:suppressLineNumbers w:val="0"/>
        <w:spacing w:line="480" w:lineRule="auto"/>
        <w:rPr>
          <w:sz w:val="20"/>
          <w:lang w:val="en-US"/>
        </w:rPr>
      </w:pPr>
    </w:p>
    <w:p w:rsidR="00F82C2C" w:rsidRDefault="00F82C2C">
      <w:pPr>
        <w:widowControl/>
        <w:suppressLineNumbers w:val="0"/>
        <w:spacing w:before="0"/>
        <w:jc w:val="left"/>
        <w:rPr>
          <w:sz w:val="20"/>
          <w:lang w:val="en-NZ"/>
        </w:rPr>
      </w:pPr>
      <w:r>
        <w:rPr>
          <w:sz w:val="20"/>
          <w:lang w:val="en-NZ"/>
        </w:rPr>
        <w:br w:type="page"/>
      </w:r>
    </w:p>
    <w:p w:rsidR="00F82C2C" w:rsidRPr="008556BA" w:rsidRDefault="00F82C2C" w:rsidP="00F82C2C">
      <w:pPr>
        <w:suppressLineNumbers w:val="0"/>
        <w:spacing w:line="480" w:lineRule="auto"/>
        <w:rPr>
          <w:lang w:val="en-US"/>
        </w:rPr>
      </w:pPr>
      <w:r w:rsidRPr="00D378C9">
        <w:rPr>
          <w:b/>
          <w:lang w:val="en-US"/>
        </w:rPr>
        <w:lastRenderedPageBreak/>
        <w:t xml:space="preserve">Table </w:t>
      </w:r>
      <w:r>
        <w:rPr>
          <w:b/>
          <w:lang w:val="en-US"/>
        </w:rPr>
        <w:t>2</w:t>
      </w:r>
      <w:r w:rsidRPr="00D378C9">
        <w:rPr>
          <w:b/>
          <w:lang w:val="en-US"/>
        </w:rPr>
        <w:t>.</w:t>
      </w:r>
      <w:r w:rsidRPr="00D378C9">
        <w:rPr>
          <w:lang w:val="en-US"/>
        </w:rPr>
        <w:t xml:space="preserve"> </w:t>
      </w:r>
      <w:r>
        <w:rPr>
          <w:lang w:val="en-US"/>
        </w:rPr>
        <w:t>Summary of the key similarities and diff</w:t>
      </w:r>
      <w:r w:rsidR="0027385D">
        <w:rPr>
          <w:lang w:val="en-US"/>
        </w:rPr>
        <w:t>erences of the fishery managemen</w:t>
      </w:r>
      <w:r>
        <w:rPr>
          <w:lang w:val="en-US"/>
        </w:rPr>
        <w:t>t systems</w:t>
      </w:r>
      <w:r w:rsidR="0027385D">
        <w:rPr>
          <w:lang w:val="en-US"/>
        </w:rPr>
        <w:t xml:space="preserve"> in the EU, Iceland, New Zealand and Australia</w:t>
      </w:r>
      <w:r>
        <w:rPr>
          <w:rFonts w:cstheme="minorHAnsi"/>
          <w:lang w:val="en-US"/>
        </w:rPr>
        <w:t>.</w:t>
      </w:r>
    </w:p>
    <w:tbl>
      <w:tblPr>
        <w:tblStyle w:val="Tabel-Gitter"/>
        <w:tblW w:w="14877" w:type="dxa"/>
        <w:jc w:val="center"/>
        <w:tblInd w:w="-552"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734"/>
        <w:gridCol w:w="1803"/>
        <w:gridCol w:w="2976"/>
        <w:gridCol w:w="2862"/>
        <w:gridCol w:w="2765"/>
        <w:gridCol w:w="2737"/>
      </w:tblGrid>
      <w:tr w:rsidR="00203B6C" w:rsidRPr="005F2CBE" w:rsidTr="002655FB">
        <w:trPr>
          <w:jc w:val="center"/>
        </w:trPr>
        <w:tc>
          <w:tcPr>
            <w:tcW w:w="1734" w:type="dxa"/>
            <w:tcBorders>
              <w:top w:val="nil"/>
              <w:bottom w:val="single" w:sz="4" w:space="0" w:color="auto"/>
            </w:tcBorders>
          </w:tcPr>
          <w:p w:rsidR="008A7994" w:rsidRPr="008556BA" w:rsidRDefault="008A7994" w:rsidP="00F82C2C">
            <w:pPr>
              <w:suppressLineNumbers w:val="0"/>
              <w:spacing w:line="480" w:lineRule="auto"/>
              <w:rPr>
                <w:b/>
                <w:sz w:val="20"/>
                <w:szCs w:val="20"/>
                <w:lang w:val="en-US"/>
              </w:rPr>
            </w:pPr>
          </w:p>
        </w:tc>
        <w:tc>
          <w:tcPr>
            <w:tcW w:w="1803" w:type="dxa"/>
            <w:tcBorders>
              <w:top w:val="nil"/>
              <w:bottom w:val="single" w:sz="4" w:space="0" w:color="auto"/>
            </w:tcBorders>
          </w:tcPr>
          <w:p w:rsidR="008A7994" w:rsidRDefault="008A7994" w:rsidP="00F82C2C">
            <w:pPr>
              <w:suppressLineNumbers w:val="0"/>
              <w:spacing w:line="480" w:lineRule="auto"/>
              <w:rPr>
                <w:b/>
                <w:sz w:val="20"/>
                <w:szCs w:val="20"/>
                <w:lang w:val="en-NZ"/>
              </w:rPr>
            </w:pPr>
          </w:p>
        </w:tc>
        <w:tc>
          <w:tcPr>
            <w:tcW w:w="2976" w:type="dxa"/>
            <w:tcBorders>
              <w:top w:val="nil"/>
              <w:bottom w:val="single" w:sz="4" w:space="0" w:color="auto"/>
            </w:tcBorders>
          </w:tcPr>
          <w:p w:rsidR="008A7994" w:rsidRPr="005F2CBE" w:rsidRDefault="008A7994" w:rsidP="00F82C2C">
            <w:pPr>
              <w:suppressLineNumbers w:val="0"/>
              <w:spacing w:line="480" w:lineRule="auto"/>
              <w:rPr>
                <w:b/>
                <w:sz w:val="20"/>
                <w:szCs w:val="20"/>
                <w:lang w:val="en-NZ"/>
              </w:rPr>
            </w:pPr>
            <w:r>
              <w:rPr>
                <w:b/>
                <w:sz w:val="20"/>
                <w:szCs w:val="20"/>
                <w:lang w:val="en-NZ"/>
              </w:rPr>
              <w:t>EU</w:t>
            </w:r>
          </w:p>
        </w:tc>
        <w:tc>
          <w:tcPr>
            <w:tcW w:w="2862" w:type="dxa"/>
            <w:tcBorders>
              <w:top w:val="nil"/>
              <w:bottom w:val="single" w:sz="4" w:space="0" w:color="auto"/>
            </w:tcBorders>
          </w:tcPr>
          <w:p w:rsidR="008A7994" w:rsidRPr="005F2CBE" w:rsidRDefault="008A7994" w:rsidP="00F82C2C">
            <w:pPr>
              <w:suppressLineNumbers w:val="0"/>
              <w:spacing w:line="480" w:lineRule="auto"/>
              <w:rPr>
                <w:b/>
                <w:sz w:val="20"/>
                <w:szCs w:val="20"/>
                <w:lang w:val="en-NZ"/>
              </w:rPr>
            </w:pPr>
            <w:r w:rsidRPr="005F2CBE">
              <w:rPr>
                <w:b/>
                <w:sz w:val="20"/>
                <w:szCs w:val="20"/>
                <w:lang w:val="en-NZ"/>
              </w:rPr>
              <w:t>Iceland</w:t>
            </w:r>
          </w:p>
        </w:tc>
        <w:tc>
          <w:tcPr>
            <w:tcW w:w="2765" w:type="dxa"/>
            <w:tcBorders>
              <w:top w:val="nil"/>
              <w:bottom w:val="single" w:sz="4" w:space="0" w:color="auto"/>
            </w:tcBorders>
          </w:tcPr>
          <w:p w:rsidR="008A7994" w:rsidRPr="005F2CBE" w:rsidRDefault="008A7994" w:rsidP="00F82C2C">
            <w:pPr>
              <w:suppressLineNumbers w:val="0"/>
              <w:spacing w:line="480" w:lineRule="auto"/>
              <w:rPr>
                <w:b/>
                <w:sz w:val="20"/>
                <w:szCs w:val="20"/>
                <w:lang w:val="en-NZ"/>
              </w:rPr>
            </w:pPr>
            <w:r w:rsidRPr="005F2CBE">
              <w:rPr>
                <w:b/>
                <w:sz w:val="20"/>
                <w:szCs w:val="20"/>
                <w:lang w:val="en-NZ"/>
              </w:rPr>
              <w:t>New Zealand</w:t>
            </w:r>
          </w:p>
        </w:tc>
        <w:tc>
          <w:tcPr>
            <w:tcW w:w="2737" w:type="dxa"/>
            <w:tcBorders>
              <w:top w:val="nil"/>
              <w:bottom w:val="single" w:sz="4" w:space="0" w:color="auto"/>
            </w:tcBorders>
          </w:tcPr>
          <w:p w:rsidR="008A7994" w:rsidRPr="005F2CBE" w:rsidRDefault="008A7994" w:rsidP="00F82C2C">
            <w:pPr>
              <w:suppressLineNumbers w:val="0"/>
              <w:spacing w:line="480" w:lineRule="auto"/>
              <w:rPr>
                <w:b/>
                <w:sz w:val="20"/>
                <w:szCs w:val="20"/>
                <w:lang w:val="en-NZ"/>
              </w:rPr>
            </w:pPr>
            <w:r w:rsidRPr="005F2CBE">
              <w:rPr>
                <w:b/>
                <w:sz w:val="20"/>
                <w:szCs w:val="20"/>
                <w:lang w:val="en-NZ"/>
              </w:rPr>
              <w:t>Australia</w:t>
            </w:r>
          </w:p>
        </w:tc>
      </w:tr>
      <w:tr w:rsidR="00203B6C" w:rsidRPr="00246176" w:rsidTr="002655FB">
        <w:trPr>
          <w:jc w:val="center"/>
        </w:trPr>
        <w:tc>
          <w:tcPr>
            <w:tcW w:w="1734" w:type="dxa"/>
            <w:tcBorders>
              <w:bottom w:val="nil"/>
            </w:tcBorders>
          </w:tcPr>
          <w:p w:rsidR="008A7994" w:rsidRPr="00246176" w:rsidRDefault="008A7994" w:rsidP="008A7994">
            <w:pPr>
              <w:suppressLineNumbers w:val="0"/>
              <w:spacing w:line="480" w:lineRule="auto"/>
              <w:rPr>
                <w:sz w:val="20"/>
                <w:szCs w:val="20"/>
                <w:lang w:val="en-US"/>
              </w:rPr>
            </w:pPr>
            <w:r>
              <w:rPr>
                <w:sz w:val="20"/>
                <w:szCs w:val="20"/>
                <w:lang w:val="en-US"/>
              </w:rPr>
              <w:t>Processes</w:t>
            </w:r>
          </w:p>
        </w:tc>
        <w:tc>
          <w:tcPr>
            <w:tcW w:w="1803" w:type="dxa"/>
            <w:tcBorders>
              <w:bottom w:val="single" w:sz="4" w:space="0" w:color="auto"/>
            </w:tcBorders>
          </w:tcPr>
          <w:p w:rsidR="008A7994" w:rsidRDefault="008A7994" w:rsidP="00F82C2C">
            <w:pPr>
              <w:suppressLineNumbers w:val="0"/>
              <w:spacing w:line="480" w:lineRule="auto"/>
              <w:rPr>
                <w:sz w:val="20"/>
                <w:szCs w:val="20"/>
                <w:lang w:val="en-NZ"/>
              </w:rPr>
            </w:pPr>
            <w:r>
              <w:rPr>
                <w:sz w:val="20"/>
                <w:szCs w:val="20"/>
                <w:lang w:val="en-NZ"/>
              </w:rPr>
              <w:t>Decision-maker(s)</w:t>
            </w:r>
          </w:p>
        </w:tc>
        <w:tc>
          <w:tcPr>
            <w:tcW w:w="2976" w:type="dxa"/>
            <w:tcBorders>
              <w:bottom w:val="single" w:sz="4" w:space="0" w:color="auto"/>
            </w:tcBorders>
          </w:tcPr>
          <w:p w:rsidR="008A7994" w:rsidRPr="00246176" w:rsidRDefault="008A7994" w:rsidP="00F82C2C">
            <w:pPr>
              <w:suppressLineNumbers w:val="0"/>
              <w:spacing w:line="480" w:lineRule="auto"/>
              <w:rPr>
                <w:sz w:val="20"/>
                <w:szCs w:val="20"/>
                <w:lang w:val="en-NZ"/>
              </w:rPr>
            </w:pPr>
            <w:r>
              <w:rPr>
                <w:sz w:val="20"/>
                <w:szCs w:val="20"/>
                <w:lang w:val="en-NZ"/>
              </w:rPr>
              <w:t>Several Ministers</w:t>
            </w:r>
          </w:p>
        </w:tc>
        <w:tc>
          <w:tcPr>
            <w:tcW w:w="2862" w:type="dxa"/>
            <w:tcBorders>
              <w:bottom w:val="single" w:sz="4" w:space="0" w:color="auto"/>
            </w:tcBorders>
          </w:tcPr>
          <w:p w:rsidR="008A7994" w:rsidRPr="00246176" w:rsidRDefault="008A7994" w:rsidP="00F82C2C">
            <w:pPr>
              <w:suppressLineNumbers w:val="0"/>
              <w:spacing w:line="480" w:lineRule="auto"/>
              <w:rPr>
                <w:sz w:val="20"/>
                <w:szCs w:val="20"/>
                <w:lang w:val="en-NZ"/>
              </w:rPr>
            </w:pPr>
            <w:r>
              <w:rPr>
                <w:sz w:val="20"/>
                <w:szCs w:val="20"/>
                <w:lang w:val="en-NZ"/>
              </w:rPr>
              <w:t>1 Minister</w:t>
            </w:r>
          </w:p>
        </w:tc>
        <w:tc>
          <w:tcPr>
            <w:tcW w:w="2765" w:type="dxa"/>
            <w:tcBorders>
              <w:bottom w:val="single" w:sz="4" w:space="0" w:color="auto"/>
            </w:tcBorders>
          </w:tcPr>
          <w:p w:rsidR="008A7994" w:rsidRPr="00246176" w:rsidRDefault="008A7994" w:rsidP="00F82C2C">
            <w:pPr>
              <w:suppressLineNumbers w:val="0"/>
              <w:spacing w:line="480" w:lineRule="auto"/>
              <w:rPr>
                <w:sz w:val="20"/>
                <w:szCs w:val="20"/>
                <w:lang w:val="en-NZ"/>
              </w:rPr>
            </w:pPr>
            <w:r>
              <w:rPr>
                <w:sz w:val="20"/>
                <w:szCs w:val="20"/>
                <w:lang w:val="en-NZ"/>
              </w:rPr>
              <w:t>1 Minister</w:t>
            </w:r>
          </w:p>
        </w:tc>
        <w:tc>
          <w:tcPr>
            <w:tcW w:w="2737" w:type="dxa"/>
            <w:tcBorders>
              <w:bottom w:val="single" w:sz="4" w:space="0" w:color="auto"/>
            </w:tcBorders>
          </w:tcPr>
          <w:p w:rsidR="008A7994" w:rsidRPr="00246176" w:rsidRDefault="008A7994" w:rsidP="00F82C2C">
            <w:pPr>
              <w:suppressLineNumbers w:val="0"/>
              <w:spacing w:line="480" w:lineRule="auto"/>
              <w:rPr>
                <w:sz w:val="20"/>
                <w:szCs w:val="20"/>
                <w:lang w:val="en-NZ"/>
              </w:rPr>
            </w:pPr>
            <w:r>
              <w:rPr>
                <w:sz w:val="20"/>
                <w:szCs w:val="20"/>
                <w:lang w:val="en-NZ"/>
              </w:rPr>
              <w:t>1 Minister</w:t>
            </w:r>
          </w:p>
        </w:tc>
      </w:tr>
      <w:tr w:rsidR="002655FB" w:rsidRPr="00246176" w:rsidTr="002655FB">
        <w:trPr>
          <w:jc w:val="center"/>
        </w:trPr>
        <w:tc>
          <w:tcPr>
            <w:tcW w:w="1734" w:type="dxa"/>
            <w:tcBorders>
              <w:top w:val="nil"/>
              <w:bottom w:val="nil"/>
            </w:tcBorders>
          </w:tcPr>
          <w:p w:rsidR="002655FB" w:rsidRDefault="002655FB" w:rsidP="008A7994">
            <w:pPr>
              <w:suppressLineNumbers w:val="0"/>
              <w:spacing w:line="480" w:lineRule="auto"/>
              <w:rPr>
                <w:sz w:val="20"/>
                <w:szCs w:val="20"/>
                <w:lang w:val="en-US"/>
              </w:rPr>
            </w:pPr>
          </w:p>
        </w:tc>
        <w:tc>
          <w:tcPr>
            <w:tcW w:w="1803" w:type="dxa"/>
            <w:tcBorders>
              <w:top w:val="single" w:sz="4" w:space="0" w:color="auto"/>
            </w:tcBorders>
          </w:tcPr>
          <w:p w:rsidR="002655FB" w:rsidRDefault="002655FB" w:rsidP="00F82C2C">
            <w:pPr>
              <w:suppressLineNumbers w:val="0"/>
              <w:spacing w:line="480" w:lineRule="auto"/>
              <w:rPr>
                <w:sz w:val="20"/>
                <w:szCs w:val="20"/>
                <w:lang w:val="en-NZ"/>
              </w:rPr>
            </w:pPr>
            <w:r>
              <w:rPr>
                <w:sz w:val="20"/>
                <w:szCs w:val="20"/>
                <w:lang w:val="en-NZ"/>
              </w:rPr>
              <w:t>Scientific advice</w:t>
            </w:r>
          </w:p>
        </w:tc>
        <w:tc>
          <w:tcPr>
            <w:tcW w:w="2976" w:type="dxa"/>
            <w:tcBorders>
              <w:top w:val="single" w:sz="4" w:space="0" w:color="auto"/>
            </w:tcBorders>
          </w:tcPr>
          <w:p w:rsidR="002655FB" w:rsidRDefault="002655FB" w:rsidP="002655FB">
            <w:pPr>
              <w:suppressLineNumbers w:val="0"/>
              <w:spacing w:line="480" w:lineRule="auto"/>
              <w:rPr>
                <w:sz w:val="20"/>
                <w:szCs w:val="20"/>
                <w:lang w:val="en-NZ"/>
              </w:rPr>
            </w:pPr>
            <w:r>
              <w:rPr>
                <w:sz w:val="20"/>
                <w:szCs w:val="20"/>
                <w:lang w:val="en-NZ"/>
              </w:rPr>
              <w:t>Mainly scientists</w:t>
            </w:r>
          </w:p>
        </w:tc>
        <w:tc>
          <w:tcPr>
            <w:tcW w:w="2862" w:type="dxa"/>
            <w:tcBorders>
              <w:top w:val="single" w:sz="4" w:space="0" w:color="auto"/>
            </w:tcBorders>
          </w:tcPr>
          <w:p w:rsidR="002655FB" w:rsidRDefault="002655FB" w:rsidP="002655FB">
            <w:pPr>
              <w:suppressLineNumbers w:val="0"/>
              <w:spacing w:line="480" w:lineRule="auto"/>
              <w:rPr>
                <w:sz w:val="20"/>
                <w:szCs w:val="20"/>
                <w:lang w:val="en-NZ"/>
              </w:rPr>
            </w:pPr>
            <w:r>
              <w:rPr>
                <w:sz w:val="20"/>
                <w:szCs w:val="20"/>
                <w:lang w:val="en-NZ"/>
              </w:rPr>
              <w:t>Mainly scientists</w:t>
            </w:r>
          </w:p>
        </w:tc>
        <w:tc>
          <w:tcPr>
            <w:tcW w:w="2765" w:type="dxa"/>
            <w:tcBorders>
              <w:top w:val="single" w:sz="4" w:space="0" w:color="auto"/>
            </w:tcBorders>
          </w:tcPr>
          <w:p w:rsidR="002655FB" w:rsidRDefault="002655FB" w:rsidP="00F82C2C">
            <w:pPr>
              <w:suppressLineNumbers w:val="0"/>
              <w:spacing w:line="480" w:lineRule="auto"/>
              <w:rPr>
                <w:sz w:val="20"/>
                <w:szCs w:val="20"/>
                <w:lang w:val="en-NZ"/>
              </w:rPr>
            </w:pPr>
            <w:r>
              <w:rPr>
                <w:sz w:val="20"/>
                <w:szCs w:val="20"/>
                <w:lang w:val="en-NZ"/>
              </w:rPr>
              <w:t>Scientists and stakeholders</w:t>
            </w:r>
          </w:p>
        </w:tc>
        <w:tc>
          <w:tcPr>
            <w:tcW w:w="2737" w:type="dxa"/>
            <w:tcBorders>
              <w:top w:val="single" w:sz="4" w:space="0" w:color="auto"/>
            </w:tcBorders>
          </w:tcPr>
          <w:p w:rsidR="002655FB" w:rsidRDefault="002655FB" w:rsidP="002655FB">
            <w:pPr>
              <w:suppressLineNumbers w:val="0"/>
              <w:spacing w:line="480" w:lineRule="auto"/>
              <w:rPr>
                <w:sz w:val="20"/>
                <w:szCs w:val="20"/>
                <w:lang w:val="en-NZ"/>
              </w:rPr>
            </w:pPr>
            <w:r>
              <w:rPr>
                <w:sz w:val="20"/>
                <w:szCs w:val="20"/>
                <w:lang w:val="en-NZ"/>
              </w:rPr>
              <w:t>Scientists and stakeholders</w:t>
            </w:r>
          </w:p>
        </w:tc>
      </w:tr>
      <w:tr w:rsidR="00203B6C" w:rsidRPr="0035340D" w:rsidTr="009F2EC2">
        <w:trPr>
          <w:trHeight w:val="424"/>
          <w:jc w:val="center"/>
        </w:trPr>
        <w:tc>
          <w:tcPr>
            <w:tcW w:w="1734" w:type="dxa"/>
            <w:tcBorders>
              <w:top w:val="nil"/>
              <w:bottom w:val="nil"/>
            </w:tcBorders>
          </w:tcPr>
          <w:p w:rsidR="008A7994" w:rsidRPr="00F47A3A" w:rsidRDefault="008A7994" w:rsidP="00F82C2C">
            <w:pPr>
              <w:suppressLineNumbers w:val="0"/>
              <w:spacing w:line="480" w:lineRule="auto"/>
              <w:rPr>
                <w:sz w:val="20"/>
                <w:szCs w:val="20"/>
                <w:lang w:val="en-NZ"/>
              </w:rPr>
            </w:pPr>
          </w:p>
        </w:tc>
        <w:tc>
          <w:tcPr>
            <w:tcW w:w="1803" w:type="dxa"/>
          </w:tcPr>
          <w:p w:rsidR="008A7994" w:rsidRDefault="008A7994" w:rsidP="00F82C2C">
            <w:pPr>
              <w:suppressLineNumbers w:val="0"/>
              <w:spacing w:line="480" w:lineRule="auto"/>
              <w:rPr>
                <w:sz w:val="20"/>
                <w:szCs w:val="20"/>
                <w:lang w:val="en-NZ"/>
              </w:rPr>
            </w:pPr>
            <w:r>
              <w:rPr>
                <w:sz w:val="20"/>
                <w:szCs w:val="20"/>
                <w:lang w:val="en-NZ"/>
              </w:rPr>
              <w:t>Stakeholders’ involvement</w:t>
            </w:r>
          </w:p>
        </w:tc>
        <w:tc>
          <w:tcPr>
            <w:tcW w:w="2976" w:type="dxa"/>
          </w:tcPr>
          <w:p w:rsidR="008A7994" w:rsidRPr="009F2EC2" w:rsidRDefault="008A7994" w:rsidP="009F2EC2">
            <w:pPr>
              <w:pStyle w:val="Listeafsnit"/>
              <w:numPr>
                <w:ilvl w:val="0"/>
                <w:numId w:val="11"/>
              </w:numPr>
              <w:suppressLineNumbers w:val="0"/>
              <w:spacing w:line="480" w:lineRule="auto"/>
              <w:ind w:left="161" w:hanging="142"/>
              <w:rPr>
                <w:sz w:val="20"/>
                <w:szCs w:val="20"/>
                <w:lang w:val="en-NZ"/>
              </w:rPr>
            </w:pPr>
            <w:r w:rsidRPr="009F2EC2">
              <w:rPr>
                <w:sz w:val="20"/>
                <w:szCs w:val="20"/>
                <w:lang w:val="en-NZ"/>
              </w:rPr>
              <w:t xml:space="preserve">Informal consultation in decision-making (ACs) </w:t>
            </w:r>
          </w:p>
          <w:p w:rsidR="008A7994" w:rsidRDefault="008A7994" w:rsidP="009F2EC2">
            <w:pPr>
              <w:pStyle w:val="Listeafsnit"/>
              <w:numPr>
                <w:ilvl w:val="0"/>
                <w:numId w:val="11"/>
              </w:numPr>
              <w:suppressLineNumbers w:val="0"/>
              <w:spacing w:line="480" w:lineRule="auto"/>
              <w:ind w:left="161" w:hanging="142"/>
              <w:rPr>
                <w:sz w:val="20"/>
                <w:szCs w:val="20"/>
                <w:lang w:val="en-NZ"/>
              </w:rPr>
            </w:pPr>
            <w:r w:rsidRPr="009F2EC2">
              <w:rPr>
                <w:sz w:val="20"/>
                <w:szCs w:val="20"/>
                <w:lang w:val="en-NZ"/>
              </w:rPr>
              <w:t>Limited participation in scientific advi</w:t>
            </w:r>
            <w:r w:rsidR="000E2C23" w:rsidRPr="009F2EC2">
              <w:rPr>
                <w:sz w:val="20"/>
                <w:szCs w:val="20"/>
                <w:lang w:val="en-NZ"/>
              </w:rPr>
              <w:t>ce</w:t>
            </w:r>
          </w:p>
          <w:p w:rsidR="00C50A76" w:rsidRPr="009F2EC2" w:rsidRDefault="00C50A76" w:rsidP="009F2EC2">
            <w:pPr>
              <w:pStyle w:val="Listeafsnit"/>
              <w:numPr>
                <w:ilvl w:val="0"/>
                <w:numId w:val="11"/>
              </w:numPr>
              <w:suppressLineNumbers w:val="0"/>
              <w:spacing w:line="480" w:lineRule="auto"/>
              <w:ind w:left="161" w:hanging="142"/>
              <w:rPr>
                <w:sz w:val="20"/>
                <w:szCs w:val="20"/>
                <w:lang w:val="en-NZ"/>
              </w:rPr>
            </w:pPr>
            <w:r>
              <w:rPr>
                <w:sz w:val="20"/>
                <w:szCs w:val="20"/>
                <w:lang w:val="en-NZ"/>
              </w:rPr>
              <w:t>No EU-wide cost-recovery</w:t>
            </w:r>
          </w:p>
        </w:tc>
        <w:tc>
          <w:tcPr>
            <w:tcW w:w="2862" w:type="dxa"/>
          </w:tcPr>
          <w:p w:rsidR="000E2C23" w:rsidRPr="009F2EC2" w:rsidRDefault="000E2C23" w:rsidP="009F2EC2">
            <w:pPr>
              <w:pStyle w:val="Listeafsnit"/>
              <w:numPr>
                <w:ilvl w:val="0"/>
                <w:numId w:val="12"/>
              </w:numPr>
              <w:suppressLineNumbers w:val="0"/>
              <w:spacing w:line="480" w:lineRule="auto"/>
              <w:ind w:left="161" w:hanging="141"/>
              <w:rPr>
                <w:sz w:val="20"/>
                <w:szCs w:val="20"/>
                <w:lang w:val="en-NZ"/>
              </w:rPr>
            </w:pPr>
            <w:r w:rsidRPr="009F2EC2">
              <w:rPr>
                <w:sz w:val="20"/>
                <w:szCs w:val="20"/>
                <w:lang w:val="en-NZ"/>
              </w:rPr>
              <w:t>I</w:t>
            </w:r>
            <w:r w:rsidR="008A7994" w:rsidRPr="009F2EC2">
              <w:rPr>
                <w:sz w:val="20"/>
                <w:szCs w:val="20"/>
                <w:lang w:val="en-NZ"/>
              </w:rPr>
              <w:t>nformal consultation in decisio</w:t>
            </w:r>
            <w:r w:rsidR="008052A5" w:rsidRPr="009F2EC2">
              <w:rPr>
                <w:sz w:val="20"/>
                <w:szCs w:val="20"/>
                <w:lang w:val="en-NZ"/>
              </w:rPr>
              <w:t>n-making</w:t>
            </w:r>
          </w:p>
          <w:p w:rsidR="008A7994" w:rsidRDefault="000E2C23" w:rsidP="009F2EC2">
            <w:pPr>
              <w:pStyle w:val="Listeafsnit"/>
              <w:numPr>
                <w:ilvl w:val="0"/>
                <w:numId w:val="12"/>
              </w:numPr>
              <w:suppressLineNumbers w:val="0"/>
              <w:spacing w:line="480" w:lineRule="auto"/>
              <w:ind w:left="161" w:hanging="141"/>
              <w:rPr>
                <w:sz w:val="20"/>
                <w:szCs w:val="20"/>
                <w:lang w:val="en-NZ"/>
              </w:rPr>
            </w:pPr>
            <w:r w:rsidRPr="009F2EC2">
              <w:rPr>
                <w:sz w:val="20"/>
                <w:szCs w:val="20"/>
                <w:lang w:val="en-NZ"/>
              </w:rPr>
              <w:t>L</w:t>
            </w:r>
            <w:r w:rsidR="008A7994" w:rsidRPr="009F2EC2">
              <w:rPr>
                <w:sz w:val="20"/>
                <w:szCs w:val="20"/>
                <w:lang w:val="en-NZ"/>
              </w:rPr>
              <w:t>imited participation in scientific advisory process</w:t>
            </w:r>
          </w:p>
          <w:p w:rsidR="00C50A76" w:rsidRPr="009F2EC2" w:rsidRDefault="002655FB" w:rsidP="009F2EC2">
            <w:pPr>
              <w:pStyle w:val="Listeafsnit"/>
              <w:numPr>
                <w:ilvl w:val="0"/>
                <w:numId w:val="12"/>
              </w:numPr>
              <w:suppressLineNumbers w:val="0"/>
              <w:spacing w:line="480" w:lineRule="auto"/>
              <w:ind w:left="161" w:hanging="141"/>
              <w:rPr>
                <w:sz w:val="20"/>
                <w:szCs w:val="20"/>
                <w:lang w:val="en-NZ"/>
              </w:rPr>
            </w:pPr>
            <w:r>
              <w:rPr>
                <w:sz w:val="20"/>
                <w:szCs w:val="20"/>
                <w:lang w:val="en-NZ"/>
              </w:rPr>
              <w:t xml:space="preserve">Cost </w:t>
            </w:r>
            <w:r w:rsidR="00C50A76">
              <w:rPr>
                <w:sz w:val="20"/>
                <w:szCs w:val="20"/>
                <w:lang w:val="en-NZ"/>
              </w:rPr>
              <w:t>recovery</w:t>
            </w:r>
          </w:p>
        </w:tc>
        <w:tc>
          <w:tcPr>
            <w:tcW w:w="2765" w:type="dxa"/>
          </w:tcPr>
          <w:p w:rsidR="008A7994" w:rsidRDefault="000E2C23" w:rsidP="002655FB">
            <w:pPr>
              <w:pStyle w:val="Listeafsnit"/>
              <w:numPr>
                <w:ilvl w:val="0"/>
                <w:numId w:val="12"/>
              </w:numPr>
              <w:suppressLineNumbers w:val="0"/>
              <w:spacing w:line="480" w:lineRule="auto"/>
              <w:ind w:left="134" w:hanging="134"/>
              <w:rPr>
                <w:sz w:val="20"/>
                <w:szCs w:val="20"/>
                <w:lang w:val="en-NZ"/>
              </w:rPr>
            </w:pPr>
            <w:r w:rsidRPr="002655FB">
              <w:rPr>
                <w:sz w:val="20"/>
                <w:szCs w:val="20"/>
                <w:lang w:val="en-NZ"/>
              </w:rPr>
              <w:t>Mandatory and formalized  consultation (decision-making, scientific advice)</w:t>
            </w:r>
          </w:p>
          <w:p w:rsidR="002655FB" w:rsidRPr="002655FB" w:rsidRDefault="002655FB" w:rsidP="002655FB">
            <w:pPr>
              <w:pStyle w:val="Listeafsnit"/>
              <w:numPr>
                <w:ilvl w:val="0"/>
                <w:numId w:val="12"/>
              </w:numPr>
              <w:suppressLineNumbers w:val="0"/>
              <w:spacing w:line="480" w:lineRule="auto"/>
              <w:ind w:left="134" w:hanging="134"/>
              <w:rPr>
                <w:sz w:val="20"/>
                <w:szCs w:val="20"/>
                <w:lang w:val="en-NZ"/>
              </w:rPr>
            </w:pPr>
            <w:r>
              <w:rPr>
                <w:sz w:val="20"/>
                <w:szCs w:val="20"/>
                <w:lang w:val="en-NZ"/>
              </w:rPr>
              <w:t>Cost recovery</w:t>
            </w:r>
          </w:p>
        </w:tc>
        <w:tc>
          <w:tcPr>
            <w:tcW w:w="2737" w:type="dxa"/>
          </w:tcPr>
          <w:p w:rsidR="008A7994" w:rsidRDefault="000E2C23" w:rsidP="002655FB">
            <w:pPr>
              <w:pStyle w:val="Listeafsnit"/>
              <w:numPr>
                <w:ilvl w:val="0"/>
                <w:numId w:val="12"/>
              </w:numPr>
              <w:suppressLineNumbers w:val="0"/>
              <w:spacing w:line="480" w:lineRule="auto"/>
              <w:ind w:left="204" w:hanging="204"/>
              <w:rPr>
                <w:sz w:val="20"/>
                <w:szCs w:val="20"/>
                <w:lang w:val="en-NZ"/>
              </w:rPr>
            </w:pPr>
            <w:r w:rsidRPr="002655FB">
              <w:rPr>
                <w:sz w:val="20"/>
                <w:szCs w:val="20"/>
                <w:lang w:val="en-NZ"/>
              </w:rPr>
              <w:t>Mandatory and formalized  consultation (decision-making, scientific advice)</w:t>
            </w:r>
          </w:p>
          <w:p w:rsidR="002655FB" w:rsidRPr="002655FB" w:rsidRDefault="002655FB" w:rsidP="002655FB">
            <w:pPr>
              <w:pStyle w:val="Listeafsnit"/>
              <w:numPr>
                <w:ilvl w:val="0"/>
                <w:numId w:val="12"/>
              </w:numPr>
              <w:suppressLineNumbers w:val="0"/>
              <w:spacing w:line="480" w:lineRule="auto"/>
              <w:ind w:left="204" w:hanging="204"/>
              <w:rPr>
                <w:sz w:val="20"/>
                <w:szCs w:val="20"/>
                <w:lang w:val="en-NZ"/>
              </w:rPr>
            </w:pPr>
            <w:r>
              <w:rPr>
                <w:sz w:val="20"/>
                <w:szCs w:val="20"/>
                <w:lang w:val="en-NZ"/>
              </w:rPr>
              <w:t>Cost recovery</w:t>
            </w:r>
          </w:p>
        </w:tc>
      </w:tr>
      <w:tr w:rsidR="00203B6C" w:rsidRPr="00D60A6D" w:rsidTr="009F2EC2">
        <w:trPr>
          <w:trHeight w:val="460"/>
          <w:jc w:val="center"/>
        </w:trPr>
        <w:tc>
          <w:tcPr>
            <w:tcW w:w="1734" w:type="dxa"/>
            <w:tcBorders>
              <w:top w:val="single" w:sz="4" w:space="0" w:color="auto"/>
              <w:bottom w:val="nil"/>
            </w:tcBorders>
          </w:tcPr>
          <w:p w:rsidR="00203B6C" w:rsidRDefault="00203B6C" w:rsidP="00F82C2C">
            <w:pPr>
              <w:suppressLineNumbers w:val="0"/>
              <w:spacing w:line="480" w:lineRule="auto"/>
              <w:rPr>
                <w:sz w:val="20"/>
                <w:szCs w:val="20"/>
                <w:lang w:val="en-NZ"/>
              </w:rPr>
            </w:pPr>
            <w:r>
              <w:rPr>
                <w:sz w:val="20"/>
                <w:szCs w:val="20"/>
                <w:lang w:val="en-NZ"/>
              </w:rPr>
              <w:t>Objectives</w:t>
            </w:r>
            <w:r w:rsidR="002655FB">
              <w:rPr>
                <w:sz w:val="20"/>
                <w:szCs w:val="20"/>
                <w:lang w:val="en-NZ"/>
              </w:rPr>
              <w:t>/strategies</w:t>
            </w:r>
          </w:p>
        </w:tc>
        <w:tc>
          <w:tcPr>
            <w:tcW w:w="1803" w:type="dxa"/>
          </w:tcPr>
          <w:p w:rsidR="00203B6C" w:rsidRDefault="00203B6C" w:rsidP="00F82C2C">
            <w:pPr>
              <w:suppressLineNumbers w:val="0"/>
              <w:spacing w:line="480" w:lineRule="auto"/>
              <w:rPr>
                <w:sz w:val="20"/>
                <w:szCs w:val="20"/>
                <w:lang w:val="en-NZ"/>
              </w:rPr>
            </w:pPr>
            <w:r>
              <w:rPr>
                <w:sz w:val="20"/>
                <w:szCs w:val="20"/>
                <w:lang w:val="en-NZ"/>
              </w:rPr>
              <w:t>Broad principles</w:t>
            </w:r>
          </w:p>
        </w:tc>
        <w:tc>
          <w:tcPr>
            <w:tcW w:w="2976" w:type="dxa"/>
          </w:tcPr>
          <w:p w:rsidR="00203B6C" w:rsidRDefault="00203B6C" w:rsidP="000E2C23">
            <w:pPr>
              <w:suppressLineNumbers w:val="0"/>
              <w:spacing w:line="480" w:lineRule="auto"/>
              <w:rPr>
                <w:sz w:val="20"/>
                <w:szCs w:val="20"/>
                <w:lang w:val="en-NZ"/>
              </w:rPr>
            </w:pPr>
            <w:r>
              <w:rPr>
                <w:sz w:val="20"/>
                <w:szCs w:val="20"/>
                <w:lang w:val="en-NZ"/>
              </w:rPr>
              <w:t>Conservation/utilization</w:t>
            </w:r>
          </w:p>
        </w:tc>
        <w:tc>
          <w:tcPr>
            <w:tcW w:w="2862" w:type="dxa"/>
          </w:tcPr>
          <w:p w:rsidR="00203B6C" w:rsidRDefault="00203B6C" w:rsidP="00F82C2C">
            <w:pPr>
              <w:suppressLineNumbers w:val="0"/>
              <w:spacing w:line="480" w:lineRule="auto"/>
              <w:rPr>
                <w:sz w:val="20"/>
                <w:szCs w:val="20"/>
                <w:lang w:val="en-NZ"/>
              </w:rPr>
            </w:pPr>
            <w:r>
              <w:rPr>
                <w:sz w:val="20"/>
                <w:szCs w:val="20"/>
                <w:lang w:val="en-NZ"/>
              </w:rPr>
              <w:t>Conservation/utilization</w:t>
            </w:r>
          </w:p>
        </w:tc>
        <w:tc>
          <w:tcPr>
            <w:tcW w:w="2765" w:type="dxa"/>
          </w:tcPr>
          <w:p w:rsidR="00203B6C" w:rsidRPr="009F2EC2" w:rsidRDefault="00203B6C" w:rsidP="009F2EC2">
            <w:pPr>
              <w:pStyle w:val="Listeafsnit"/>
              <w:numPr>
                <w:ilvl w:val="0"/>
                <w:numId w:val="13"/>
              </w:numPr>
              <w:suppressLineNumbers w:val="0"/>
              <w:spacing w:line="480" w:lineRule="auto"/>
              <w:ind w:left="179" w:hanging="160"/>
              <w:rPr>
                <w:sz w:val="20"/>
                <w:szCs w:val="20"/>
                <w:lang w:val="en-NZ"/>
              </w:rPr>
            </w:pPr>
            <w:r w:rsidRPr="009F2EC2">
              <w:rPr>
                <w:sz w:val="20"/>
                <w:szCs w:val="20"/>
                <w:lang w:val="en-NZ"/>
              </w:rPr>
              <w:t>Conservation/utilization</w:t>
            </w:r>
          </w:p>
          <w:p w:rsidR="00203B6C" w:rsidRPr="009F2EC2" w:rsidRDefault="00203B6C" w:rsidP="009F2EC2">
            <w:pPr>
              <w:pStyle w:val="Listeafsnit"/>
              <w:numPr>
                <w:ilvl w:val="0"/>
                <w:numId w:val="13"/>
              </w:numPr>
              <w:suppressLineNumbers w:val="0"/>
              <w:spacing w:line="480" w:lineRule="auto"/>
              <w:ind w:left="179" w:hanging="160"/>
              <w:rPr>
                <w:sz w:val="20"/>
                <w:szCs w:val="20"/>
                <w:lang w:val="en-NZ"/>
              </w:rPr>
            </w:pPr>
            <w:r w:rsidRPr="009F2EC2">
              <w:rPr>
                <w:sz w:val="20"/>
                <w:szCs w:val="20"/>
                <w:lang w:val="en-NZ"/>
              </w:rPr>
              <w:t>Preservation of Maori interests</w:t>
            </w:r>
          </w:p>
        </w:tc>
        <w:tc>
          <w:tcPr>
            <w:tcW w:w="2737" w:type="dxa"/>
          </w:tcPr>
          <w:p w:rsidR="00203B6C" w:rsidRDefault="00203B6C" w:rsidP="00F82C2C">
            <w:pPr>
              <w:suppressLineNumbers w:val="0"/>
              <w:spacing w:line="480" w:lineRule="auto"/>
              <w:rPr>
                <w:sz w:val="20"/>
                <w:szCs w:val="20"/>
                <w:lang w:val="en-NZ"/>
              </w:rPr>
            </w:pPr>
            <w:r>
              <w:rPr>
                <w:sz w:val="20"/>
                <w:szCs w:val="20"/>
                <w:lang w:val="en-NZ"/>
              </w:rPr>
              <w:t>Conservation/utilization</w:t>
            </w:r>
          </w:p>
        </w:tc>
      </w:tr>
      <w:tr w:rsidR="00203B6C" w:rsidRPr="005806F9" w:rsidTr="002655FB">
        <w:trPr>
          <w:trHeight w:val="460"/>
          <w:jc w:val="center"/>
        </w:trPr>
        <w:tc>
          <w:tcPr>
            <w:tcW w:w="1734" w:type="dxa"/>
            <w:tcBorders>
              <w:top w:val="nil"/>
              <w:bottom w:val="nil"/>
            </w:tcBorders>
          </w:tcPr>
          <w:p w:rsidR="008A7994" w:rsidRDefault="008A7994" w:rsidP="00F82C2C">
            <w:pPr>
              <w:suppressLineNumbers w:val="0"/>
              <w:spacing w:line="480" w:lineRule="auto"/>
              <w:rPr>
                <w:sz w:val="20"/>
                <w:szCs w:val="20"/>
                <w:lang w:val="en-NZ"/>
              </w:rPr>
            </w:pPr>
          </w:p>
        </w:tc>
        <w:tc>
          <w:tcPr>
            <w:tcW w:w="1803" w:type="dxa"/>
            <w:tcBorders>
              <w:bottom w:val="single" w:sz="4" w:space="0" w:color="auto"/>
            </w:tcBorders>
          </w:tcPr>
          <w:p w:rsidR="008A7994" w:rsidRDefault="00203B6C" w:rsidP="00627824">
            <w:pPr>
              <w:suppressLineNumbers w:val="0"/>
              <w:spacing w:line="480" w:lineRule="auto"/>
              <w:rPr>
                <w:sz w:val="20"/>
                <w:szCs w:val="20"/>
                <w:lang w:val="en-NZ"/>
              </w:rPr>
            </w:pPr>
            <w:r>
              <w:rPr>
                <w:sz w:val="20"/>
                <w:szCs w:val="20"/>
                <w:lang w:val="en-NZ"/>
              </w:rPr>
              <w:t>Specific</w:t>
            </w:r>
            <w:r w:rsidR="000E2C23">
              <w:rPr>
                <w:sz w:val="20"/>
                <w:szCs w:val="20"/>
                <w:lang w:val="en-NZ"/>
              </w:rPr>
              <w:t xml:space="preserve"> targets</w:t>
            </w:r>
          </w:p>
        </w:tc>
        <w:tc>
          <w:tcPr>
            <w:tcW w:w="2976" w:type="dxa"/>
            <w:tcBorders>
              <w:bottom w:val="single" w:sz="4" w:space="0" w:color="auto"/>
            </w:tcBorders>
          </w:tcPr>
          <w:p w:rsidR="000E2C23" w:rsidRPr="009F2EC2" w:rsidRDefault="000E2C23" w:rsidP="009F2EC2">
            <w:pPr>
              <w:pStyle w:val="Listeafsnit"/>
              <w:numPr>
                <w:ilvl w:val="0"/>
                <w:numId w:val="14"/>
              </w:numPr>
              <w:suppressLineNumbers w:val="0"/>
              <w:spacing w:line="480" w:lineRule="auto"/>
              <w:ind w:left="161" w:hanging="142"/>
              <w:rPr>
                <w:sz w:val="20"/>
                <w:szCs w:val="20"/>
                <w:lang w:val="en-NZ"/>
              </w:rPr>
            </w:pPr>
            <w:r w:rsidRPr="009F2EC2">
              <w:rPr>
                <w:sz w:val="20"/>
                <w:szCs w:val="20"/>
                <w:u w:val="single"/>
                <w:lang w:val="en-NZ"/>
              </w:rPr>
              <w:t>Before 2014</w:t>
            </w:r>
            <w:r w:rsidR="00203B6C" w:rsidRPr="009F2EC2">
              <w:rPr>
                <w:sz w:val="20"/>
                <w:szCs w:val="20"/>
                <w:u w:val="single"/>
                <w:lang w:val="en-NZ"/>
              </w:rPr>
              <w:t>:</w:t>
            </w:r>
            <w:r w:rsidRPr="009F2EC2">
              <w:rPr>
                <w:sz w:val="20"/>
                <w:szCs w:val="20"/>
                <w:lang w:val="en-NZ"/>
              </w:rPr>
              <w:t xml:space="preserve"> only explicit for stocks subject to management plans</w:t>
            </w:r>
          </w:p>
          <w:p w:rsidR="008A7994" w:rsidRPr="009F2EC2" w:rsidRDefault="000E2C23" w:rsidP="009F2EC2">
            <w:pPr>
              <w:pStyle w:val="Listeafsnit"/>
              <w:numPr>
                <w:ilvl w:val="0"/>
                <w:numId w:val="14"/>
              </w:numPr>
              <w:suppressLineNumbers w:val="0"/>
              <w:spacing w:line="480" w:lineRule="auto"/>
              <w:ind w:left="161" w:hanging="142"/>
              <w:rPr>
                <w:sz w:val="20"/>
                <w:szCs w:val="20"/>
                <w:lang w:val="en-NZ"/>
              </w:rPr>
            </w:pPr>
            <w:r w:rsidRPr="009F2EC2">
              <w:rPr>
                <w:sz w:val="20"/>
                <w:szCs w:val="20"/>
                <w:u w:val="single"/>
                <w:lang w:val="en-NZ"/>
              </w:rPr>
              <w:t>Since 2014</w:t>
            </w:r>
            <w:r w:rsidR="00203B6C" w:rsidRPr="009F2EC2">
              <w:rPr>
                <w:sz w:val="20"/>
                <w:szCs w:val="20"/>
                <w:u w:val="single"/>
                <w:lang w:val="en-NZ"/>
              </w:rPr>
              <w:t>:</w:t>
            </w:r>
            <w:r w:rsidRPr="009F2EC2">
              <w:rPr>
                <w:sz w:val="20"/>
                <w:szCs w:val="20"/>
                <w:lang w:val="en-NZ"/>
              </w:rPr>
              <w:t xml:space="preserve"> e</w:t>
            </w:r>
            <w:r w:rsidR="008A7994" w:rsidRPr="009F2EC2">
              <w:rPr>
                <w:sz w:val="20"/>
                <w:szCs w:val="20"/>
                <w:lang w:val="en-NZ"/>
              </w:rPr>
              <w:t xml:space="preserve">xploitation rates of all stocks at </w:t>
            </w:r>
            <w:r w:rsidR="005B1598">
              <w:rPr>
                <w:sz w:val="20"/>
                <w:szCs w:val="20"/>
                <w:lang w:val="en-NZ"/>
              </w:rPr>
              <w:t>F</w:t>
            </w:r>
            <w:r w:rsidR="008A7994" w:rsidRPr="005B1598">
              <w:rPr>
                <w:sz w:val="20"/>
                <w:szCs w:val="20"/>
                <w:vertAlign w:val="subscript"/>
                <w:lang w:val="en-NZ"/>
              </w:rPr>
              <w:t>MSY</w:t>
            </w:r>
            <w:r w:rsidR="008A7994" w:rsidRPr="009F2EC2">
              <w:rPr>
                <w:sz w:val="20"/>
                <w:szCs w:val="20"/>
                <w:lang w:val="en-NZ"/>
              </w:rPr>
              <w:t xml:space="preserve"> by 2020</w:t>
            </w:r>
          </w:p>
        </w:tc>
        <w:tc>
          <w:tcPr>
            <w:tcW w:w="2862" w:type="dxa"/>
            <w:tcBorders>
              <w:bottom w:val="single" w:sz="4" w:space="0" w:color="auto"/>
            </w:tcBorders>
          </w:tcPr>
          <w:p w:rsidR="008A7994" w:rsidRPr="00F47A3A" w:rsidRDefault="000E2C23" w:rsidP="00F82C2C">
            <w:pPr>
              <w:suppressLineNumbers w:val="0"/>
              <w:spacing w:line="480" w:lineRule="auto"/>
              <w:rPr>
                <w:sz w:val="20"/>
                <w:szCs w:val="20"/>
                <w:lang w:val="en-NZ"/>
              </w:rPr>
            </w:pPr>
            <w:r>
              <w:rPr>
                <w:sz w:val="20"/>
                <w:szCs w:val="20"/>
                <w:lang w:val="en-NZ"/>
              </w:rPr>
              <w:t>Explicit for stocks subject to management plans</w:t>
            </w:r>
          </w:p>
        </w:tc>
        <w:tc>
          <w:tcPr>
            <w:tcW w:w="2765" w:type="dxa"/>
            <w:tcBorders>
              <w:bottom w:val="single" w:sz="4" w:space="0" w:color="auto"/>
            </w:tcBorders>
          </w:tcPr>
          <w:p w:rsidR="008A7994" w:rsidRPr="00F47A3A" w:rsidRDefault="00C83EF9" w:rsidP="00C83EF9">
            <w:pPr>
              <w:suppressLineNumbers w:val="0"/>
              <w:spacing w:line="480" w:lineRule="auto"/>
              <w:rPr>
                <w:sz w:val="20"/>
                <w:szCs w:val="20"/>
                <w:lang w:val="en-NZ"/>
              </w:rPr>
            </w:pPr>
            <w:r>
              <w:rPr>
                <w:sz w:val="20"/>
                <w:szCs w:val="20"/>
                <w:lang w:val="en-NZ"/>
              </w:rPr>
              <w:t xml:space="preserve"> B</w:t>
            </w:r>
            <w:r w:rsidRPr="000E2C23">
              <w:rPr>
                <w:sz w:val="20"/>
                <w:szCs w:val="20"/>
                <w:vertAlign w:val="subscript"/>
                <w:lang w:val="en-NZ"/>
              </w:rPr>
              <w:t>MSY</w:t>
            </w:r>
            <w:r>
              <w:rPr>
                <w:sz w:val="20"/>
                <w:szCs w:val="20"/>
                <w:lang w:val="en-NZ"/>
              </w:rPr>
              <w:t xml:space="preserve"> or F</w:t>
            </w:r>
            <w:r w:rsidR="000E2C23" w:rsidRPr="000E2C23">
              <w:rPr>
                <w:sz w:val="20"/>
                <w:szCs w:val="20"/>
                <w:vertAlign w:val="subscript"/>
                <w:lang w:val="en-NZ"/>
              </w:rPr>
              <w:t>MSY</w:t>
            </w:r>
          </w:p>
        </w:tc>
        <w:tc>
          <w:tcPr>
            <w:tcW w:w="2737" w:type="dxa"/>
            <w:tcBorders>
              <w:bottom w:val="single" w:sz="4" w:space="0" w:color="auto"/>
            </w:tcBorders>
          </w:tcPr>
          <w:p w:rsidR="008A7994" w:rsidRPr="00F47A3A" w:rsidRDefault="00C83EF9" w:rsidP="00C83EF9">
            <w:pPr>
              <w:suppressLineNumbers w:val="0"/>
              <w:spacing w:line="480" w:lineRule="auto"/>
              <w:rPr>
                <w:sz w:val="20"/>
                <w:szCs w:val="20"/>
                <w:lang w:val="en-NZ"/>
              </w:rPr>
            </w:pPr>
            <w:r>
              <w:rPr>
                <w:sz w:val="20"/>
                <w:szCs w:val="20"/>
                <w:lang w:val="en-NZ"/>
              </w:rPr>
              <w:t>B</w:t>
            </w:r>
            <w:r w:rsidRPr="005B1598">
              <w:rPr>
                <w:sz w:val="20"/>
                <w:szCs w:val="20"/>
                <w:vertAlign w:val="subscript"/>
                <w:lang w:val="en-NZ"/>
              </w:rPr>
              <w:t>MEY</w:t>
            </w:r>
            <w:r>
              <w:rPr>
                <w:sz w:val="20"/>
                <w:szCs w:val="20"/>
                <w:lang w:val="en-NZ"/>
              </w:rPr>
              <w:t xml:space="preserve"> or F</w:t>
            </w:r>
            <w:r w:rsidR="000E2C23" w:rsidRPr="005B1598">
              <w:rPr>
                <w:sz w:val="20"/>
                <w:szCs w:val="20"/>
                <w:vertAlign w:val="subscript"/>
                <w:lang w:val="en-NZ"/>
              </w:rPr>
              <w:t>MEY</w:t>
            </w:r>
          </w:p>
        </w:tc>
      </w:tr>
      <w:tr w:rsidR="00203B6C" w:rsidRPr="00425358" w:rsidTr="002655FB">
        <w:trPr>
          <w:trHeight w:val="460"/>
          <w:jc w:val="center"/>
        </w:trPr>
        <w:tc>
          <w:tcPr>
            <w:tcW w:w="1734" w:type="dxa"/>
            <w:tcBorders>
              <w:top w:val="nil"/>
              <w:bottom w:val="single" w:sz="4" w:space="0" w:color="auto"/>
            </w:tcBorders>
          </w:tcPr>
          <w:p w:rsidR="008A7994" w:rsidRDefault="008A7994" w:rsidP="00F82C2C">
            <w:pPr>
              <w:suppressLineNumbers w:val="0"/>
              <w:spacing w:line="480" w:lineRule="auto"/>
              <w:rPr>
                <w:sz w:val="20"/>
                <w:szCs w:val="20"/>
                <w:lang w:val="en-NZ"/>
              </w:rPr>
            </w:pPr>
          </w:p>
        </w:tc>
        <w:tc>
          <w:tcPr>
            <w:tcW w:w="1803" w:type="dxa"/>
            <w:tcBorders>
              <w:bottom w:val="single" w:sz="4" w:space="0" w:color="auto"/>
            </w:tcBorders>
          </w:tcPr>
          <w:p w:rsidR="008A7994" w:rsidRPr="00F47A3A" w:rsidRDefault="002655FB" w:rsidP="00F82C2C">
            <w:pPr>
              <w:suppressLineNumbers w:val="0"/>
              <w:spacing w:line="480" w:lineRule="auto"/>
              <w:rPr>
                <w:sz w:val="20"/>
                <w:szCs w:val="20"/>
                <w:lang w:val="en-NZ"/>
              </w:rPr>
            </w:pPr>
            <w:r>
              <w:rPr>
                <w:sz w:val="20"/>
                <w:szCs w:val="20"/>
                <w:lang w:val="en-NZ"/>
              </w:rPr>
              <w:t>Strategies</w:t>
            </w:r>
          </w:p>
        </w:tc>
        <w:tc>
          <w:tcPr>
            <w:tcW w:w="2976" w:type="dxa"/>
            <w:tcBorders>
              <w:bottom w:val="single" w:sz="4" w:space="0" w:color="auto"/>
            </w:tcBorders>
          </w:tcPr>
          <w:p w:rsidR="008A7994" w:rsidRPr="009F2EC2" w:rsidRDefault="00731F2B" w:rsidP="009F2EC2">
            <w:pPr>
              <w:pStyle w:val="Listeafsnit"/>
              <w:numPr>
                <w:ilvl w:val="0"/>
                <w:numId w:val="15"/>
              </w:numPr>
              <w:suppressLineNumbers w:val="0"/>
              <w:spacing w:line="480" w:lineRule="auto"/>
              <w:ind w:left="161" w:hanging="142"/>
              <w:rPr>
                <w:sz w:val="20"/>
                <w:szCs w:val="20"/>
                <w:lang w:val="en-NZ"/>
              </w:rPr>
            </w:pPr>
            <w:r w:rsidRPr="009F2EC2">
              <w:rPr>
                <w:sz w:val="20"/>
                <w:szCs w:val="20"/>
                <w:u w:val="single"/>
                <w:lang w:val="en-NZ"/>
              </w:rPr>
              <w:t>NEA:</w:t>
            </w:r>
            <w:r w:rsidRPr="009F2EC2">
              <w:rPr>
                <w:sz w:val="20"/>
                <w:szCs w:val="20"/>
                <w:lang w:val="en-NZ"/>
              </w:rPr>
              <w:t xml:space="preserve"> EU/multilateral MP</w:t>
            </w:r>
            <w:r w:rsidR="008052A5" w:rsidRPr="009F2EC2">
              <w:rPr>
                <w:sz w:val="20"/>
                <w:szCs w:val="20"/>
                <w:lang w:val="en-NZ"/>
              </w:rPr>
              <w:t xml:space="preserve">s </w:t>
            </w:r>
            <w:r w:rsidR="008052A5" w:rsidRPr="009F2EC2">
              <w:rPr>
                <w:sz w:val="20"/>
                <w:szCs w:val="20"/>
                <w:lang w:val="en-NZ"/>
              </w:rPr>
              <w:lastRenderedPageBreak/>
              <w:t xml:space="preserve">(applied to </w:t>
            </w:r>
            <w:r w:rsidRPr="009F2EC2">
              <w:rPr>
                <w:sz w:val="20"/>
                <w:szCs w:val="20"/>
                <w:lang w:val="en-NZ"/>
              </w:rPr>
              <w:t>some</w:t>
            </w:r>
            <w:r w:rsidR="008052A5" w:rsidRPr="009F2EC2">
              <w:rPr>
                <w:sz w:val="20"/>
                <w:szCs w:val="20"/>
                <w:lang w:val="en-NZ"/>
              </w:rPr>
              <w:t xml:space="preserve"> stocks)</w:t>
            </w:r>
          </w:p>
          <w:p w:rsidR="00731F2B" w:rsidRPr="009F2EC2" w:rsidRDefault="00731F2B" w:rsidP="009F2EC2">
            <w:pPr>
              <w:pStyle w:val="Listeafsnit"/>
              <w:numPr>
                <w:ilvl w:val="0"/>
                <w:numId w:val="15"/>
              </w:numPr>
              <w:suppressLineNumbers w:val="0"/>
              <w:spacing w:line="480" w:lineRule="auto"/>
              <w:ind w:left="161" w:hanging="142"/>
              <w:rPr>
                <w:sz w:val="20"/>
                <w:szCs w:val="20"/>
                <w:lang w:val="en-NZ"/>
              </w:rPr>
            </w:pPr>
            <w:r w:rsidRPr="009F2EC2">
              <w:rPr>
                <w:sz w:val="20"/>
                <w:szCs w:val="20"/>
                <w:u w:val="single"/>
                <w:lang w:val="en-NZ"/>
              </w:rPr>
              <w:t>Mediterranean:</w:t>
            </w:r>
            <w:r w:rsidRPr="009F2EC2">
              <w:rPr>
                <w:sz w:val="20"/>
                <w:szCs w:val="20"/>
                <w:lang w:val="en-NZ"/>
              </w:rPr>
              <w:t xml:space="preserve"> National MPs (applied to some fisheries)</w:t>
            </w:r>
          </w:p>
        </w:tc>
        <w:tc>
          <w:tcPr>
            <w:tcW w:w="2862" w:type="dxa"/>
            <w:tcBorders>
              <w:bottom w:val="single" w:sz="4" w:space="0" w:color="auto"/>
            </w:tcBorders>
          </w:tcPr>
          <w:p w:rsidR="008A7994" w:rsidRPr="00F47A3A" w:rsidRDefault="008052A5" w:rsidP="00731F2B">
            <w:pPr>
              <w:suppressLineNumbers w:val="0"/>
              <w:spacing w:line="480" w:lineRule="auto"/>
              <w:rPr>
                <w:sz w:val="20"/>
                <w:szCs w:val="20"/>
                <w:lang w:val="en-NZ"/>
              </w:rPr>
            </w:pPr>
            <w:r>
              <w:rPr>
                <w:sz w:val="20"/>
                <w:szCs w:val="20"/>
                <w:lang w:val="en-NZ"/>
              </w:rPr>
              <w:lastRenderedPageBreak/>
              <w:t xml:space="preserve">Management plans (currently applied to </w:t>
            </w:r>
            <w:r w:rsidR="00731F2B">
              <w:rPr>
                <w:sz w:val="20"/>
                <w:szCs w:val="20"/>
                <w:lang w:val="en-NZ"/>
              </w:rPr>
              <w:t>some</w:t>
            </w:r>
            <w:r>
              <w:rPr>
                <w:sz w:val="20"/>
                <w:szCs w:val="20"/>
                <w:lang w:val="en-NZ"/>
              </w:rPr>
              <w:t xml:space="preserve"> stocks)</w:t>
            </w:r>
          </w:p>
        </w:tc>
        <w:tc>
          <w:tcPr>
            <w:tcW w:w="2765" w:type="dxa"/>
            <w:tcBorders>
              <w:bottom w:val="single" w:sz="4" w:space="0" w:color="auto"/>
            </w:tcBorders>
          </w:tcPr>
          <w:p w:rsidR="008A7994" w:rsidRPr="00F47A3A" w:rsidRDefault="008052A5" w:rsidP="008052A5">
            <w:pPr>
              <w:suppressLineNumbers w:val="0"/>
              <w:spacing w:line="480" w:lineRule="auto"/>
              <w:rPr>
                <w:sz w:val="20"/>
                <w:szCs w:val="20"/>
                <w:lang w:val="en-NZ"/>
              </w:rPr>
            </w:pPr>
            <w:r>
              <w:rPr>
                <w:sz w:val="20"/>
                <w:szCs w:val="20"/>
                <w:lang w:val="en-NZ"/>
              </w:rPr>
              <w:t>Harvest Strategy Standards (applied to most stocks)</w:t>
            </w:r>
          </w:p>
        </w:tc>
        <w:tc>
          <w:tcPr>
            <w:tcW w:w="2737" w:type="dxa"/>
            <w:tcBorders>
              <w:bottom w:val="single" w:sz="4" w:space="0" w:color="auto"/>
            </w:tcBorders>
          </w:tcPr>
          <w:p w:rsidR="008A7994" w:rsidRPr="00F47A3A" w:rsidRDefault="008052A5" w:rsidP="00F82C2C">
            <w:pPr>
              <w:suppressLineNumbers w:val="0"/>
              <w:spacing w:line="480" w:lineRule="auto"/>
              <w:rPr>
                <w:sz w:val="20"/>
                <w:szCs w:val="20"/>
                <w:lang w:val="en-NZ"/>
              </w:rPr>
            </w:pPr>
            <w:r>
              <w:rPr>
                <w:sz w:val="20"/>
                <w:szCs w:val="20"/>
                <w:lang w:val="en-NZ"/>
              </w:rPr>
              <w:t>Harvest Strategy Policy (applied to most stocks)</w:t>
            </w:r>
          </w:p>
        </w:tc>
      </w:tr>
      <w:tr w:rsidR="00203B6C" w:rsidRPr="005806F9" w:rsidTr="002655FB">
        <w:trPr>
          <w:trHeight w:val="460"/>
          <w:jc w:val="center"/>
        </w:trPr>
        <w:tc>
          <w:tcPr>
            <w:tcW w:w="1734" w:type="dxa"/>
            <w:tcBorders>
              <w:top w:val="single" w:sz="4" w:space="0" w:color="auto"/>
              <w:bottom w:val="nil"/>
            </w:tcBorders>
          </w:tcPr>
          <w:p w:rsidR="008A7994" w:rsidRDefault="003B15E0" w:rsidP="00F82C2C">
            <w:pPr>
              <w:suppressLineNumbers w:val="0"/>
              <w:spacing w:line="480" w:lineRule="auto"/>
              <w:rPr>
                <w:sz w:val="20"/>
                <w:szCs w:val="20"/>
                <w:lang w:val="en-NZ"/>
              </w:rPr>
            </w:pPr>
            <w:r>
              <w:rPr>
                <w:sz w:val="20"/>
                <w:szCs w:val="20"/>
                <w:lang w:val="en-NZ"/>
              </w:rPr>
              <w:lastRenderedPageBreak/>
              <w:t>Tools</w:t>
            </w:r>
          </w:p>
        </w:tc>
        <w:tc>
          <w:tcPr>
            <w:tcW w:w="1803" w:type="dxa"/>
            <w:tcBorders>
              <w:top w:val="single" w:sz="4" w:space="0" w:color="auto"/>
              <w:bottom w:val="nil"/>
            </w:tcBorders>
          </w:tcPr>
          <w:p w:rsidR="008A7994" w:rsidRPr="00F47A3A" w:rsidRDefault="003B15E0" w:rsidP="00F82C2C">
            <w:pPr>
              <w:suppressLineNumbers w:val="0"/>
              <w:spacing w:line="480" w:lineRule="auto"/>
              <w:rPr>
                <w:sz w:val="20"/>
                <w:szCs w:val="20"/>
                <w:lang w:val="en-NZ"/>
              </w:rPr>
            </w:pPr>
            <w:r>
              <w:rPr>
                <w:sz w:val="20"/>
                <w:szCs w:val="20"/>
                <w:lang w:val="en-NZ"/>
              </w:rPr>
              <w:t>Conservation</w:t>
            </w:r>
          </w:p>
        </w:tc>
        <w:tc>
          <w:tcPr>
            <w:tcW w:w="2976" w:type="dxa"/>
            <w:tcBorders>
              <w:top w:val="single" w:sz="4" w:space="0" w:color="auto"/>
              <w:bottom w:val="nil"/>
            </w:tcBorders>
          </w:tcPr>
          <w:p w:rsidR="008A7994" w:rsidRPr="00F546E9" w:rsidRDefault="003B15E0" w:rsidP="00F546E9">
            <w:pPr>
              <w:pStyle w:val="Listeafsnit"/>
              <w:numPr>
                <w:ilvl w:val="0"/>
                <w:numId w:val="16"/>
              </w:numPr>
              <w:suppressLineNumbers w:val="0"/>
              <w:spacing w:line="480" w:lineRule="auto"/>
              <w:ind w:left="161" w:hanging="142"/>
              <w:rPr>
                <w:sz w:val="20"/>
                <w:szCs w:val="20"/>
                <w:lang w:val="en-NZ"/>
              </w:rPr>
            </w:pPr>
            <w:r w:rsidRPr="00F546E9">
              <w:rPr>
                <w:sz w:val="20"/>
                <w:szCs w:val="20"/>
                <w:lang w:val="en-NZ"/>
              </w:rPr>
              <w:t>TAC (except in Mediterranean)</w:t>
            </w:r>
          </w:p>
          <w:p w:rsidR="003B15E0" w:rsidRPr="00F546E9" w:rsidRDefault="003B15E0" w:rsidP="00F546E9">
            <w:pPr>
              <w:pStyle w:val="Listeafsnit"/>
              <w:numPr>
                <w:ilvl w:val="0"/>
                <w:numId w:val="16"/>
              </w:numPr>
              <w:suppressLineNumbers w:val="0"/>
              <w:spacing w:line="480" w:lineRule="auto"/>
              <w:ind w:left="161" w:hanging="142"/>
              <w:rPr>
                <w:sz w:val="20"/>
                <w:szCs w:val="20"/>
                <w:lang w:val="en-NZ"/>
              </w:rPr>
            </w:pPr>
            <w:r w:rsidRPr="00F546E9">
              <w:rPr>
                <w:sz w:val="20"/>
                <w:szCs w:val="20"/>
                <w:lang w:val="en-NZ"/>
              </w:rPr>
              <w:t>Technical measures</w:t>
            </w:r>
          </w:p>
          <w:p w:rsidR="003B15E0" w:rsidRPr="00F546E9" w:rsidRDefault="003B15E0" w:rsidP="00F546E9">
            <w:pPr>
              <w:pStyle w:val="Listeafsnit"/>
              <w:numPr>
                <w:ilvl w:val="0"/>
                <w:numId w:val="16"/>
              </w:numPr>
              <w:suppressLineNumbers w:val="0"/>
              <w:spacing w:line="480" w:lineRule="auto"/>
              <w:ind w:left="161" w:hanging="142"/>
              <w:rPr>
                <w:sz w:val="20"/>
                <w:szCs w:val="20"/>
                <w:lang w:val="en-NZ"/>
              </w:rPr>
            </w:pPr>
            <w:r w:rsidRPr="00F546E9">
              <w:rPr>
                <w:sz w:val="20"/>
                <w:szCs w:val="20"/>
                <w:lang w:val="en-NZ"/>
              </w:rPr>
              <w:t>Effort limits</w:t>
            </w:r>
          </w:p>
        </w:tc>
        <w:tc>
          <w:tcPr>
            <w:tcW w:w="2862" w:type="dxa"/>
            <w:tcBorders>
              <w:top w:val="single" w:sz="4" w:space="0" w:color="auto"/>
              <w:bottom w:val="nil"/>
            </w:tcBorders>
          </w:tcPr>
          <w:p w:rsidR="008A7994" w:rsidRPr="00F546E9" w:rsidRDefault="003B15E0" w:rsidP="00F546E9">
            <w:pPr>
              <w:pStyle w:val="Listeafsnit"/>
              <w:numPr>
                <w:ilvl w:val="0"/>
                <w:numId w:val="17"/>
              </w:numPr>
              <w:suppressLineNumbers w:val="0"/>
              <w:spacing w:line="480" w:lineRule="auto"/>
              <w:ind w:left="161" w:hanging="161"/>
              <w:rPr>
                <w:sz w:val="20"/>
                <w:szCs w:val="20"/>
                <w:lang w:val="en-NZ"/>
              </w:rPr>
            </w:pPr>
            <w:r w:rsidRPr="00F546E9">
              <w:rPr>
                <w:sz w:val="20"/>
                <w:szCs w:val="20"/>
                <w:lang w:val="en-NZ"/>
              </w:rPr>
              <w:t>TAC</w:t>
            </w:r>
          </w:p>
          <w:p w:rsidR="003B15E0" w:rsidRPr="00F546E9" w:rsidRDefault="003B15E0" w:rsidP="00F546E9">
            <w:pPr>
              <w:pStyle w:val="Listeafsnit"/>
              <w:numPr>
                <w:ilvl w:val="0"/>
                <w:numId w:val="17"/>
              </w:numPr>
              <w:suppressLineNumbers w:val="0"/>
              <w:spacing w:line="480" w:lineRule="auto"/>
              <w:ind w:left="161" w:hanging="161"/>
              <w:rPr>
                <w:sz w:val="20"/>
                <w:szCs w:val="20"/>
                <w:lang w:val="en-NZ"/>
              </w:rPr>
            </w:pPr>
            <w:r w:rsidRPr="00F546E9">
              <w:rPr>
                <w:sz w:val="20"/>
                <w:szCs w:val="20"/>
                <w:lang w:val="en-NZ"/>
              </w:rPr>
              <w:t>Technical measures</w:t>
            </w:r>
          </w:p>
        </w:tc>
        <w:tc>
          <w:tcPr>
            <w:tcW w:w="2765" w:type="dxa"/>
            <w:tcBorders>
              <w:top w:val="single" w:sz="4" w:space="0" w:color="auto"/>
              <w:bottom w:val="nil"/>
            </w:tcBorders>
          </w:tcPr>
          <w:p w:rsidR="008A7994" w:rsidRPr="00F47A3A" w:rsidRDefault="003B15E0" w:rsidP="003B15E0">
            <w:pPr>
              <w:suppressLineNumbers w:val="0"/>
              <w:spacing w:line="480" w:lineRule="auto"/>
              <w:rPr>
                <w:sz w:val="20"/>
                <w:szCs w:val="20"/>
                <w:lang w:val="en-NZ"/>
              </w:rPr>
            </w:pPr>
            <w:r>
              <w:rPr>
                <w:sz w:val="20"/>
                <w:szCs w:val="20"/>
                <w:lang w:val="en-NZ"/>
              </w:rPr>
              <w:t>TAC (includes recreation</w:t>
            </w:r>
            <w:r w:rsidR="009F2EC2">
              <w:rPr>
                <w:sz w:val="20"/>
                <w:szCs w:val="20"/>
                <w:lang w:val="en-NZ"/>
              </w:rPr>
              <w:t>al &amp; customary allowance</w:t>
            </w:r>
            <w:r>
              <w:rPr>
                <w:sz w:val="20"/>
                <w:szCs w:val="20"/>
                <w:lang w:val="en-NZ"/>
              </w:rPr>
              <w:t>)</w:t>
            </w:r>
          </w:p>
        </w:tc>
        <w:tc>
          <w:tcPr>
            <w:tcW w:w="2737" w:type="dxa"/>
            <w:tcBorders>
              <w:top w:val="single" w:sz="4" w:space="0" w:color="auto"/>
              <w:bottom w:val="nil"/>
            </w:tcBorders>
          </w:tcPr>
          <w:p w:rsidR="008A7994" w:rsidRPr="00F546E9" w:rsidRDefault="003B15E0" w:rsidP="00F546E9">
            <w:pPr>
              <w:pStyle w:val="Listeafsnit"/>
              <w:numPr>
                <w:ilvl w:val="0"/>
                <w:numId w:val="18"/>
              </w:numPr>
              <w:suppressLineNumbers w:val="0"/>
              <w:spacing w:line="480" w:lineRule="auto"/>
              <w:ind w:left="204" w:hanging="204"/>
              <w:rPr>
                <w:sz w:val="20"/>
                <w:szCs w:val="20"/>
                <w:lang w:val="en-NZ"/>
              </w:rPr>
            </w:pPr>
            <w:r w:rsidRPr="00F546E9">
              <w:rPr>
                <w:sz w:val="20"/>
                <w:szCs w:val="20"/>
                <w:lang w:val="en-NZ"/>
              </w:rPr>
              <w:t>TAC</w:t>
            </w:r>
          </w:p>
          <w:p w:rsidR="003B15E0" w:rsidRPr="00F546E9" w:rsidRDefault="003B15E0" w:rsidP="00F546E9">
            <w:pPr>
              <w:pStyle w:val="Listeafsnit"/>
              <w:numPr>
                <w:ilvl w:val="0"/>
                <w:numId w:val="18"/>
              </w:numPr>
              <w:suppressLineNumbers w:val="0"/>
              <w:spacing w:line="480" w:lineRule="auto"/>
              <w:ind w:left="204" w:hanging="204"/>
              <w:rPr>
                <w:sz w:val="20"/>
                <w:szCs w:val="20"/>
                <w:lang w:val="en-NZ"/>
              </w:rPr>
            </w:pPr>
            <w:r w:rsidRPr="00F546E9">
              <w:rPr>
                <w:sz w:val="20"/>
                <w:szCs w:val="20"/>
                <w:lang w:val="en-NZ"/>
              </w:rPr>
              <w:t>Input control measures</w:t>
            </w:r>
          </w:p>
        </w:tc>
      </w:tr>
      <w:tr w:rsidR="00203B6C" w:rsidRPr="005806F9" w:rsidTr="002655FB">
        <w:trPr>
          <w:trHeight w:val="460"/>
          <w:jc w:val="center"/>
        </w:trPr>
        <w:tc>
          <w:tcPr>
            <w:tcW w:w="1734" w:type="dxa"/>
            <w:tcBorders>
              <w:top w:val="nil"/>
              <w:bottom w:val="single" w:sz="4" w:space="0" w:color="auto"/>
            </w:tcBorders>
          </w:tcPr>
          <w:p w:rsidR="008A7994" w:rsidRDefault="008A7994" w:rsidP="00F82C2C">
            <w:pPr>
              <w:suppressLineNumbers w:val="0"/>
              <w:spacing w:line="480" w:lineRule="auto"/>
              <w:rPr>
                <w:sz w:val="20"/>
                <w:szCs w:val="20"/>
                <w:lang w:val="en-NZ"/>
              </w:rPr>
            </w:pPr>
          </w:p>
        </w:tc>
        <w:tc>
          <w:tcPr>
            <w:tcW w:w="1803" w:type="dxa"/>
            <w:tcBorders>
              <w:top w:val="nil"/>
              <w:bottom w:val="single" w:sz="4" w:space="0" w:color="auto"/>
            </w:tcBorders>
          </w:tcPr>
          <w:p w:rsidR="008A7994" w:rsidRPr="00F47A3A" w:rsidRDefault="003B15E0" w:rsidP="00F82C2C">
            <w:pPr>
              <w:suppressLineNumbers w:val="0"/>
              <w:spacing w:line="480" w:lineRule="auto"/>
              <w:rPr>
                <w:sz w:val="20"/>
                <w:szCs w:val="20"/>
                <w:lang w:val="en-NZ"/>
              </w:rPr>
            </w:pPr>
            <w:r>
              <w:rPr>
                <w:sz w:val="20"/>
                <w:szCs w:val="20"/>
                <w:lang w:val="en-NZ"/>
              </w:rPr>
              <w:t>Access</w:t>
            </w:r>
          </w:p>
        </w:tc>
        <w:tc>
          <w:tcPr>
            <w:tcW w:w="2976" w:type="dxa"/>
            <w:tcBorders>
              <w:top w:val="nil"/>
              <w:bottom w:val="single" w:sz="4" w:space="0" w:color="auto"/>
            </w:tcBorders>
          </w:tcPr>
          <w:p w:rsidR="008A7994" w:rsidRPr="00F546E9" w:rsidRDefault="003B15E0" w:rsidP="00F546E9">
            <w:pPr>
              <w:pStyle w:val="Listeafsnit"/>
              <w:numPr>
                <w:ilvl w:val="0"/>
                <w:numId w:val="19"/>
              </w:numPr>
              <w:suppressLineNumbers w:val="0"/>
              <w:spacing w:line="480" w:lineRule="auto"/>
              <w:ind w:left="161" w:hanging="142"/>
              <w:rPr>
                <w:sz w:val="20"/>
                <w:szCs w:val="20"/>
                <w:lang w:val="en-NZ"/>
              </w:rPr>
            </w:pPr>
            <w:r w:rsidRPr="00F546E9">
              <w:rPr>
                <w:sz w:val="20"/>
                <w:szCs w:val="20"/>
                <w:lang w:val="en-NZ"/>
              </w:rPr>
              <w:t>Fishing licenses/permits</w:t>
            </w:r>
          </w:p>
          <w:p w:rsidR="003B15E0" w:rsidRPr="00F546E9" w:rsidRDefault="003B15E0" w:rsidP="00F546E9">
            <w:pPr>
              <w:pStyle w:val="Listeafsnit"/>
              <w:numPr>
                <w:ilvl w:val="0"/>
                <w:numId w:val="19"/>
              </w:numPr>
              <w:suppressLineNumbers w:val="0"/>
              <w:spacing w:line="480" w:lineRule="auto"/>
              <w:ind w:left="161" w:hanging="142"/>
              <w:rPr>
                <w:sz w:val="20"/>
                <w:szCs w:val="20"/>
                <w:lang w:val="en-NZ"/>
              </w:rPr>
            </w:pPr>
            <w:r w:rsidRPr="00F546E9">
              <w:rPr>
                <w:sz w:val="20"/>
                <w:szCs w:val="20"/>
                <w:lang w:val="en-NZ"/>
              </w:rPr>
              <w:t>No EU-wide ITQ system</w:t>
            </w:r>
          </w:p>
        </w:tc>
        <w:tc>
          <w:tcPr>
            <w:tcW w:w="2862" w:type="dxa"/>
            <w:tcBorders>
              <w:top w:val="nil"/>
              <w:bottom w:val="single" w:sz="4" w:space="0" w:color="auto"/>
            </w:tcBorders>
          </w:tcPr>
          <w:p w:rsidR="008A7994" w:rsidRPr="00F546E9" w:rsidRDefault="003B15E0" w:rsidP="00F546E9">
            <w:pPr>
              <w:pStyle w:val="Listeafsnit"/>
              <w:numPr>
                <w:ilvl w:val="0"/>
                <w:numId w:val="20"/>
              </w:numPr>
              <w:suppressLineNumbers w:val="0"/>
              <w:spacing w:line="480" w:lineRule="auto"/>
              <w:ind w:left="161" w:hanging="141"/>
              <w:rPr>
                <w:sz w:val="20"/>
                <w:szCs w:val="20"/>
                <w:lang w:val="en-NZ"/>
              </w:rPr>
            </w:pPr>
            <w:r w:rsidRPr="00F546E9">
              <w:rPr>
                <w:sz w:val="20"/>
                <w:szCs w:val="20"/>
                <w:lang w:val="en-NZ"/>
              </w:rPr>
              <w:t xml:space="preserve">Fishing licenses/permits </w:t>
            </w:r>
          </w:p>
          <w:p w:rsidR="003B15E0" w:rsidRPr="00F546E9" w:rsidRDefault="003B15E0" w:rsidP="00F546E9">
            <w:pPr>
              <w:pStyle w:val="Listeafsnit"/>
              <w:numPr>
                <w:ilvl w:val="0"/>
                <w:numId w:val="20"/>
              </w:numPr>
              <w:suppressLineNumbers w:val="0"/>
              <w:spacing w:line="480" w:lineRule="auto"/>
              <w:ind w:left="161" w:hanging="141"/>
              <w:rPr>
                <w:sz w:val="20"/>
                <w:szCs w:val="20"/>
                <w:lang w:val="en-NZ"/>
              </w:rPr>
            </w:pPr>
            <w:r w:rsidRPr="00F546E9">
              <w:rPr>
                <w:sz w:val="20"/>
                <w:szCs w:val="20"/>
                <w:lang w:val="en-NZ"/>
              </w:rPr>
              <w:t>ITQs widespread</w:t>
            </w:r>
          </w:p>
        </w:tc>
        <w:tc>
          <w:tcPr>
            <w:tcW w:w="2765" w:type="dxa"/>
            <w:tcBorders>
              <w:top w:val="nil"/>
              <w:bottom w:val="single" w:sz="4" w:space="0" w:color="auto"/>
            </w:tcBorders>
          </w:tcPr>
          <w:p w:rsidR="008A7994" w:rsidRPr="00F546E9" w:rsidRDefault="003B15E0" w:rsidP="00F546E9">
            <w:pPr>
              <w:pStyle w:val="Listeafsnit"/>
              <w:numPr>
                <w:ilvl w:val="0"/>
                <w:numId w:val="21"/>
              </w:numPr>
              <w:suppressLineNumbers w:val="0"/>
              <w:spacing w:line="480" w:lineRule="auto"/>
              <w:ind w:left="134" w:hanging="134"/>
              <w:rPr>
                <w:sz w:val="20"/>
                <w:szCs w:val="20"/>
                <w:lang w:val="en-NZ"/>
              </w:rPr>
            </w:pPr>
            <w:r w:rsidRPr="00F546E9">
              <w:rPr>
                <w:sz w:val="20"/>
                <w:szCs w:val="20"/>
                <w:lang w:val="en-NZ"/>
              </w:rPr>
              <w:t>Fishing licenses/permits</w:t>
            </w:r>
          </w:p>
          <w:p w:rsidR="003B15E0" w:rsidRPr="00F546E9" w:rsidRDefault="003B15E0" w:rsidP="00F546E9">
            <w:pPr>
              <w:pStyle w:val="Listeafsnit"/>
              <w:numPr>
                <w:ilvl w:val="0"/>
                <w:numId w:val="21"/>
              </w:numPr>
              <w:suppressLineNumbers w:val="0"/>
              <w:spacing w:line="480" w:lineRule="auto"/>
              <w:ind w:left="134" w:hanging="134"/>
              <w:rPr>
                <w:sz w:val="20"/>
                <w:szCs w:val="20"/>
                <w:lang w:val="en-NZ"/>
              </w:rPr>
            </w:pPr>
            <w:r w:rsidRPr="00F546E9">
              <w:rPr>
                <w:sz w:val="20"/>
                <w:szCs w:val="20"/>
                <w:lang w:val="en-NZ"/>
              </w:rPr>
              <w:t>ITQs widespread</w:t>
            </w:r>
          </w:p>
        </w:tc>
        <w:tc>
          <w:tcPr>
            <w:tcW w:w="2737" w:type="dxa"/>
            <w:tcBorders>
              <w:top w:val="nil"/>
              <w:bottom w:val="single" w:sz="4" w:space="0" w:color="auto"/>
            </w:tcBorders>
          </w:tcPr>
          <w:p w:rsidR="008A7994" w:rsidRPr="00F546E9" w:rsidRDefault="003B15E0" w:rsidP="00F546E9">
            <w:pPr>
              <w:pStyle w:val="Listeafsnit"/>
              <w:numPr>
                <w:ilvl w:val="0"/>
                <w:numId w:val="22"/>
              </w:numPr>
              <w:suppressLineNumbers w:val="0"/>
              <w:spacing w:line="480" w:lineRule="auto"/>
              <w:ind w:left="204" w:hanging="204"/>
              <w:rPr>
                <w:sz w:val="20"/>
                <w:szCs w:val="20"/>
                <w:lang w:val="en-NZ"/>
              </w:rPr>
            </w:pPr>
            <w:r w:rsidRPr="00F546E9">
              <w:rPr>
                <w:sz w:val="20"/>
                <w:szCs w:val="20"/>
                <w:lang w:val="en-NZ"/>
              </w:rPr>
              <w:t>Fishing licenses/permits</w:t>
            </w:r>
          </w:p>
          <w:p w:rsidR="003B15E0" w:rsidRPr="00F546E9" w:rsidRDefault="003B15E0" w:rsidP="00F546E9">
            <w:pPr>
              <w:pStyle w:val="Listeafsnit"/>
              <w:numPr>
                <w:ilvl w:val="0"/>
                <w:numId w:val="22"/>
              </w:numPr>
              <w:suppressLineNumbers w:val="0"/>
              <w:spacing w:line="480" w:lineRule="auto"/>
              <w:ind w:left="204" w:hanging="204"/>
              <w:rPr>
                <w:sz w:val="20"/>
                <w:szCs w:val="20"/>
                <w:lang w:val="en-NZ"/>
              </w:rPr>
            </w:pPr>
            <w:r w:rsidRPr="00F546E9">
              <w:rPr>
                <w:sz w:val="20"/>
                <w:szCs w:val="20"/>
                <w:lang w:val="en-NZ"/>
              </w:rPr>
              <w:t>ITQs in some fisheries</w:t>
            </w:r>
          </w:p>
        </w:tc>
      </w:tr>
    </w:tbl>
    <w:p w:rsidR="00F82C2C" w:rsidRPr="00913DA4" w:rsidRDefault="00F82C2C" w:rsidP="00F82C2C">
      <w:pPr>
        <w:suppressLineNumbers w:val="0"/>
        <w:spacing w:line="480" w:lineRule="auto"/>
        <w:rPr>
          <w:sz w:val="20"/>
          <w:lang w:val="en-US"/>
        </w:rPr>
      </w:pPr>
    </w:p>
    <w:p w:rsidR="005C7647" w:rsidRDefault="005C7647" w:rsidP="00A51148">
      <w:pPr>
        <w:pStyle w:val="Brdtekst3"/>
        <w:spacing w:line="480" w:lineRule="auto"/>
        <w:ind w:right="283"/>
        <w:rPr>
          <w:b/>
          <w:bCs/>
          <w:lang w:val="en-NZ"/>
        </w:rPr>
      </w:pPr>
    </w:p>
    <w:p w:rsidR="005B797B" w:rsidRDefault="00154ACF" w:rsidP="00A51148">
      <w:pPr>
        <w:widowControl/>
        <w:suppressLineNumbers w:val="0"/>
        <w:spacing w:before="0" w:line="480" w:lineRule="auto"/>
        <w:jc w:val="left"/>
        <w:rPr>
          <w:lang w:val="en-US"/>
        </w:rPr>
        <w:sectPr w:rsidR="005B797B" w:rsidSect="00054082">
          <w:footerReference w:type="even" r:id="rId13"/>
          <w:footerReference w:type="default" r:id="rId14"/>
          <w:pgSz w:w="16840" w:h="11907" w:orient="landscape" w:code="9"/>
          <w:pgMar w:top="1418" w:right="1418" w:bottom="708" w:left="1418" w:header="709" w:footer="709" w:gutter="0"/>
          <w:lnNumType w:countBy="1" w:restart="continuous"/>
          <w:cols w:space="708"/>
          <w:docGrid w:linePitch="360"/>
        </w:sectPr>
      </w:pPr>
      <w:r w:rsidRPr="00930D6B">
        <w:rPr>
          <w:lang w:val="en-US"/>
        </w:rPr>
        <w:br w:type="page"/>
      </w:r>
    </w:p>
    <w:p w:rsidR="00930D6B" w:rsidRPr="00A41A2E" w:rsidRDefault="00930D6B" w:rsidP="00A51148">
      <w:pPr>
        <w:suppressLineNumbers w:val="0"/>
        <w:spacing w:line="480" w:lineRule="auto"/>
        <w:rPr>
          <w:lang w:val="en-NZ"/>
        </w:rPr>
      </w:pPr>
      <w:r w:rsidRPr="00930D6B">
        <w:rPr>
          <w:b/>
          <w:lang w:val="en-NZ"/>
        </w:rPr>
        <w:lastRenderedPageBreak/>
        <w:t>Table 3.</w:t>
      </w:r>
      <w:r w:rsidRPr="00930D6B">
        <w:rPr>
          <w:lang w:val="en-NZ"/>
        </w:rPr>
        <w:t xml:space="preserve"> Conservation indicators for the different </w:t>
      </w:r>
      <w:r w:rsidR="001A35EB">
        <w:rPr>
          <w:lang w:val="en-NZ"/>
        </w:rPr>
        <w:t xml:space="preserve">regions under investigation: </w:t>
      </w:r>
      <w:r w:rsidR="00A41A2E">
        <w:rPr>
          <w:lang w:val="en-NZ"/>
        </w:rPr>
        <w:t>stock information (</w:t>
      </w:r>
      <w:r w:rsidR="001A35EB">
        <w:rPr>
          <w:lang w:val="en-NZ"/>
        </w:rPr>
        <w:t>total number of stocks; total number (and proportion) of s</w:t>
      </w:r>
      <w:r w:rsidRPr="00930D6B">
        <w:rPr>
          <w:lang w:val="en-NZ"/>
        </w:rPr>
        <w:t>tocks for which spawning stock biomass (SSB) and fishing mortality (F) have been estimated rela</w:t>
      </w:r>
      <w:r w:rsidR="00A41A2E">
        <w:rPr>
          <w:lang w:val="en-NZ"/>
        </w:rPr>
        <w:t xml:space="preserve">tive to limit reference points </w:t>
      </w:r>
      <w:r w:rsidR="00AD79D6">
        <w:rPr>
          <w:lang w:val="en-NZ"/>
        </w:rPr>
        <w:t>SS</w:t>
      </w:r>
      <w:r w:rsidRPr="00930D6B">
        <w:rPr>
          <w:lang w:val="en-NZ"/>
        </w:rPr>
        <w:t>B</w:t>
      </w:r>
      <w:r w:rsidRPr="00930D6B">
        <w:rPr>
          <w:vertAlign w:val="subscript"/>
          <w:lang w:val="en-NZ"/>
        </w:rPr>
        <w:t>lim</w:t>
      </w:r>
      <w:r w:rsidRPr="00930D6B">
        <w:rPr>
          <w:lang w:val="en-NZ"/>
        </w:rPr>
        <w:t>, F</w:t>
      </w:r>
      <w:r w:rsidRPr="00930D6B">
        <w:rPr>
          <w:vertAlign w:val="subscript"/>
          <w:lang w:val="en-NZ"/>
        </w:rPr>
        <w:t>lim</w:t>
      </w:r>
      <w:r w:rsidR="00A41A2E">
        <w:rPr>
          <w:lang w:val="en-NZ"/>
        </w:rPr>
        <w:t>, respectively) and stock status (</w:t>
      </w:r>
      <w:r w:rsidR="001A35EB" w:rsidRPr="00A41A2E">
        <w:rPr>
          <w:lang w:val="en-NZ"/>
        </w:rPr>
        <w:t xml:space="preserve">number (and proportion) of </w:t>
      </w:r>
      <w:r w:rsidR="00A41A2E" w:rsidRPr="00A41A2E">
        <w:rPr>
          <w:lang w:val="en-NZ"/>
        </w:rPr>
        <w:t xml:space="preserve">stocks </w:t>
      </w:r>
      <w:r w:rsidR="001A35EB" w:rsidRPr="00A41A2E">
        <w:rPr>
          <w:lang w:val="en-NZ"/>
        </w:rPr>
        <w:t xml:space="preserve">for which </w:t>
      </w:r>
      <w:r w:rsidR="00A41A2E" w:rsidRPr="00A41A2E">
        <w:rPr>
          <w:lang w:val="en-NZ"/>
        </w:rPr>
        <w:t>SSB &gt; SSB</w:t>
      </w:r>
      <w:r w:rsidR="00A41A2E" w:rsidRPr="00A41A2E">
        <w:rPr>
          <w:vertAlign w:val="subscript"/>
          <w:lang w:val="en-NZ"/>
        </w:rPr>
        <w:t>lim</w:t>
      </w:r>
      <w:r w:rsidR="001A35EB" w:rsidRPr="00A41A2E">
        <w:rPr>
          <w:lang w:val="en-NZ"/>
        </w:rPr>
        <w:t xml:space="preserve"> and </w:t>
      </w:r>
      <w:r w:rsidR="00A41A2E" w:rsidRPr="00A41A2E">
        <w:rPr>
          <w:lang w:val="en-NZ"/>
        </w:rPr>
        <w:t>F &lt; F</w:t>
      </w:r>
      <w:r w:rsidR="00A41A2E" w:rsidRPr="00A41A2E">
        <w:rPr>
          <w:vertAlign w:val="subscript"/>
          <w:lang w:val="en-NZ"/>
        </w:rPr>
        <w:t>lim</w:t>
      </w:r>
      <w:r w:rsidR="00A41A2E">
        <w:rPr>
          <w:lang w:val="en-NZ"/>
        </w:rPr>
        <w:t>).</w:t>
      </w:r>
      <w:r w:rsidR="00A41A2E" w:rsidRPr="00A41A2E">
        <w:rPr>
          <w:lang w:val="en-NZ"/>
        </w:rPr>
        <w:t xml:space="preserve"> </w:t>
      </w:r>
      <w:r w:rsidR="00A41A2E">
        <w:rPr>
          <w:lang w:val="en-NZ"/>
        </w:rPr>
        <w:t xml:space="preserve">The results of Chi-square tests comparing stock statuses </w:t>
      </w:r>
      <w:r w:rsidR="004F24B3">
        <w:rPr>
          <w:lang w:val="en-NZ"/>
        </w:rPr>
        <w:t>across regions</w:t>
      </w:r>
      <w:r w:rsidR="007D41E2">
        <w:rPr>
          <w:lang w:val="en-NZ"/>
        </w:rPr>
        <w:t xml:space="preserve"> (with or without Mediterranean stocks)</w:t>
      </w:r>
      <w:r w:rsidR="004F24B3">
        <w:rPr>
          <w:lang w:val="en-NZ"/>
        </w:rPr>
        <w:t xml:space="preserve"> </w:t>
      </w:r>
      <w:r w:rsidR="00A41A2E">
        <w:rPr>
          <w:lang w:val="en-NZ"/>
        </w:rPr>
        <w:t>are shown; (*) p&lt;0.05; (**) p&lt;0.01; (***) p&lt;0.001.</w:t>
      </w:r>
    </w:p>
    <w:tbl>
      <w:tblPr>
        <w:tblStyle w:val="Tabel-Gitter"/>
        <w:tblW w:w="835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104"/>
        <w:gridCol w:w="1455"/>
        <w:gridCol w:w="1211"/>
        <w:gridCol w:w="1414"/>
        <w:gridCol w:w="1166"/>
      </w:tblGrid>
      <w:tr w:rsidR="00A41A2E" w:rsidRPr="001A35EB" w:rsidTr="001368DD">
        <w:trPr>
          <w:jc w:val="center"/>
        </w:trPr>
        <w:tc>
          <w:tcPr>
            <w:tcW w:w="3104" w:type="dxa"/>
            <w:vMerge w:val="restart"/>
          </w:tcPr>
          <w:p w:rsidR="00A41A2E" w:rsidRPr="00930D6B" w:rsidRDefault="00A41A2E" w:rsidP="00A51148">
            <w:pPr>
              <w:suppressLineNumbers w:val="0"/>
              <w:spacing w:line="480" w:lineRule="auto"/>
              <w:rPr>
                <w:sz w:val="20"/>
                <w:szCs w:val="20"/>
                <w:lang w:val="en-NZ"/>
              </w:rPr>
            </w:pPr>
            <w:r w:rsidRPr="00930D6B">
              <w:rPr>
                <w:sz w:val="20"/>
                <w:szCs w:val="20"/>
                <w:lang w:val="en-NZ"/>
              </w:rPr>
              <w:t>Country / Ecoregion</w:t>
            </w:r>
          </w:p>
        </w:tc>
        <w:tc>
          <w:tcPr>
            <w:tcW w:w="2666" w:type="dxa"/>
            <w:gridSpan w:val="2"/>
            <w:tcBorders>
              <w:bottom w:val="single" w:sz="4" w:space="0" w:color="auto"/>
            </w:tcBorders>
          </w:tcPr>
          <w:p w:rsidR="00A41A2E" w:rsidRPr="00930D6B" w:rsidRDefault="00A41A2E" w:rsidP="00A41A2E">
            <w:pPr>
              <w:suppressLineNumbers w:val="0"/>
              <w:spacing w:line="480" w:lineRule="auto"/>
              <w:jc w:val="center"/>
              <w:rPr>
                <w:sz w:val="20"/>
                <w:szCs w:val="20"/>
                <w:lang w:val="en-NZ"/>
              </w:rPr>
            </w:pPr>
            <w:r>
              <w:rPr>
                <w:sz w:val="20"/>
                <w:szCs w:val="20"/>
                <w:lang w:val="en-NZ"/>
              </w:rPr>
              <w:t>S</w:t>
            </w:r>
            <w:r w:rsidRPr="00930D6B">
              <w:rPr>
                <w:sz w:val="20"/>
                <w:szCs w:val="20"/>
                <w:lang w:val="en-NZ"/>
              </w:rPr>
              <w:t>tock</w:t>
            </w:r>
            <w:r>
              <w:rPr>
                <w:sz w:val="20"/>
                <w:szCs w:val="20"/>
                <w:lang w:val="en-NZ"/>
              </w:rPr>
              <w:t xml:space="preserve"> information</w:t>
            </w:r>
          </w:p>
        </w:tc>
        <w:tc>
          <w:tcPr>
            <w:tcW w:w="2580" w:type="dxa"/>
            <w:gridSpan w:val="2"/>
          </w:tcPr>
          <w:p w:rsidR="00A41A2E" w:rsidRPr="00930D6B" w:rsidRDefault="00A41A2E" w:rsidP="00A41A2E">
            <w:pPr>
              <w:suppressLineNumbers w:val="0"/>
              <w:spacing w:line="480" w:lineRule="auto"/>
              <w:jc w:val="center"/>
              <w:rPr>
                <w:sz w:val="20"/>
                <w:szCs w:val="20"/>
                <w:lang w:val="en-NZ"/>
              </w:rPr>
            </w:pPr>
            <w:r>
              <w:rPr>
                <w:sz w:val="20"/>
                <w:szCs w:val="20"/>
                <w:lang w:val="en-NZ"/>
              </w:rPr>
              <w:t>Stock status</w:t>
            </w:r>
          </w:p>
        </w:tc>
      </w:tr>
      <w:tr w:rsidR="007A2647" w:rsidRPr="00930D6B" w:rsidTr="00944492">
        <w:trPr>
          <w:jc w:val="center"/>
        </w:trPr>
        <w:tc>
          <w:tcPr>
            <w:tcW w:w="3104" w:type="dxa"/>
            <w:vMerge/>
            <w:tcBorders>
              <w:bottom w:val="single" w:sz="4" w:space="0" w:color="auto"/>
            </w:tcBorders>
          </w:tcPr>
          <w:p w:rsidR="007A2647" w:rsidRPr="00930D6B" w:rsidRDefault="007A2647" w:rsidP="00A51148">
            <w:pPr>
              <w:suppressLineNumbers w:val="0"/>
              <w:spacing w:line="480" w:lineRule="auto"/>
              <w:rPr>
                <w:sz w:val="20"/>
                <w:szCs w:val="20"/>
                <w:lang w:val="en-NZ"/>
              </w:rPr>
            </w:pPr>
          </w:p>
        </w:tc>
        <w:tc>
          <w:tcPr>
            <w:tcW w:w="1455" w:type="dxa"/>
            <w:tcBorders>
              <w:top w:val="single" w:sz="4" w:space="0" w:color="auto"/>
              <w:bottom w:val="single" w:sz="4" w:space="0" w:color="auto"/>
            </w:tcBorders>
          </w:tcPr>
          <w:p w:rsidR="007A2647" w:rsidRPr="00930D6B" w:rsidRDefault="007A2647" w:rsidP="00A51148">
            <w:pPr>
              <w:suppressLineNumbers w:val="0"/>
              <w:spacing w:line="480" w:lineRule="auto"/>
              <w:rPr>
                <w:sz w:val="20"/>
                <w:szCs w:val="20"/>
                <w:lang w:val="en-NZ"/>
              </w:rPr>
            </w:pPr>
            <w:r>
              <w:rPr>
                <w:sz w:val="20"/>
                <w:szCs w:val="20"/>
                <w:lang w:val="en-NZ"/>
              </w:rPr>
              <w:t>SSB informed</w:t>
            </w:r>
          </w:p>
        </w:tc>
        <w:tc>
          <w:tcPr>
            <w:tcW w:w="1211" w:type="dxa"/>
            <w:tcBorders>
              <w:bottom w:val="single" w:sz="4" w:space="0" w:color="auto"/>
            </w:tcBorders>
          </w:tcPr>
          <w:p w:rsidR="007A2647" w:rsidRPr="00930D6B" w:rsidRDefault="007A2647" w:rsidP="00A51148">
            <w:pPr>
              <w:suppressLineNumbers w:val="0"/>
              <w:spacing w:line="480" w:lineRule="auto"/>
              <w:rPr>
                <w:sz w:val="20"/>
                <w:szCs w:val="20"/>
                <w:lang w:val="en-NZ"/>
              </w:rPr>
            </w:pPr>
            <w:r>
              <w:rPr>
                <w:sz w:val="20"/>
                <w:szCs w:val="20"/>
                <w:lang w:val="en-NZ"/>
              </w:rPr>
              <w:t>F informed</w:t>
            </w:r>
          </w:p>
        </w:tc>
        <w:tc>
          <w:tcPr>
            <w:tcW w:w="1414" w:type="dxa"/>
            <w:tcBorders>
              <w:bottom w:val="single" w:sz="4" w:space="0" w:color="auto"/>
            </w:tcBorders>
          </w:tcPr>
          <w:p w:rsidR="007A2647" w:rsidRPr="00930D6B" w:rsidRDefault="007A2647" w:rsidP="005B797B">
            <w:pPr>
              <w:suppressLineNumbers w:val="0"/>
              <w:spacing w:line="480" w:lineRule="auto"/>
              <w:rPr>
                <w:sz w:val="20"/>
                <w:szCs w:val="20"/>
                <w:lang w:val="en-NZ"/>
              </w:rPr>
            </w:pPr>
            <w:r w:rsidRPr="00930D6B">
              <w:rPr>
                <w:sz w:val="20"/>
                <w:szCs w:val="20"/>
                <w:lang w:val="en-NZ"/>
              </w:rPr>
              <w:t xml:space="preserve">SSB &gt; </w:t>
            </w:r>
            <w:r>
              <w:rPr>
                <w:sz w:val="20"/>
                <w:szCs w:val="20"/>
                <w:lang w:val="en-NZ"/>
              </w:rPr>
              <w:t>SS</w:t>
            </w:r>
            <w:r w:rsidRPr="00930D6B">
              <w:rPr>
                <w:sz w:val="20"/>
                <w:szCs w:val="20"/>
                <w:lang w:val="en-NZ"/>
              </w:rPr>
              <w:t>B</w:t>
            </w:r>
            <w:r w:rsidRPr="00382B79">
              <w:rPr>
                <w:sz w:val="20"/>
                <w:szCs w:val="20"/>
                <w:vertAlign w:val="subscript"/>
                <w:lang w:val="en-NZ"/>
              </w:rPr>
              <w:t>lim</w:t>
            </w:r>
          </w:p>
        </w:tc>
        <w:tc>
          <w:tcPr>
            <w:tcW w:w="1166" w:type="dxa"/>
            <w:tcBorders>
              <w:bottom w:val="single" w:sz="4" w:space="0" w:color="auto"/>
            </w:tcBorders>
          </w:tcPr>
          <w:p w:rsidR="007A2647" w:rsidRPr="00930D6B" w:rsidRDefault="007A2647" w:rsidP="005B797B">
            <w:pPr>
              <w:suppressLineNumbers w:val="0"/>
              <w:spacing w:line="480" w:lineRule="auto"/>
              <w:rPr>
                <w:sz w:val="20"/>
                <w:szCs w:val="20"/>
                <w:lang w:val="en-NZ"/>
              </w:rPr>
            </w:pPr>
            <w:r w:rsidRPr="00930D6B">
              <w:rPr>
                <w:sz w:val="20"/>
                <w:szCs w:val="20"/>
                <w:lang w:val="en-NZ"/>
              </w:rPr>
              <w:t>F &lt; F</w:t>
            </w:r>
            <w:r>
              <w:rPr>
                <w:sz w:val="20"/>
                <w:szCs w:val="20"/>
                <w:vertAlign w:val="subscript"/>
                <w:lang w:val="en-NZ"/>
              </w:rPr>
              <w:t>lim</w:t>
            </w:r>
          </w:p>
        </w:tc>
      </w:tr>
      <w:tr w:rsidR="001368DD" w:rsidRPr="00930D6B" w:rsidTr="00B84EDF">
        <w:trPr>
          <w:trHeight w:val="638"/>
          <w:jc w:val="center"/>
        </w:trPr>
        <w:tc>
          <w:tcPr>
            <w:tcW w:w="3104" w:type="dxa"/>
            <w:tcBorders>
              <w:bottom w:val="nil"/>
            </w:tcBorders>
          </w:tcPr>
          <w:p w:rsidR="001368DD" w:rsidRPr="00930D6B" w:rsidRDefault="001368DD" w:rsidP="005F36AB">
            <w:pPr>
              <w:spacing w:line="480" w:lineRule="auto"/>
              <w:rPr>
                <w:sz w:val="20"/>
                <w:szCs w:val="20"/>
                <w:lang w:val="en-NZ"/>
              </w:rPr>
            </w:pPr>
            <w:r>
              <w:rPr>
                <w:sz w:val="20"/>
                <w:szCs w:val="20"/>
                <w:lang w:val="en-NZ"/>
              </w:rPr>
              <w:t>EU Northeast Atlantic (2013)</w:t>
            </w:r>
          </w:p>
        </w:tc>
        <w:tc>
          <w:tcPr>
            <w:tcW w:w="1455" w:type="dxa"/>
            <w:tcBorders>
              <w:bottom w:val="nil"/>
            </w:tcBorders>
            <w:vAlign w:val="bottom"/>
          </w:tcPr>
          <w:p w:rsidR="001368DD" w:rsidRPr="00930D6B" w:rsidRDefault="001368DD" w:rsidP="00E71E89">
            <w:pPr>
              <w:spacing w:line="480" w:lineRule="auto"/>
              <w:jc w:val="left"/>
              <w:rPr>
                <w:sz w:val="20"/>
                <w:szCs w:val="20"/>
                <w:lang w:val="en-US"/>
              </w:rPr>
            </w:pPr>
            <w:r>
              <w:rPr>
                <w:sz w:val="20"/>
                <w:szCs w:val="20"/>
              </w:rPr>
              <w:t>35</w:t>
            </w:r>
          </w:p>
        </w:tc>
        <w:tc>
          <w:tcPr>
            <w:tcW w:w="1211" w:type="dxa"/>
            <w:tcBorders>
              <w:bottom w:val="nil"/>
            </w:tcBorders>
          </w:tcPr>
          <w:p w:rsidR="001368DD" w:rsidRPr="00930D6B" w:rsidRDefault="001368DD" w:rsidP="007A2647">
            <w:pPr>
              <w:spacing w:line="480" w:lineRule="auto"/>
              <w:jc w:val="left"/>
              <w:rPr>
                <w:sz w:val="20"/>
                <w:szCs w:val="20"/>
                <w:lang w:val="en-US"/>
              </w:rPr>
            </w:pPr>
            <w:r>
              <w:rPr>
                <w:sz w:val="20"/>
                <w:szCs w:val="20"/>
              </w:rPr>
              <w:t>19</w:t>
            </w:r>
          </w:p>
        </w:tc>
        <w:tc>
          <w:tcPr>
            <w:tcW w:w="1414" w:type="dxa"/>
            <w:tcBorders>
              <w:bottom w:val="nil"/>
            </w:tcBorders>
            <w:vAlign w:val="bottom"/>
          </w:tcPr>
          <w:p w:rsidR="001368DD" w:rsidRPr="00930D6B" w:rsidRDefault="001368DD" w:rsidP="00DF7527">
            <w:pPr>
              <w:spacing w:line="480" w:lineRule="auto"/>
              <w:jc w:val="left"/>
              <w:rPr>
                <w:sz w:val="20"/>
                <w:szCs w:val="20"/>
                <w:lang w:val="en-US"/>
              </w:rPr>
            </w:pPr>
            <w:r>
              <w:rPr>
                <w:sz w:val="20"/>
                <w:szCs w:val="20"/>
              </w:rPr>
              <w:t>25 (71%)</w:t>
            </w:r>
          </w:p>
        </w:tc>
        <w:tc>
          <w:tcPr>
            <w:tcW w:w="1166" w:type="dxa"/>
            <w:tcBorders>
              <w:bottom w:val="nil"/>
            </w:tcBorders>
            <w:vAlign w:val="bottom"/>
          </w:tcPr>
          <w:p w:rsidR="001368DD" w:rsidRPr="00930D6B" w:rsidRDefault="001368DD" w:rsidP="00DF7527">
            <w:pPr>
              <w:spacing w:line="480" w:lineRule="auto"/>
              <w:jc w:val="left"/>
              <w:rPr>
                <w:sz w:val="20"/>
                <w:szCs w:val="20"/>
              </w:rPr>
            </w:pPr>
            <w:r>
              <w:rPr>
                <w:sz w:val="20"/>
                <w:szCs w:val="20"/>
              </w:rPr>
              <w:t>13 (68%)</w:t>
            </w:r>
          </w:p>
        </w:tc>
      </w:tr>
      <w:tr w:rsidR="001368DD" w:rsidRPr="00930D6B" w:rsidTr="00944492">
        <w:trPr>
          <w:jc w:val="center"/>
        </w:trPr>
        <w:tc>
          <w:tcPr>
            <w:tcW w:w="3104" w:type="dxa"/>
            <w:tcBorders>
              <w:top w:val="nil"/>
              <w:bottom w:val="nil"/>
            </w:tcBorders>
          </w:tcPr>
          <w:p w:rsidR="001368DD" w:rsidRPr="00930D6B" w:rsidRDefault="001368DD" w:rsidP="00A51148">
            <w:pPr>
              <w:suppressLineNumbers w:val="0"/>
              <w:spacing w:line="480" w:lineRule="auto"/>
              <w:rPr>
                <w:sz w:val="20"/>
                <w:szCs w:val="20"/>
                <w:lang w:val="en-NZ"/>
              </w:rPr>
            </w:pPr>
            <w:r>
              <w:rPr>
                <w:sz w:val="20"/>
                <w:szCs w:val="20"/>
                <w:lang w:val="en-NZ"/>
              </w:rPr>
              <w:t xml:space="preserve">EU </w:t>
            </w:r>
            <w:r w:rsidRPr="00930D6B">
              <w:rPr>
                <w:sz w:val="20"/>
                <w:szCs w:val="20"/>
                <w:lang w:val="en-NZ"/>
              </w:rPr>
              <w:t>Mediterranean Sea</w:t>
            </w:r>
            <w:r>
              <w:rPr>
                <w:sz w:val="20"/>
                <w:szCs w:val="20"/>
                <w:lang w:val="en-NZ"/>
              </w:rPr>
              <w:t xml:space="preserve"> (2013)</w:t>
            </w:r>
          </w:p>
        </w:tc>
        <w:tc>
          <w:tcPr>
            <w:tcW w:w="1455" w:type="dxa"/>
            <w:tcBorders>
              <w:top w:val="nil"/>
              <w:bottom w:val="nil"/>
            </w:tcBorders>
            <w:vAlign w:val="bottom"/>
          </w:tcPr>
          <w:p w:rsidR="001368DD" w:rsidRPr="00930D6B" w:rsidRDefault="001368DD" w:rsidP="00A51148">
            <w:pPr>
              <w:suppressLineNumbers w:val="0"/>
              <w:spacing w:line="480" w:lineRule="auto"/>
              <w:rPr>
                <w:sz w:val="20"/>
                <w:szCs w:val="20"/>
              </w:rPr>
            </w:pPr>
            <w:r>
              <w:rPr>
                <w:sz w:val="20"/>
                <w:szCs w:val="20"/>
              </w:rPr>
              <w:t>0</w:t>
            </w:r>
          </w:p>
        </w:tc>
        <w:tc>
          <w:tcPr>
            <w:tcW w:w="1211" w:type="dxa"/>
            <w:tcBorders>
              <w:top w:val="nil"/>
              <w:bottom w:val="nil"/>
            </w:tcBorders>
          </w:tcPr>
          <w:p w:rsidR="001368DD" w:rsidRPr="00930D6B" w:rsidRDefault="001368DD" w:rsidP="00D71A6C">
            <w:pPr>
              <w:suppressLineNumbers w:val="0"/>
              <w:spacing w:line="480" w:lineRule="auto"/>
              <w:rPr>
                <w:sz w:val="20"/>
                <w:szCs w:val="20"/>
              </w:rPr>
            </w:pPr>
            <w:r>
              <w:rPr>
                <w:sz w:val="20"/>
                <w:szCs w:val="20"/>
              </w:rPr>
              <w:t>24</w:t>
            </w:r>
          </w:p>
        </w:tc>
        <w:tc>
          <w:tcPr>
            <w:tcW w:w="1414" w:type="dxa"/>
            <w:tcBorders>
              <w:top w:val="nil"/>
              <w:bottom w:val="nil"/>
            </w:tcBorders>
            <w:vAlign w:val="bottom"/>
          </w:tcPr>
          <w:p w:rsidR="001368DD" w:rsidRPr="00930D6B" w:rsidRDefault="001368DD" w:rsidP="00A51148">
            <w:pPr>
              <w:suppressLineNumbers w:val="0"/>
              <w:spacing w:line="480" w:lineRule="auto"/>
              <w:rPr>
                <w:sz w:val="20"/>
                <w:szCs w:val="20"/>
              </w:rPr>
            </w:pPr>
            <w:r>
              <w:rPr>
                <w:sz w:val="20"/>
                <w:szCs w:val="20"/>
              </w:rPr>
              <w:t>-</w:t>
            </w:r>
          </w:p>
        </w:tc>
        <w:tc>
          <w:tcPr>
            <w:tcW w:w="1166" w:type="dxa"/>
            <w:tcBorders>
              <w:top w:val="nil"/>
              <w:bottom w:val="nil"/>
            </w:tcBorders>
            <w:vAlign w:val="bottom"/>
          </w:tcPr>
          <w:p w:rsidR="001368DD" w:rsidRPr="00930D6B" w:rsidRDefault="001368DD" w:rsidP="00D71A6C">
            <w:pPr>
              <w:suppressLineNumbers w:val="0"/>
              <w:spacing w:line="480" w:lineRule="auto"/>
              <w:rPr>
                <w:sz w:val="20"/>
                <w:szCs w:val="20"/>
              </w:rPr>
            </w:pPr>
            <w:r>
              <w:rPr>
                <w:sz w:val="20"/>
                <w:szCs w:val="20"/>
              </w:rPr>
              <w:t>2 (8%)</w:t>
            </w:r>
          </w:p>
        </w:tc>
      </w:tr>
      <w:tr w:rsidR="007A2647" w:rsidRPr="00930D6B" w:rsidTr="00944492">
        <w:trPr>
          <w:jc w:val="center"/>
        </w:trPr>
        <w:tc>
          <w:tcPr>
            <w:tcW w:w="3104" w:type="dxa"/>
            <w:tcBorders>
              <w:top w:val="nil"/>
              <w:bottom w:val="nil"/>
            </w:tcBorders>
          </w:tcPr>
          <w:p w:rsidR="007A2647" w:rsidRPr="00930D6B" w:rsidRDefault="007A2647" w:rsidP="00A51148">
            <w:pPr>
              <w:suppressLineNumbers w:val="0"/>
              <w:spacing w:line="480" w:lineRule="auto"/>
              <w:rPr>
                <w:sz w:val="20"/>
                <w:szCs w:val="20"/>
                <w:lang w:val="en-NZ"/>
              </w:rPr>
            </w:pPr>
            <w:r w:rsidRPr="00930D6B">
              <w:rPr>
                <w:sz w:val="20"/>
                <w:szCs w:val="20"/>
                <w:lang w:val="en-NZ"/>
              </w:rPr>
              <w:t>Iceland and East Greenland</w:t>
            </w:r>
            <w:r>
              <w:rPr>
                <w:sz w:val="20"/>
                <w:szCs w:val="20"/>
                <w:lang w:val="en-NZ"/>
              </w:rPr>
              <w:t xml:space="preserve"> (2013)</w:t>
            </w:r>
          </w:p>
        </w:tc>
        <w:tc>
          <w:tcPr>
            <w:tcW w:w="1455" w:type="dxa"/>
            <w:tcBorders>
              <w:top w:val="nil"/>
              <w:bottom w:val="nil"/>
            </w:tcBorders>
            <w:vAlign w:val="bottom"/>
          </w:tcPr>
          <w:p w:rsidR="007A2647" w:rsidRPr="00930D6B" w:rsidRDefault="007A2647" w:rsidP="000608ED">
            <w:pPr>
              <w:suppressLineNumbers w:val="0"/>
              <w:spacing w:line="480" w:lineRule="auto"/>
              <w:rPr>
                <w:sz w:val="20"/>
                <w:szCs w:val="20"/>
              </w:rPr>
            </w:pPr>
            <w:r>
              <w:rPr>
                <w:sz w:val="20"/>
                <w:szCs w:val="20"/>
              </w:rPr>
              <w:t>5</w:t>
            </w:r>
          </w:p>
        </w:tc>
        <w:tc>
          <w:tcPr>
            <w:tcW w:w="1211" w:type="dxa"/>
            <w:tcBorders>
              <w:top w:val="nil"/>
              <w:bottom w:val="nil"/>
            </w:tcBorders>
          </w:tcPr>
          <w:p w:rsidR="007A2647" w:rsidRPr="00930D6B" w:rsidRDefault="007A2647" w:rsidP="000608ED">
            <w:pPr>
              <w:suppressLineNumbers w:val="0"/>
              <w:spacing w:line="480" w:lineRule="auto"/>
              <w:rPr>
                <w:sz w:val="20"/>
                <w:szCs w:val="20"/>
              </w:rPr>
            </w:pPr>
            <w:r>
              <w:rPr>
                <w:sz w:val="20"/>
                <w:szCs w:val="20"/>
              </w:rPr>
              <w:t>3</w:t>
            </w:r>
          </w:p>
        </w:tc>
        <w:tc>
          <w:tcPr>
            <w:tcW w:w="1414" w:type="dxa"/>
            <w:tcBorders>
              <w:top w:val="nil"/>
              <w:bottom w:val="nil"/>
            </w:tcBorders>
            <w:vAlign w:val="bottom"/>
          </w:tcPr>
          <w:p w:rsidR="007A2647" w:rsidRPr="00930D6B" w:rsidRDefault="007A2647" w:rsidP="00A51148">
            <w:pPr>
              <w:suppressLineNumbers w:val="0"/>
              <w:spacing w:line="480" w:lineRule="auto"/>
              <w:rPr>
                <w:sz w:val="20"/>
                <w:szCs w:val="20"/>
              </w:rPr>
            </w:pPr>
            <w:r>
              <w:rPr>
                <w:sz w:val="20"/>
                <w:szCs w:val="20"/>
              </w:rPr>
              <w:t>5</w:t>
            </w:r>
            <w:r w:rsidR="00D46E34">
              <w:rPr>
                <w:sz w:val="20"/>
                <w:szCs w:val="20"/>
              </w:rPr>
              <w:t xml:space="preserve"> (100%)</w:t>
            </w:r>
          </w:p>
        </w:tc>
        <w:tc>
          <w:tcPr>
            <w:tcW w:w="1166" w:type="dxa"/>
            <w:tcBorders>
              <w:top w:val="nil"/>
              <w:bottom w:val="nil"/>
            </w:tcBorders>
            <w:vAlign w:val="bottom"/>
          </w:tcPr>
          <w:p w:rsidR="007A2647" w:rsidRPr="00930D6B" w:rsidRDefault="007A2647" w:rsidP="000608ED">
            <w:pPr>
              <w:suppressLineNumbers w:val="0"/>
              <w:spacing w:line="480" w:lineRule="auto"/>
              <w:rPr>
                <w:sz w:val="20"/>
                <w:szCs w:val="20"/>
              </w:rPr>
            </w:pPr>
            <w:r>
              <w:rPr>
                <w:sz w:val="20"/>
                <w:szCs w:val="20"/>
              </w:rPr>
              <w:t>3</w:t>
            </w:r>
            <w:r w:rsidR="00D46E34">
              <w:rPr>
                <w:sz w:val="20"/>
                <w:szCs w:val="20"/>
              </w:rPr>
              <w:t xml:space="preserve"> (100%)</w:t>
            </w:r>
          </w:p>
        </w:tc>
      </w:tr>
      <w:tr w:rsidR="007A2647" w:rsidRPr="00930D6B" w:rsidTr="00944492">
        <w:trPr>
          <w:jc w:val="center"/>
        </w:trPr>
        <w:tc>
          <w:tcPr>
            <w:tcW w:w="3104" w:type="dxa"/>
            <w:tcBorders>
              <w:top w:val="nil"/>
              <w:bottom w:val="nil"/>
            </w:tcBorders>
          </w:tcPr>
          <w:p w:rsidR="007A2647" w:rsidRPr="00930D6B" w:rsidRDefault="007A2647" w:rsidP="00A51148">
            <w:pPr>
              <w:suppressLineNumbers w:val="0"/>
              <w:spacing w:line="480" w:lineRule="auto"/>
              <w:rPr>
                <w:sz w:val="20"/>
                <w:szCs w:val="20"/>
                <w:lang w:val="en-NZ"/>
              </w:rPr>
            </w:pPr>
            <w:r w:rsidRPr="00930D6B">
              <w:rPr>
                <w:sz w:val="20"/>
                <w:szCs w:val="20"/>
                <w:lang w:val="en-NZ"/>
              </w:rPr>
              <w:t>New Zealand</w:t>
            </w:r>
            <w:r>
              <w:rPr>
                <w:sz w:val="20"/>
                <w:szCs w:val="20"/>
                <w:lang w:val="en-NZ"/>
              </w:rPr>
              <w:t xml:space="preserve"> (2013)</w:t>
            </w:r>
          </w:p>
        </w:tc>
        <w:tc>
          <w:tcPr>
            <w:tcW w:w="1455" w:type="dxa"/>
            <w:tcBorders>
              <w:top w:val="nil"/>
              <w:bottom w:val="nil"/>
            </w:tcBorders>
            <w:vAlign w:val="bottom"/>
          </w:tcPr>
          <w:p w:rsidR="007A2647" w:rsidRPr="00930D6B" w:rsidRDefault="007A2647" w:rsidP="00061C52">
            <w:pPr>
              <w:suppressLineNumbers w:val="0"/>
              <w:spacing w:line="480" w:lineRule="auto"/>
              <w:rPr>
                <w:sz w:val="20"/>
                <w:szCs w:val="20"/>
              </w:rPr>
            </w:pPr>
            <w:r>
              <w:rPr>
                <w:sz w:val="20"/>
                <w:szCs w:val="20"/>
              </w:rPr>
              <w:t>139</w:t>
            </w:r>
          </w:p>
        </w:tc>
        <w:tc>
          <w:tcPr>
            <w:tcW w:w="1211" w:type="dxa"/>
            <w:tcBorders>
              <w:top w:val="nil"/>
              <w:bottom w:val="nil"/>
            </w:tcBorders>
          </w:tcPr>
          <w:p w:rsidR="007A2647" w:rsidRPr="00930D6B" w:rsidRDefault="007A2647" w:rsidP="00061C52">
            <w:pPr>
              <w:suppressLineNumbers w:val="0"/>
              <w:spacing w:line="480" w:lineRule="auto"/>
              <w:rPr>
                <w:sz w:val="20"/>
                <w:szCs w:val="20"/>
              </w:rPr>
            </w:pPr>
            <w:r>
              <w:rPr>
                <w:sz w:val="20"/>
                <w:szCs w:val="20"/>
              </w:rPr>
              <w:t>117</w:t>
            </w:r>
          </w:p>
        </w:tc>
        <w:tc>
          <w:tcPr>
            <w:tcW w:w="1414" w:type="dxa"/>
            <w:tcBorders>
              <w:top w:val="nil"/>
              <w:bottom w:val="nil"/>
            </w:tcBorders>
            <w:vAlign w:val="bottom"/>
          </w:tcPr>
          <w:p w:rsidR="007A2647" w:rsidRPr="00930D6B" w:rsidRDefault="007A2647" w:rsidP="00313443">
            <w:pPr>
              <w:suppressLineNumbers w:val="0"/>
              <w:spacing w:line="480" w:lineRule="auto"/>
              <w:rPr>
                <w:sz w:val="20"/>
                <w:szCs w:val="20"/>
              </w:rPr>
            </w:pPr>
            <w:r>
              <w:rPr>
                <w:sz w:val="20"/>
                <w:szCs w:val="20"/>
              </w:rPr>
              <w:t>114</w:t>
            </w:r>
            <w:r w:rsidR="00D46E34">
              <w:rPr>
                <w:sz w:val="20"/>
                <w:szCs w:val="20"/>
              </w:rPr>
              <w:t xml:space="preserve"> (82%)</w:t>
            </w:r>
          </w:p>
        </w:tc>
        <w:tc>
          <w:tcPr>
            <w:tcW w:w="1166" w:type="dxa"/>
            <w:tcBorders>
              <w:top w:val="nil"/>
              <w:bottom w:val="nil"/>
            </w:tcBorders>
            <w:vAlign w:val="bottom"/>
          </w:tcPr>
          <w:p w:rsidR="007A2647" w:rsidRPr="00930D6B" w:rsidRDefault="007A2647" w:rsidP="00A51148">
            <w:pPr>
              <w:suppressLineNumbers w:val="0"/>
              <w:spacing w:line="480" w:lineRule="auto"/>
              <w:rPr>
                <w:sz w:val="20"/>
                <w:szCs w:val="20"/>
              </w:rPr>
            </w:pPr>
            <w:r>
              <w:rPr>
                <w:sz w:val="20"/>
                <w:szCs w:val="20"/>
              </w:rPr>
              <w:t>96</w:t>
            </w:r>
            <w:r w:rsidR="00D46E34">
              <w:rPr>
                <w:sz w:val="20"/>
                <w:szCs w:val="20"/>
              </w:rPr>
              <w:t xml:space="preserve"> (82%)</w:t>
            </w:r>
          </w:p>
        </w:tc>
      </w:tr>
      <w:tr w:rsidR="007A2647" w:rsidRPr="00930D6B" w:rsidTr="00944492">
        <w:trPr>
          <w:jc w:val="center"/>
        </w:trPr>
        <w:tc>
          <w:tcPr>
            <w:tcW w:w="3104" w:type="dxa"/>
            <w:tcBorders>
              <w:top w:val="nil"/>
              <w:bottom w:val="single" w:sz="4" w:space="0" w:color="auto"/>
            </w:tcBorders>
          </w:tcPr>
          <w:p w:rsidR="007A2647" w:rsidRDefault="007A2647" w:rsidP="00A51148">
            <w:pPr>
              <w:suppressLineNumbers w:val="0"/>
              <w:spacing w:line="480" w:lineRule="auto"/>
              <w:rPr>
                <w:sz w:val="20"/>
                <w:szCs w:val="20"/>
                <w:lang w:val="en-NZ"/>
              </w:rPr>
            </w:pPr>
            <w:r>
              <w:rPr>
                <w:sz w:val="20"/>
                <w:szCs w:val="20"/>
                <w:lang w:val="en-NZ"/>
              </w:rPr>
              <w:t>Australia – Federal stocks (2012)</w:t>
            </w:r>
          </w:p>
        </w:tc>
        <w:tc>
          <w:tcPr>
            <w:tcW w:w="1455" w:type="dxa"/>
            <w:tcBorders>
              <w:top w:val="nil"/>
              <w:bottom w:val="single" w:sz="4" w:space="0" w:color="auto"/>
            </w:tcBorders>
            <w:vAlign w:val="bottom"/>
          </w:tcPr>
          <w:p w:rsidR="007A2647" w:rsidRDefault="001368DD" w:rsidP="00A51148">
            <w:pPr>
              <w:suppressLineNumbers w:val="0"/>
              <w:spacing w:line="480" w:lineRule="auto"/>
              <w:rPr>
                <w:sz w:val="20"/>
                <w:szCs w:val="20"/>
              </w:rPr>
            </w:pPr>
            <w:r>
              <w:rPr>
                <w:sz w:val="20"/>
                <w:szCs w:val="20"/>
              </w:rPr>
              <w:t>72</w:t>
            </w:r>
          </w:p>
        </w:tc>
        <w:tc>
          <w:tcPr>
            <w:tcW w:w="1211" w:type="dxa"/>
            <w:tcBorders>
              <w:top w:val="nil"/>
              <w:bottom w:val="single" w:sz="4" w:space="0" w:color="auto"/>
            </w:tcBorders>
          </w:tcPr>
          <w:p w:rsidR="007A2647" w:rsidRDefault="001368DD" w:rsidP="00A51148">
            <w:pPr>
              <w:suppressLineNumbers w:val="0"/>
              <w:spacing w:line="480" w:lineRule="auto"/>
              <w:rPr>
                <w:sz w:val="20"/>
                <w:szCs w:val="20"/>
              </w:rPr>
            </w:pPr>
            <w:r>
              <w:rPr>
                <w:sz w:val="20"/>
                <w:szCs w:val="20"/>
              </w:rPr>
              <w:t>81</w:t>
            </w:r>
          </w:p>
        </w:tc>
        <w:tc>
          <w:tcPr>
            <w:tcW w:w="1414" w:type="dxa"/>
            <w:tcBorders>
              <w:top w:val="nil"/>
              <w:bottom w:val="single" w:sz="4" w:space="0" w:color="auto"/>
            </w:tcBorders>
            <w:vAlign w:val="bottom"/>
          </w:tcPr>
          <w:p w:rsidR="007A2647" w:rsidRDefault="001368DD" w:rsidP="00A51148">
            <w:pPr>
              <w:suppressLineNumbers w:val="0"/>
              <w:spacing w:line="480" w:lineRule="auto"/>
              <w:rPr>
                <w:sz w:val="20"/>
                <w:szCs w:val="20"/>
              </w:rPr>
            </w:pPr>
            <w:r>
              <w:rPr>
                <w:sz w:val="20"/>
                <w:szCs w:val="20"/>
              </w:rPr>
              <w:t>63 (88%)</w:t>
            </w:r>
          </w:p>
        </w:tc>
        <w:tc>
          <w:tcPr>
            <w:tcW w:w="1166" w:type="dxa"/>
            <w:tcBorders>
              <w:top w:val="nil"/>
              <w:bottom w:val="single" w:sz="4" w:space="0" w:color="auto"/>
            </w:tcBorders>
            <w:vAlign w:val="bottom"/>
          </w:tcPr>
          <w:p w:rsidR="007A2647" w:rsidRDefault="001368DD" w:rsidP="00A51148">
            <w:pPr>
              <w:suppressLineNumbers w:val="0"/>
              <w:spacing w:line="480" w:lineRule="auto"/>
              <w:rPr>
                <w:sz w:val="20"/>
                <w:szCs w:val="20"/>
              </w:rPr>
            </w:pPr>
            <w:r>
              <w:rPr>
                <w:sz w:val="20"/>
                <w:szCs w:val="20"/>
              </w:rPr>
              <w:t>77 (95%)</w:t>
            </w:r>
          </w:p>
        </w:tc>
      </w:tr>
      <w:tr w:rsidR="007A2647" w:rsidRPr="00192165" w:rsidTr="00944492">
        <w:trPr>
          <w:jc w:val="center"/>
        </w:trPr>
        <w:tc>
          <w:tcPr>
            <w:tcW w:w="3104" w:type="dxa"/>
            <w:tcBorders>
              <w:bottom w:val="nil"/>
            </w:tcBorders>
          </w:tcPr>
          <w:p w:rsidR="007A2647" w:rsidRPr="00944492" w:rsidRDefault="007A2647" w:rsidP="00A51148">
            <w:pPr>
              <w:suppressLineNumbers w:val="0"/>
              <w:spacing w:line="480" w:lineRule="auto"/>
              <w:rPr>
                <w:sz w:val="20"/>
                <w:szCs w:val="20"/>
                <w:lang w:val="en-NZ"/>
              </w:rPr>
            </w:pPr>
            <w:r w:rsidRPr="00192165">
              <w:rPr>
                <w:sz w:val="20"/>
                <w:szCs w:val="20"/>
              </w:rPr>
              <w:sym w:font="Symbol" w:char="F063"/>
            </w:r>
            <w:r w:rsidRPr="00192165">
              <w:rPr>
                <w:sz w:val="20"/>
                <w:szCs w:val="20"/>
                <w:vertAlign w:val="superscript"/>
              </w:rPr>
              <w:t>2</w:t>
            </w:r>
            <w:r w:rsidR="00944492">
              <w:rPr>
                <w:sz w:val="20"/>
                <w:szCs w:val="20"/>
              </w:rPr>
              <w:t xml:space="preserve"> (with Mediterranean stocks)</w:t>
            </w:r>
          </w:p>
        </w:tc>
        <w:tc>
          <w:tcPr>
            <w:tcW w:w="1455" w:type="dxa"/>
            <w:tcBorders>
              <w:bottom w:val="nil"/>
            </w:tcBorders>
            <w:vAlign w:val="bottom"/>
          </w:tcPr>
          <w:p w:rsidR="007A2647" w:rsidRPr="00192165" w:rsidRDefault="007A2647" w:rsidP="00A51148">
            <w:pPr>
              <w:suppressLineNumbers w:val="0"/>
              <w:spacing w:line="480" w:lineRule="auto"/>
              <w:rPr>
                <w:sz w:val="20"/>
                <w:szCs w:val="20"/>
              </w:rPr>
            </w:pPr>
          </w:p>
        </w:tc>
        <w:tc>
          <w:tcPr>
            <w:tcW w:w="1211" w:type="dxa"/>
            <w:tcBorders>
              <w:bottom w:val="nil"/>
            </w:tcBorders>
          </w:tcPr>
          <w:p w:rsidR="007A2647" w:rsidRPr="00192165" w:rsidRDefault="007A2647" w:rsidP="00A51148">
            <w:pPr>
              <w:suppressLineNumbers w:val="0"/>
              <w:spacing w:line="480" w:lineRule="auto"/>
              <w:rPr>
                <w:sz w:val="20"/>
                <w:szCs w:val="20"/>
              </w:rPr>
            </w:pPr>
          </w:p>
        </w:tc>
        <w:tc>
          <w:tcPr>
            <w:tcW w:w="1414" w:type="dxa"/>
            <w:tcBorders>
              <w:bottom w:val="nil"/>
            </w:tcBorders>
            <w:vAlign w:val="bottom"/>
          </w:tcPr>
          <w:p w:rsidR="007A2647" w:rsidRPr="00192165" w:rsidRDefault="00F80F2D" w:rsidP="00497688">
            <w:pPr>
              <w:suppressLineNumbers w:val="0"/>
              <w:spacing w:line="480" w:lineRule="auto"/>
              <w:rPr>
                <w:sz w:val="20"/>
                <w:szCs w:val="20"/>
              </w:rPr>
            </w:pPr>
            <w:r>
              <w:rPr>
                <w:sz w:val="20"/>
                <w:szCs w:val="20"/>
              </w:rPr>
              <w:t>4.14</w:t>
            </w:r>
          </w:p>
        </w:tc>
        <w:tc>
          <w:tcPr>
            <w:tcW w:w="1166" w:type="dxa"/>
            <w:tcBorders>
              <w:bottom w:val="nil"/>
            </w:tcBorders>
            <w:vAlign w:val="bottom"/>
          </w:tcPr>
          <w:p w:rsidR="007A2647" w:rsidRPr="00192165" w:rsidRDefault="00F80F2D" w:rsidP="00F80F2D">
            <w:pPr>
              <w:suppressLineNumbers w:val="0"/>
              <w:spacing w:line="480" w:lineRule="auto"/>
              <w:rPr>
                <w:sz w:val="20"/>
                <w:szCs w:val="20"/>
              </w:rPr>
            </w:pPr>
            <w:r>
              <w:rPr>
                <w:sz w:val="20"/>
                <w:szCs w:val="20"/>
              </w:rPr>
              <w:t>83</w:t>
            </w:r>
            <w:r w:rsidR="007A2647">
              <w:rPr>
                <w:sz w:val="20"/>
                <w:szCs w:val="20"/>
              </w:rPr>
              <w:t>.</w:t>
            </w:r>
            <w:r>
              <w:rPr>
                <w:sz w:val="20"/>
                <w:szCs w:val="20"/>
              </w:rPr>
              <w:t>78</w:t>
            </w:r>
            <w:r w:rsidR="007A2647" w:rsidRPr="009B6D30">
              <w:rPr>
                <w:sz w:val="20"/>
                <w:szCs w:val="20"/>
                <w:vertAlign w:val="superscript"/>
              </w:rPr>
              <w:t>***</w:t>
            </w:r>
          </w:p>
        </w:tc>
      </w:tr>
      <w:tr w:rsidR="00944492" w:rsidRPr="00192165" w:rsidTr="00944492">
        <w:trPr>
          <w:jc w:val="center"/>
        </w:trPr>
        <w:tc>
          <w:tcPr>
            <w:tcW w:w="3104" w:type="dxa"/>
            <w:tcBorders>
              <w:top w:val="nil"/>
            </w:tcBorders>
          </w:tcPr>
          <w:p w:rsidR="00944492" w:rsidRPr="00944492" w:rsidRDefault="00944492" w:rsidP="00774975">
            <w:pPr>
              <w:suppressLineNumbers w:val="0"/>
              <w:spacing w:line="480" w:lineRule="auto"/>
              <w:rPr>
                <w:sz w:val="20"/>
                <w:szCs w:val="20"/>
                <w:lang w:val="en-NZ"/>
              </w:rPr>
            </w:pPr>
            <w:r w:rsidRPr="00192165">
              <w:rPr>
                <w:sz w:val="20"/>
                <w:szCs w:val="20"/>
              </w:rPr>
              <w:sym w:font="Symbol" w:char="F063"/>
            </w:r>
            <w:r w:rsidRPr="00192165">
              <w:rPr>
                <w:sz w:val="20"/>
                <w:szCs w:val="20"/>
                <w:vertAlign w:val="superscript"/>
              </w:rPr>
              <w:t>2</w:t>
            </w:r>
            <w:r>
              <w:rPr>
                <w:sz w:val="20"/>
                <w:szCs w:val="20"/>
              </w:rPr>
              <w:t xml:space="preserve"> (without Mediterranean stocks)</w:t>
            </w:r>
          </w:p>
        </w:tc>
        <w:tc>
          <w:tcPr>
            <w:tcW w:w="1455" w:type="dxa"/>
            <w:tcBorders>
              <w:top w:val="nil"/>
            </w:tcBorders>
            <w:vAlign w:val="bottom"/>
          </w:tcPr>
          <w:p w:rsidR="00944492" w:rsidRPr="00192165" w:rsidRDefault="00944492" w:rsidP="00774975">
            <w:pPr>
              <w:suppressLineNumbers w:val="0"/>
              <w:spacing w:line="480" w:lineRule="auto"/>
              <w:rPr>
                <w:sz w:val="20"/>
                <w:szCs w:val="20"/>
              </w:rPr>
            </w:pPr>
          </w:p>
        </w:tc>
        <w:tc>
          <w:tcPr>
            <w:tcW w:w="1211" w:type="dxa"/>
            <w:tcBorders>
              <w:top w:val="nil"/>
            </w:tcBorders>
          </w:tcPr>
          <w:p w:rsidR="00944492" w:rsidRPr="00192165" w:rsidRDefault="00944492" w:rsidP="00774975">
            <w:pPr>
              <w:suppressLineNumbers w:val="0"/>
              <w:spacing w:line="480" w:lineRule="auto"/>
              <w:rPr>
                <w:sz w:val="20"/>
                <w:szCs w:val="20"/>
              </w:rPr>
            </w:pPr>
          </w:p>
        </w:tc>
        <w:tc>
          <w:tcPr>
            <w:tcW w:w="1414" w:type="dxa"/>
            <w:tcBorders>
              <w:top w:val="nil"/>
            </w:tcBorders>
            <w:vAlign w:val="bottom"/>
          </w:tcPr>
          <w:p w:rsidR="00944492" w:rsidRPr="00192165" w:rsidRDefault="00944492" w:rsidP="00774975">
            <w:pPr>
              <w:suppressLineNumbers w:val="0"/>
              <w:spacing w:line="480" w:lineRule="auto"/>
              <w:rPr>
                <w:sz w:val="20"/>
                <w:szCs w:val="20"/>
              </w:rPr>
            </w:pPr>
            <w:r>
              <w:rPr>
                <w:sz w:val="20"/>
                <w:szCs w:val="20"/>
              </w:rPr>
              <w:t>4.14</w:t>
            </w:r>
          </w:p>
        </w:tc>
        <w:tc>
          <w:tcPr>
            <w:tcW w:w="1166" w:type="dxa"/>
            <w:tcBorders>
              <w:top w:val="nil"/>
            </w:tcBorders>
            <w:vAlign w:val="bottom"/>
          </w:tcPr>
          <w:p w:rsidR="00944492" w:rsidRPr="00192165" w:rsidRDefault="00944492" w:rsidP="00944492">
            <w:pPr>
              <w:suppressLineNumbers w:val="0"/>
              <w:spacing w:line="480" w:lineRule="auto"/>
              <w:rPr>
                <w:sz w:val="20"/>
                <w:szCs w:val="20"/>
              </w:rPr>
            </w:pPr>
            <w:r>
              <w:rPr>
                <w:sz w:val="20"/>
                <w:szCs w:val="20"/>
              </w:rPr>
              <w:t>11.70</w:t>
            </w:r>
            <w:r w:rsidRPr="009B6D30">
              <w:rPr>
                <w:sz w:val="20"/>
                <w:szCs w:val="20"/>
                <w:vertAlign w:val="superscript"/>
              </w:rPr>
              <w:t>*</w:t>
            </w:r>
            <w:r>
              <w:rPr>
                <w:sz w:val="20"/>
                <w:szCs w:val="20"/>
                <w:vertAlign w:val="superscript"/>
              </w:rPr>
              <w:t>*</w:t>
            </w:r>
          </w:p>
        </w:tc>
      </w:tr>
    </w:tbl>
    <w:p w:rsidR="005B797B" w:rsidRDefault="005B797B" w:rsidP="00A51148">
      <w:pPr>
        <w:suppressLineNumbers w:val="0"/>
        <w:spacing w:line="480" w:lineRule="auto"/>
        <w:rPr>
          <w:b/>
          <w:lang w:val="en-NZ"/>
        </w:rPr>
      </w:pPr>
    </w:p>
    <w:p w:rsidR="005B797B" w:rsidRDefault="005B797B" w:rsidP="005B797B">
      <w:pPr>
        <w:suppressLineNumbers w:val="0"/>
        <w:spacing w:line="480" w:lineRule="auto"/>
        <w:rPr>
          <w:b/>
          <w:lang w:val="en-NZ"/>
        </w:rPr>
      </w:pPr>
    </w:p>
    <w:p w:rsidR="005B797B" w:rsidRDefault="005B797B">
      <w:pPr>
        <w:widowControl/>
        <w:suppressLineNumbers w:val="0"/>
        <w:spacing w:before="0"/>
        <w:jc w:val="left"/>
        <w:rPr>
          <w:b/>
          <w:lang w:val="en-NZ"/>
        </w:rPr>
      </w:pPr>
      <w:r>
        <w:rPr>
          <w:b/>
          <w:lang w:val="en-NZ"/>
        </w:rPr>
        <w:br w:type="page"/>
      </w:r>
    </w:p>
    <w:p w:rsidR="007B4E8B" w:rsidRDefault="007B4E8B" w:rsidP="00AD7BBB">
      <w:pPr>
        <w:widowControl/>
        <w:suppressLineNumbers w:val="0"/>
        <w:spacing w:before="0" w:line="480" w:lineRule="auto"/>
        <w:rPr>
          <w:lang w:val="en-NZ"/>
        </w:rPr>
      </w:pPr>
      <w:r w:rsidRPr="001645E5">
        <w:rPr>
          <w:b/>
          <w:lang w:val="en-US"/>
        </w:rPr>
        <w:lastRenderedPageBreak/>
        <w:t xml:space="preserve">Table </w:t>
      </w:r>
      <w:r>
        <w:rPr>
          <w:b/>
          <w:lang w:val="en-US"/>
        </w:rPr>
        <w:t>4</w:t>
      </w:r>
      <w:r w:rsidRPr="001645E5">
        <w:rPr>
          <w:b/>
          <w:lang w:val="en-US"/>
        </w:rPr>
        <w:t>.</w:t>
      </w:r>
      <w:r>
        <w:rPr>
          <w:lang w:val="en-NZ"/>
        </w:rPr>
        <w:t xml:space="preserve"> Marine fish and shellfish stocks managed by TACs in EU waters (periods 2002-2006 and 2010-2013) and Icelandic waters (2010-2013). Frequency (proportion of years*stocks) of: TACs above advised catches.</w:t>
      </w:r>
      <w:r w:rsidRPr="000A3DD7">
        <w:rPr>
          <w:lang w:val="en-NZ"/>
        </w:rPr>
        <w:t xml:space="preserve"> </w:t>
      </w:r>
      <w:r>
        <w:rPr>
          <w:lang w:val="en-NZ"/>
        </w:rPr>
        <w:t>The results of tests comparing frequencies between periods for EU stocks, and between regions after 2010 are shown; (*) p&lt;0.05.</w:t>
      </w:r>
    </w:p>
    <w:tbl>
      <w:tblPr>
        <w:tblW w:w="6928"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31"/>
        <w:gridCol w:w="1300"/>
        <w:gridCol w:w="740"/>
        <w:gridCol w:w="2457"/>
      </w:tblGrid>
      <w:tr w:rsidR="007B4E8B" w:rsidRPr="000B48D4" w:rsidTr="00774975">
        <w:trPr>
          <w:trHeight w:val="288"/>
        </w:trPr>
        <w:tc>
          <w:tcPr>
            <w:tcW w:w="2431" w:type="dxa"/>
            <w:tcBorders>
              <w:top w:val="single" w:sz="4" w:space="0" w:color="auto"/>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rPr>
                <w:b/>
                <w:bCs/>
              </w:rPr>
            </w:pPr>
            <w:r w:rsidRPr="000B48D4">
              <w:rPr>
                <w:b/>
                <w:bCs/>
              </w:rPr>
              <w:t>Country</w:t>
            </w:r>
          </w:p>
        </w:tc>
        <w:tc>
          <w:tcPr>
            <w:tcW w:w="1300" w:type="dxa"/>
            <w:tcBorders>
              <w:top w:val="single" w:sz="4" w:space="0" w:color="auto"/>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rPr>
                <w:b/>
                <w:bCs/>
              </w:rPr>
            </w:pPr>
            <w:r w:rsidRPr="000B48D4">
              <w:rPr>
                <w:b/>
                <w:bCs/>
              </w:rPr>
              <w:t>Period</w:t>
            </w:r>
          </w:p>
        </w:tc>
        <w:tc>
          <w:tcPr>
            <w:tcW w:w="740" w:type="dxa"/>
            <w:tcBorders>
              <w:top w:val="single" w:sz="4" w:space="0" w:color="auto"/>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rPr>
                <w:b/>
                <w:bCs/>
              </w:rPr>
            </w:pPr>
            <w:r w:rsidRPr="000B48D4">
              <w:rPr>
                <w:b/>
                <w:bCs/>
              </w:rPr>
              <w:t>N</w:t>
            </w:r>
          </w:p>
        </w:tc>
        <w:tc>
          <w:tcPr>
            <w:tcW w:w="2457" w:type="dxa"/>
            <w:tcBorders>
              <w:top w:val="single" w:sz="4" w:space="0" w:color="auto"/>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rPr>
                <w:b/>
                <w:bCs/>
              </w:rPr>
            </w:pPr>
            <w:r w:rsidRPr="000B48D4">
              <w:rPr>
                <w:b/>
                <w:bCs/>
              </w:rPr>
              <w:t>TAC &gt; Advised catch</w:t>
            </w:r>
          </w:p>
        </w:tc>
      </w:tr>
      <w:tr w:rsidR="007B4E8B" w:rsidRPr="000B48D4" w:rsidTr="00774975">
        <w:trPr>
          <w:trHeight w:val="288"/>
        </w:trPr>
        <w:tc>
          <w:tcPr>
            <w:tcW w:w="2431" w:type="dxa"/>
            <w:tcBorders>
              <w:top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EU</w:t>
            </w:r>
            <w:r>
              <w:t xml:space="preserve"> Northeast Atlantic</w:t>
            </w:r>
          </w:p>
        </w:tc>
        <w:tc>
          <w:tcPr>
            <w:tcW w:w="1300" w:type="dxa"/>
            <w:tcBorders>
              <w:top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2002-2006</w:t>
            </w:r>
          </w:p>
        </w:tc>
        <w:tc>
          <w:tcPr>
            <w:tcW w:w="740" w:type="dxa"/>
            <w:tcBorders>
              <w:top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t>339</w:t>
            </w:r>
          </w:p>
        </w:tc>
        <w:tc>
          <w:tcPr>
            <w:tcW w:w="2457" w:type="dxa"/>
            <w:tcBorders>
              <w:top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67%</w:t>
            </w:r>
          </w:p>
        </w:tc>
      </w:tr>
      <w:tr w:rsidR="007B4E8B" w:rsidRPr="000B48D4" w:rsidTr="00774975">
        <w:trPr>
          <w:trHeight w:val="288"/>
        </w:trPr>
        <w:tc>
          <w:tcPr>
            <w:tcW w:w="2431" w:type="dxa"/>
            <w:shd w:val="clear" w:color="auto" w:fill="auto"/>
            <w:noWrap/>
            <w:vAlign w:val="bottom"/>
            <w:hideMark/>
          </w:tcPr>
          <w:p w:rsidR="007B4E8B" w:rsidRPr="000B48D4" w:rsidRDefault="007B4E8B" w:rsidP="00774975">
            <w:pPr>
              <w:widowControl/>
              <w:suppressLineNumbers w:val="0"/>
              <w:spacing w:before="0" w:line="480" w:lineRule="auto"/>
              <w:jc w:val="left"/>
            </w:pPr>
            <w:r w:rsidRPr="000B48D4">
              <w:t>EU</w:t>
            </w:r>
            <w:r>
              <w:t xml:space="preserve"> Northeast Atlantic</w:t>
            </w:r>
          </w:p>
        </w:tc>
        <w:tc>
          <w:tcPr>
            <w:tcW w:w="1300" w:type="dxa"/>
            <w:shd w:val="clear" w:color="auto" w:fill="auto"/>
            <w:noWrap/>
            <w:vAlign w:val="bottom"/>
            <w:hideMark/>
          </w:tcPr>
          <w:p w:rsidR="007B4E8B" w:rsidRPr="000B48D4" w:rsidRDefault="007B4E8B" w:rsidP="00774975">
            <w:pPr>
              <w:widowControl/>
              <w:suppressLineNumbers w:val="0"/>
              <w:spacing w:before="0" w:line="480" w:lineRule="auto"/>
              <w:jc w:val="left"/>
            </w:pPr>
            <w:r w:rsidRPr="000B48D4">
              <w:t>2010-2013</w:t>
            </w:r>
          </w:p>
        </w:tc>
        <w:tc>
          <w:tcPr>
            <w:tcW w:w="740" w:type="dxa"/>
            <w:shd w:val="clear" w:color="auto" w:fill="auto"/>
            <w:noWrap/>
            <w:vAlign w:val="bottom"/>
            <w:hideMark/>
          </w:tcPr>
          <w:p w:rsidR="007B4E8B" w:rsidRPr="000B48D4" w:rsidRDefault="007B4E8B" w:rsidP="00774975">
            <w:pPr>
              <w:widowControl/>
              <w:suppressLineNumbers w:val="0"/>
              <w:spacing w:before="0" w:line="480" w:lineRule="auto"/>
              <w:jc w:val="left"/>
            </w:pPr>
            <w:r>
              <w:t>249</w:t>
            </w:r>
          </w:p>
        </w:tc>
        <w:tc>
          <w:tcPr>
            <w:tcW w:w="2457" w:type="dxa"/>
            <w:shd w:val="clear" w:color="auto" w:fill="auto"/>
            <w:noWrap/>
            <w:vAlign w:val="bottom"/>
            <w:hideMark/>
          </w:tcPr>
          <w:p w:rsidR="007B4E8B" w:rsidRPr="000B48D4" w:rsidRDefault="007B4E8B" w:rsidP="00774975">
            <w:pPr>
              <w:widowControl/>
              <w:suppressLineNumbers w:val="0"/>
              <w:spacing w:before="0" w:line="480" w:lineRule="auto"/>
              <w:jc w:val="left"/>
            </w:pPr>
            <w:r w:rsidRPr="000B48D4">
              <w:t>59%</w:t>
            </w:r>
          </w:p>
        </w:tc>
      </w:tr>
      <w:tr w:rsidR="007B4E8B" w:rsidRPr="000B48D4" w:rsidTr="00774975">
        <w:trPr>
          <w:trHeight w:val="288"/>
        </w:trPr>
        <w:tc>
          <w:tcPr>
            <w:tcW w:w="2431" w:type="dxa"/>
            <w:tcBorders>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Iceland</w:t>
            </w:r>
          </w:p>
        </w:tc>
        <w:tc>
          <w:tcPr>
            <w:tcW w:w="1300" w:type="dxa"/>
            <w:tcBorders>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2010-2013</w:t>
            </w:r>
          </w:p>
        </w:tc>
        <w:tc>
          <w:tcPr>
            <w:tcW w:w="740" w:type="dxa"/>
            <w:tcBorders>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t>37</w:t>
            </w:r>
          </w:p>
        </w:tc>
        <w:tc>
          <w:tcPr>
            <w:tcW w:w="2457" w:type="dxa"/>
            <w:tcBorders>
              <w:bottom w:val="single" w:sz="4" w:space="0" w:color="auto"/>
            </w:tcBorders>
            <w:shd w:val="clear" w:color="auto" w:fill="auto"/>
            <w:noWrap/>
            <w:vAlign w:val="bottom"/>
            <w:hideMark/>
          </w:tcPr>
          <w:p w:rsidR="007B4E8B" w:rsidRPr="000B48D4" w:rsidRDefault="007B4E8B" w:rsidP="00774975">
            <w:pPr>
              <w:widowControl/>
              <w:suppressLineNumbers w:val="0"/>
              <w:spacing w:before="0" w:line="480" w:lineRule="auto"/>
              <w:jc w:val="left"/>
            </w:pPr>
            <w:r w:rsidRPr="000B48D4">
              <w:t>59%</w:t>
            </w:r>
          </w:p>
        </w:tc>
      </w:tr>
      <w:tr w:rsidR="007B4E8B" w:rsidRPr="000B48D4" w:rsidTr="00774975">
        <w:trPr>
          <w:trHeight w:val="288"/>
        </w:trPr>
        <w:tc>
          <w:tcPr>
            <w:tcW w:w="2431" w:type="dxa"/>
            <w:tcBorders>
              <w:top w:val="single" w:sz="4" w:space="0" w:color="auto"/>
              <w:bottom w:val="nil"/>
            </w:tcBorders>
            <w:shd w:val="clear" w:color="auto" w:fill="auto"/>
            <w:noWrap/>
            <w:vAlign w:val="bottom"/>
            <w:hideMark/>
          </w:tcPr>
          <w:p w:rsidR="007B4E8B" w:rsidRPr="000B48D4" w:rsidRDefault="00D210DE" w:rsidP="00774975">
            <w:pPr>
              <w:widowControl/>
              <w:suppressLineNumbers w:val="0"/>
              <w:spacing w:before="0" w:line="480" w:lineRule="auto"/>
              <w:jc w:val="left"/>
            </w:pPr>
            <w:r w:rsidRPr="00D210DE">
              <w:rPr>
                <w:rFonts w:ascii="Symbol" w:hAnsi="Symbol"/>
              </w:rPr>
              <w:t></w:t>
            </w:r>
            <w:r>
              <w:t xml:space="preserve"> </w:t>
            </w:r>
            <w:r w:rsidR="007B4E8B">
              <w:t>(between periods)</w:t>
            </w:r>
          </w:p>
        </w:tc>
        <w:tc>
          <w:tcPr>
            <w:tcW w:w="1300" w:type="dxa"/>
            <w:tcBorders>
              <w:top w:val="single" w:sz="4" w:space="0" w:color="auto"/>
              <w:bottom w:val="nil"/>
            </w:tcBorders>
            <w:shd w:val="clear" w:color="auto" w:fill="auto"/>
            <w:noWrap/>
            <w:vAlign w:val="bottom"/>
          </w:tcPr>
          <w:p w:rsidR="007B4E8B" w:rsidRPr="000B48D4" w:rsidRDefault="007B4E8B" w:rsidP="00774975">
            <w:pPr>
              <w:widowControl/>
              <w:suppressLineNumbers w:val="0"/>
              <w:spacing w:before="0" w:line="480" w:lineRule="auto"/>
              <w:jc w:val="left"/>
            </w:pPr>
          </w:p>
        </w:tc>
        <w:tc>
          <w:tcPr>
            <w:tcW w:w="740" w:type="dxa"/>
            <w:tcBorders>
              <w:top w:val="single" w:sz="4" w:space="0" w:color="auto"/>
              <w:bottom w:val="nil"/>
            </w:tcBorders>
            <w:shd w:val="clear" w:color="auto" w:fill="auto"/>
            <w:noWrap/>
            <w:vAlign w:val="bottom"/>
          </w:tcPr>
          <w:p w:rsidR="007B4E8B" w:rsidRPr="000B48D4" w:rsidRDefault="007B4E8B" w:rsidP="00774975">
            <w:pPr>
              <w:widowControl/>
              <w:suppressLineNumbers w:val="0"/>
              <w:spacing w:before="0" w:line="480" w:lineRule="auto"/>
              <w:jc w:val="left"/>
            </w:pPr>
          </w:p>
        </w:tc>
        <w:tc>
          <w:tcPr>
            <w:tcW w:w="2457" w:type="dxa"/>
            <w:tcBorders>
              <w:top w:val="single" w:sz="4" w:space="0" w:color="auto"/>
              <w:bottom w:val="nil"/>
            </w:tcBorders>
            <w:shd w:val="clear" w:color="auto" w:fill="auto"/>
            <w:noWrap/>
            <w:vAlign w:val="bottom"/>
            <w:hideMark/>
          </w:tcPr>
          <w:p w:rsidR="007B4E8B" w:rsidRPr="000B48D4" w:rsidRDefault="003A3714" w:rsidP="003A3714">
            <w:pPr>
              <w:widowControl/>
              <w:suppressLineNumbers w:val="0"/>
              <w:spacing w:before="0" w:line="480" w:lineRule="auto"/>
              <w:jc w:val="left"/>
            </w:pPr>
            <w:r>
              <w:t>2</w:t>
            </w:r>
            <w:r w:rsidR="007B4E8B">
              <w:t>.</w:t>
            </w:r>
            <w:r>
              <w:t>0</w:t>
            </w:r>
            <w:r w:rsidR="007B4E8B">
              <w:t>0</w:t>
            </w:r>
            <w:r w:rsidR="007B4E8B" w:rsidRPr="00626D24">
              <w:rPr>
                <w:vertAlign w:val="superscript"/>
              </w:rPr>
              <w:t>*</w:t>
            </w:r>
          </w:p>
        </w:tc>
      </w:tr>
      <w:tr w:rsidR="007B4E8B" w:rsidRPr="000B48D4" w:rsidTr="00774975">
        <w:trPr>
          <w:trHeight w:val="288"/>
        </w:trPr>
        <w:tc>
          <w:tcPr>
            <w:tcW w:w="2431" w:type="dxa"/>
            <w:tcBorders>
              <w:top w:val="nil"/>
            </w:tcBorders>
            <w:shd w:val="clear" w:color="auto" w:fill="auto"/>
            <w:noWrap/>
            <w:vAlign w:val="bottom"/>
            <w:hideMark/>
          </w:tcPr>
          <w:p w:rsidR="007B4E8B" w:rsidRPr="000B48D4" w:rsidRDefault="00D210DE" w:rsidP="00774975">
            <w:pPr>
              <w:widowControl/>
              <w:suppressLineNumbers w:val="0"/>
              <w:spacing w:before="0" w:line="480" w:lineRule="auto"/>
              <w:jc w:val="left"/>
            </w:pPr>
            <w:r w:rsidRPr="00D210DE">
              <w:rPr>
                <w:rFonts w:ascii="Symbol" w:hAnsi="Symbol"/>
              </w:rPr>
              <w:t></w:t>
            </w:r>
            <w:r>
              <w:t xml:space="preserve"> </w:t>
            </w:r>
            <w:r w:rsidR="007B4E8B">
              <w:t>(between regions)</w:t>
            </w:r>
          </w:p>
        </w:tc>
        <w:tc>
          <w:tcPr>
            <w:tcW w:w="1300" w:type="dxa"/>
            <w:tcBorders>
              <w:top w:val="nil"/>
            </w:tcBorders>
            <w:shd w:val="clear" w:color="auto" w:fill="auto"/>
            <w:noWrap/>
            <w:vAlign w:val="bottom"/>
          </w:tcPr>
          <w:p w:rsidR="007B4E8B" w:rsidRPr="000B48D4" w:rsidRDefault="007B4E8B" w:rsidP="00774975">
            <w:pPr>
              <w:widowControl/>
              <w:suppressLineNumbers w:val="0"/>
              <w:spacing w:before="0" w:line="480" w:lineRule="auto"/>
              <w:jc w:val="left"/>
            </w:pPr>
          </w:p>
        </w:tc>
        <w:tc>
          <w:tcPr>
            <w:tcW w:w="740" w:type="dxa"/>
            <w:tcBorders>
              <w:top w:val="nil"/>
            </w:tcBorders>
            <w:shd w:val="clear" w:color="auto" w:fill="auto"/>
            <w:noWrap/>
            <w:vAlign w:val="bottom"/>
          </w:tcPr>
          <w:p w:rsidR="007B4E8B" w:rsidRPr="000B48D4" w:rsidRDefault="007B4E8B" w:rsidP="00774975">
            <w:pPr>
              <w:widowControl/>
              <w:suppressLineNumbers w:val="0"/>
              <w:spacing w:before="0" w:line="480" w:lineRule="auto"/>
              <w:jc w:val="left"/>
            </w:pPr>
          </w:p>
        </w:tc>
        <w:tc>
          <w:tcPr>
            <w:tcW w:w="2457" w:type="dxa"/>
            <w:tcBorders>
              <w:top w:val="nil"/>
            </w:tcBorders>
            <w:shd w:val="clear" w:color="auto" w:fill="auto"/>
            <w:noWrap/>
            <w:vAlign w:val="bottom"/>
            <w:hideMark/>
          </w:tcPr>
          <w:p w:rsidR="007B4E8B" w:rsidRPr="000B48D4" w:rsidRDefault="007B4E8B" w:rsidP="00774975">
            <w:pPr>
              <w:widowControl/>
              <w:suppressLineNumbers w:val="0"/>
              <w:spacing w:before="0" w:line="480" w:lineRule="auto"/>
              <w:jc w:val="left"/>
            </w:pPr>
            <w:r>
              <w:t>0.00</w:t>
            </w:r>
          </w:p>
        </w:tc>
      </w:tr>
    </w:tbl>
    <w:p w:rsidR="00C667A2" w:rsidRDefault="00C667A2" w:rsidP="00336C26">
      <w:pPr>
        <w:widowControl/>
        <w:suppressLineNumbers w:val="0"/>
        <w:spacing w:before="0" w:line="480" w:lineRule="auto"/>
        <w:jc w:val="left"/>
        <w:rPr>
          <w:b/>
          <w:lang w:val="en-US"/>
        </w:rPr>
      </w:pPr>
    </w:p>
    <w:p w:rsidR="00336C26" w:rsidRDefault="00336C26" w:rsidP="00AD7BBB">
      <w:pPr>
        <w:widowControl/>
        <w:suppressLineNumbers w:val="0"/>
        <w:spacing w:before="0" w:line="480" w:lineRule="auto"/>
        <w:rPr>
          <w:lang w:val="en-NZ"/>
        </w:rPr>
      </w:pPr>
      <w:r w:rsidRPr="001645E5">
        <w:rPr>
          <w:b/>
          <w:lang w:val="en-US"/>
        </w:rPr>
        <w:t xml:space="preserve">Table </w:t>
      </w:r>
      <w:r>
        <w:rPr>
          <w:b/>
          <w:lang w:val="en-US"/>
        </w:rPr>
        <w:t>5</w:t>
      </w:r>
      <w:r w:rsidRPr="001645E5">
        <w:rPr>
          <w:b/>
          <w:lang w:val="en-US"/>
        </w:rPr>
        <w:t>.</w:t>
      </w:r>
      <w:r>
        <w:rPr>
          <w:lang w:val="en-NZ"/>
        </w:rPr>
        <w:t xml:space="preserve"> Marine fish and shellfish stocks managed by TACs in EU waters (2010-2013), Icelandic waters (2010-2013), off Australia (2010-2014) and New Zealand (2010-2014). Frequency (proportion of years*stocks) of: </w:t>
      </w:r>
      <w:r w:rsidR="000F7127">
        <w:rPr>
          <w:lang w:val="en-NZ"/>
        </w:rPr>
        <w:t xml:space="preserve">realized </w:t>
      </w:r>
      <w:r>
        <w:rPr>
          <w:lang w:val="en-NZ"/>
        </w:rPr>
        <w:t xml:space="preserve">catches above </w:t>
      </w:r>
      <w:r w:rsidR="000F7127">
        <w:rPr>
          <w:lang w:val="en-NZ"/>
        </w:rPr>
        <w:t>catch limit</w:t>
      </w:r>
      <w:r>
        <w:rPr>
          <w:lang w:val="en-NZ"/>
        </w:rPr>
        <w:t xml:space="preserve">, </w:t>
      </w:r>
      <w:r w:rsidR="000F7127">
        <w:rPr>
          <w:lang w:val="en-NZ"/>
        </w:rPr>
        <w:t xml:space="preserve">realized </w:t>
      </w:r>
      <w:r>
        <w:rPr>
          <w:lang w:val="en-NZ"/>
        </w:rPr>
        <w:t xml:space="preserve">catches above </w:t>
      </w:r>
      <w:r w:rsidR="000F7127">
        <w:rPr>
          <w:lang w:val="en-NZ"/>
        </w:rPr>
        <w:t>catch limit</w:t>
      </w:r>
      <w:r>
        <w:rPr>
          <w:lang w:val="en-NZ"/>
        </w:rPr>
        <w:t xml:space="preserve"> + 10%. The results of </w:t>
      </w:r>
      <w:r w:rsidR="007E2F09">
        <w:rPr>
          <w:lang w:val="en-NZ"/>
        </w:rPr>
        <w:t xml:space="preserve">a </w:t>
      </w:r>
      <w:r>
        <w:rPr>
          <w:lang w:val="en-NZ"/>
        </w:rPr>
        <w:t xml:space="preserve">Chi-square test comparing frequencies </w:t>
      </w:r>
      <w:r w:rsidR="007E2F09">
        <w:rPr>
          <w:lang w:val="en-NZ"/>
        </w:rPr>
        <w:t>b</w:t>
      </w:r>
      <w:r>
        <w:rPr>
          <w:lang w:val="en-NZ"/>
        </w:rPr>
        <w:t>etween regions after 2010 are shown; (*) p&lt;0.05; (**) p&lt;0.01; (***) p&lt;0.001.</w:t>
      </w:r>
    </w:p>
    <w:tbl>
      <w:tblPr>
        <w:tblW w:w="8302"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31"/>
        <w:gridCol w:w="1300"/>
        <w:gridCol w:w="740"/>
        <w:gridCol w:w="1637"/>
        <w:gridCol w:w="2194"/>
      </w:tblGrid>
      <w:tr w:rsidR="00336C26" w:rsidRPr="000B48D4" w:rsidTr="00B27610">
        <w:trPr>
          <w:trHeight w:val="288"/>
        </w:trPr>
        <w:tc>
          <w:tcPr>
            <w:tcW w:w="2431" w:type="dxa"/>
            <w:tcBorders>
              <w:top w:val="single" w:sz="4" w:space="0" w:color="auto"/>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rPr>
                <w:b/>
                <w:bCs/>
              </w:rPr>
            </w:pPr>
            <w:r w:rsidRPr="000B48D4">
              <w:rPr>
                <w:b/>
                <w:bCs/>
              </w:rPr>
              <w:t>Country</w:t>
            </w:r>
          </w:p>
        </w:tc>
        <w:tc>
          <w:tcPr>
            <w:tcW w:w="1300" w:type="dxa"/>
            <w:tcBorders>
              <w:top w:val="single" w:sz="4" w:space="0" w:color="auto"/>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rPr>
                <w:b/>
                <w:bCs/>
              </w:rPr>
            </w:pPr>
            <w:r w:rsidRPr="000B48D4">
              <w:rPr>
                <w:b/>
                <w:bCs/>
              </w:rPr>
              <w:t>Period</w:t>
            </w:r>
          </w:p>
        </w:tc>
        <w:tc>
          <w:tcPr>
            <w:tcW w:w="740" w:type="dxa"/>
            <w:tcBorders>
              <w:top w:val="single" w:sz="4" w:space="0" w:color="auto"/>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rPr>
                <w:b/>
                <w:bCs/>
              </w:rPr>
            </w:pPr>
            <w:r w:rsidRPr="000B48D4">
              <w:rPr>
                <w:b/>
                <w:bCs/>
              </w:rPr>
              <w:t>N</w:t>
            </w:r>
          </w:p>
        </w:tc>
        <w:tc>
          <w:tcPr>
            <w:tcW w:w="1637" w:type="dxa"/>
            <w:tcBorders>
              <w:top w:val="single" w:sz="4" w:space="0" w:color="auto"/>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rPr>
                <w:b/>
                <w:bCs/>
              </w:rPr>
            </w:pPr>
            <w:r w:rsidRPr="000B48D4">
              <w:rPr>
                <w:b/>
                <w:bCs/>
              </w:rPr>
              <w:t>Catch &gt; TAC</w:t>
            </w:r>
          </w:p>
        </w:tc>
        <w:tc>
          <w:tcPr>
            <w:tcW w:w="2194" w:type="dxa"/>
            <w:tcBorders>
              <w:top w:val="single" w:sz="4" w:space="0" w:color="auto"/>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rPr>
                <w:b/>
                <w:bCs/>
              </w:rPr>
            </w:pPr>
            <w:r w:rsidRPr="000B48D4">
              <w:rPr>
                <w:b/>
                <w:bCs/>
              </w:rPr>
              <w:t>Catch &gt; 1.1</w:t>
            </w:r>
            <w:r>
              <w:rPr>
                <w:b/>
                <w:bCs/>
              </w:rPr>
              <w:t xml:space="preserve"> × </w:t>
            </w:r>
            <w:r w:rsidRPr="000B48D4">
              <w:rPr>
                <w:b/>
                <w:bCs/>
              </w:rPr>
              <w:t>TAC</w:t>
            </w:r>
          </w:p>
        </w:tc>
      </w:tr>
      <w:tr w:rsidR="00336C26" w:rsidRPr="000B48D4" w:rsidTr="00B27610">
        <w:trPr>
          <w:trHeight w:val="288"/>
        </w:trPr>
        <w:tc>
          <w:tcPr>
            <w:tcW w:w="2431"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EU</w:t>
            </w:r>
            <w:r>
              <w:t xml:space="preserve"> Northeast Atlantic</w:t>
            </w:r>
          </w:p>
        </w:tc>
        <w:tc>
          <w:tcPr>
            <w:tcW w:w="130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2010-2013</w:t>
            </w:r>
          </w:p>
        </w:tc>
        <w:tc>
          <w:tcPr>
            <w:tcW w:w="74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411</w:t>
            </w:r>
          </w:p>
        </w:tc>
        <w:tc>
          <w:tcPr>
            <w:tcW w:w="1637" w:type="dxa"/>
            <w:shd w:val="clear" w:color="auto" w:fill="auto"/>
            <w:noWrap/>
            <w:vAlign w:val="bottom"/>
            <w:hideMark/>
          </w:tcPr>
          <w:p w:rsidR="00336C26" w:rsidRPr="000B48D4" w:rsidRDefault="003A060C" w:rsidP="00B27610">
            <w:pPr>
              <w:widowControl/>
              <w:suppressLineNumbers w:val="0"/>
              <w:spacing w:before="0" w:line="480" w:lineRule="auto"/>
              <w:jc w:val="left"/>
            </w:pPr>
            <w:r>
              <w:t>27</w:t>
            </w:r>
            <w:r w:rsidR="00336C26" w:rsidRPr="000B48D4">
              <w:t>%</w:t>
            </w:r>
          </w:p>
        </w:tc>
        <w:tc>
          <w:tcPr>
            <w:tcW w:w="2194" w:type="dxa"/>
            <w:shd w:val="clear" w:color="auto" w:fill="auto"/>
            <w:noWrap/>
            <w:vAlign w:val="bottom"/>
            <w:hideMark/>
          </w:tcPr>
          <w:p w:rsidR="00336C26" w:rsidRPr="000B48D4" w:rsidRDefault="003A060C" w:rsidP="00B27610">
            <w:pPr>
              <w:widowControl/>
              <w:suppressLineNumbers w:val="0"/>
              <w:spacing w:before="0" w:line="480" w:lineRule="auto"/>
              <w:jc w:val="left"/>
            </w:pPr>
            <w:r>
              <w:t>18</w:t>
            </w:r>
            <w:r w:rsidR="00336C26" w:rsidRPr="000B48D4">
              <w:t>%</w:t>
            </w:r>
          </w:p>
        </w:tc>
      </w:tr>
      <w:tr w:rsidR="00336C26" w:rsidRPr="000B48D4" w:rsidTr="00B27610">
        <w:trPr>
          <w:trHeight w:val="288"/>
        </w:trPr>
        <w:tc>
          <w:tcPr>
            <w:tcW w:w="2431"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Iceland</w:t>
            </w:r>
          </w:p>
        </w:tc>
        <w:tc>
          <w:tcPr>
            <w:tcW w:w="130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2010-2013</w:t>
            </w:r>
          </w:p>
        </w:tc>
        <w:tc>
          <w:tcPr>
            <w:tcW w:w="74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42</w:t>
            </w:r>
          </w:p>
        </w:tc>
        <w:tc>
          <w:tcPr>
            <w:tcW w:w="1637"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57%</w:t>
            </w:r>
          </w:p>
        </w:tc>
        <w:tc>
          <w:tcPr>
            <w:tcW w:w="2194"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12%</w:t>
            </w:r>
          </w:p>
        </w:tc>
      </w:tr>
      <w:tr w:rsidR="00336C26" w:rsidRPr="000B48D4" w:rsidTr="00B27610">
        <w:trPr>
          <w:trHeight w:val="288"/>
        </w:trPr>
        <w:tc>
          <w:tcPr>
            <w:tcW w:w="2431"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Australia</w:t>
            </w:r>
          </w:p>
        </w:tc>
        <w:tc>
          <w:tcPr>
            <w:tcW w:w="130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2010-2014</w:t>
            </w:r>
          </w:p>
        </w:tc>
        <w:tc>
          <w:tcPr>
            <w:tcW w:w="740"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215</w:t>
            </w:r>
          </w:p>
        </w:tc>
        <w:tc>
          <w:tcPr>
            <w:tcW w:w="1637"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3%</w:t>
            </w:r>
          </w:p>
        </w:tc>
        <w:tc>
          <w:tcPr>
            <w:tcW w:w="2194" w:type="dxa"/>
            <w:shd w:val="clear" w:color="auto" w:fill="auto"/>
            <w:noWrap/>
            <w:vAlign w:val="bottom"/>
            <w:hideMark/>
          </w:tcPr>
          <w:p w:rsidR="00336C26" w:rsidRPr="000B48D4" w:rsidRDefault="00336C26" w:rsidP="00B27610">
            <w:pPr>
              <w:widowControl/>
              <w:suppressLineNumbers w:val="0"/>
              <w:spacing w:before="0" w:line="480" w:lineRule="auto"/>
              <w:jc w:val="left"/>
            </w:pPr>
            <w:r w:rsidRPr="000B48D4">
              <w:t>0%</w:t>
            </w:r>
          </w:p>
        </w:tc>
      </w:tr>
      <w:tr w:rsidR="00336C26" w:rsidRPr="000B48D4" w:rsidTr="00B27610">
        <w:trPr>
          <w:trHeight w:val="288"/>
        </w:trPr>
        <w:tc>
          <w:tcPr>
            <w:tcW w:w="2431" w:type="dxa"/>
            <w:tcBorders>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pPr>
            <w:r w:rsidRPr="000B48D4">
              <w:t>New Zealand</w:t>
            </w:r>
          </w:p>
        </w:tc>
        <w:tc>
          <w:tcPr>
            <w:tcW w:w="1300" w:type="dxa"/>
            <w:tcBorders>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2010-2014</w:t>
            </w:r>
          </w:p>
        </w:tc>
        <w:tc>
          <w:tcPr>
            <w:tcW w:w="740" w:type="dxa"/>
            <w:tcBorders>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2490</w:t>
            </w:r>
          </w:p>
        </w:tc>
        <w:tc>
          <w:tcPr>
            <w:tcW w:w="1637" w:type="dxa"/>
            <w:tcBorders>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pPr>
            <w:r w:rsidRPr="000B48D4">
              <w:t>6%</w:t>
            </w:r>
          </w:p>
        </w:tc>
        <w:tc>
          <w:tcPr>
            <w:tcW w:w="2194" w:type="dxa"/>
            <w:tcBorders>
              <w:bottom w:val="single" w:sz="4" w:space="0" w:color="auto"/>
            </w:tcBorders>
            <w:shd w:val="clear" w:color="auto" w:fill="auto"/>
            <w:noWrap/>
            <w:vAlign w:val="bottom"/>
            <w:hideMark/>
          </w:tcPr>
          <w:p w:rsidR="00336C26" w:rsidRPr="000B48D4" w:rsidRDefault="00336C26" w:rsidP="00B27610">
            <w:pPr>
              <w:widowControl/>
              <w:suppressLineNumbers w:val="0"/>
              <w:spacing w:before="0" w:line="480" w:lineRule="auto"/>
              <w:jc w:val="left"/>
            </w:pPr>
            <w:r w:rsidRPr="000B48D4">
              <w:t>2%</w:t>
            </w:r>
          </w:p>
        </w:tc>
      </w:tr>
      <w:tr w:rsidR="00336C26" w:rsidRPr="000B48D4" w:rsidTr="00B27610">
        <w:trPr>
          <w:trHeight w:val="288"/>
        </w:trPr>
        <w:tc>
          <w:tcPr>
            <w:tcW w:w="2431" w:type="dxa"/>
            <w:tcBorders>
              <w:top w:val="nil"/>
            </w:tcBorders>
            <w:shd w:val="clear" w:color="auto" w:fill="auto"/>
            <w:noWrap/>
            <w:vAlign w:val="bottom"/>
          </w:tcPr>
          <w:p w:rsidR="00336C26" w:rsidRPr="000B48D4" w:rsidRDefault="00336C26" w:rsidP="00B27610">
            <w:pPr>
              <w:widowControl/>
              <w:suppressLineNumbers w:val="0"/>
              <w:spacing w:before="0" w:line="480" w:lineRule="auto"/>
              <w:jc w:val="left"/>
            </w:pPr>
            <w:r>
              <w:sym w:font="Symbol" w:char="F063"/>
            </w:r>
            <w:r w:rsidRPr="00C55D4F">
              <w:rPr>
                <w:vertAlign w:val="superscript"/>
              </w:rPr>
              <w:t>2</w:t>
            </w:r>
          </w:p>
        </w:tc>
        <w:tc>
          <w:tcPr>
            <w:tcW w:w="1300" w:type="dxa"/>
            <w:tcBorders>
              <w:top w:val="nil"/>
            </w:tcBorders>
            <w:shd w:val="clear" w:color="auto" w:fill="auto"/>
            <w:noWrap/>
            <w:vAlign w:val="bottom"/>
          </w:tcPr>
          <w:p w:rsidR="00336C26" w:rsidRPr="000B48D4" w:rsidRDefault="00336C26" w:rsidP="00B27610">
            <w:pPr>
              <w:widowControl/>
              <w:suppressLineNumbers w:val="0"/>
              <w:spacing w:before="0" w:line="480" w:lineRule="auto"/>
              <w:jc w:val="left"/>
            </w:pPr>
          </w:p>
        </w:tc>
        <w:tc>
          <w:tcPr>
            <w:tcW w:w="740" w:type="dxa"/>
            <w:tcBorders>
              <w:top w:val="nil"/>
            </w:tcBorders>
            <w:shd w:val="clear" w:color="auto" w:fill="auto"/>
            <w:noWrap/>
            <w:vAlign w:val="bottom"/>
          </w:tcPr>
          <w:p w:rsidR="00336C26" w:rsidRPr="000B48D4" w:rsidRDefault="00336C26" w:rsidP="00B27610">
            <w:pPr>
              <w:widowControl/>
              <w:suppressLineNumbers w:val="0"/>
              <w:spacing w:before="0" w:line="480" w:lineRule="auto"/>
              <w:jc w:val="left"/>
            </w:pPr>
          </w:p>
        </w:tc>
        <w:tc>
          <w:tcPr>
            <w:tcW w:w="1637" w:type="dxa"/>
            <w:tcBorders>
              <w:top w:val="nil"/>
            </w:tcBorders>
            <w:shd w:val="clear" w:color="auto" w:fill="auto"/>
            <w:noWrap/>
            <w:vAlign w:val="bottom"/>
          </w:tcPr>
          <w:p w:rsidR="00336C26" w:rsidRPr="000B48D4" w:rsidRDefault="00336C26" w:rsidP="003A060C">
            <w:pPr>
              <w:widowControl/>
              <w:suppressLineNumbers w:val="0"/>
              <w:spacing w:before="0" w:line="480" w:lineRule="auto"/>
              <w:jc w:val="left"/>
            </w:pPr>
            <w:r>
              <w:t>3</w:t>
            </w:r>
            <w:r w:rsidR="003A060C">
              <w:t>09</w:t>
            </w:r>
            <w:r>
              <w:t>.</w:t>
            </w:r>
            <w:r w:rsidR="003A060C">
              <w:t>33</w:t>
            </w:r>
            <w:r w:rsidRPr="00155794">
              <w:rPr>
                <w:vertAlign w:val="superscript"/>
              </w:rPr>
              <w:t>**</w:t>
            </w:r>
            <w:r>
              <w:rPr>
                <w:vertAlign w:val="superscript"/>
              </w:rPr>
              <w:t>*</w:t>
            </w:r>
          </w:p>
        </w:tc>
        <w:tc>
          <w:tcPr>
            <w:tcW w:w="2194" w:type="dxa"/>
            <w:tcBorders>
              <w:top w:val="nil"/>
            </w:tcBorders>
            <w:shd w:val="clear" w:color="auto" w:fill="auto"/>
            <w:noWrap/>
            <w:vAlign w:val="bottom"/>
          </w:tcPr>
          <w:p w:rsidR="00336C26" w:rsidRPr="000B48D4" w:rsidRDefault="003A060C" w:rsidP="003A060C">
            <w:pPr>
              <w:widowControl/>
              <w:suppressLineNumbers w:val="0"/>
              <w:spacing w:before="0" w:line="480" w:lineRule="auto"/>
              <w:jc w:val="left"/>
            </w:pPr>
            <w:r>
              <w:t>115</w:t>
            </w:r>
            <w:r w:rsidR="00336C26">
              <w:t>.</w:t>
            </w:r>
            <w:r>
              <w:t>60</w:t>
            </w:r>
            <w:r w:rsidR="00336C26" w:rsidRPr="00155794">
              <w:rPr>
                <w:vertAlign w:val="superscript"/>
              </w:rPr>
              <w:t>*</w:t>
            </w:r>
            <w:r w:rsidR="00336C26">
              <w:rPr>
                <w:vertAlign w:val="superscript"/>
              </w:rPr>
              <w:t>*</w:t>
            </w:r>
            <w:r w:rsidR="00336C26" w:rsidRPr="00155794">
              <w:rPr>
                <w:vertAlign w:val="superscript"/>
              </w:rPr>
              <w:t>*</w:t>
            </w:r>
          </w:p>
        </w:tc>
      </w:tr>
    </w:tbl>
    <w:p w:rsidR="00336C26" w:rsidRDefault="00336C26" w:rsidP="00336C26">
      <w:pPr>
        <w:widowControl/>
        <w:suppressLineNumbers w:val="0"/>
        <w:spacing w:before="0" w:line="480" w:lineRule="auto"/>
        <w:jc w:val="left"/>
        <w:rPr>
          <w:lang w:val="en-NZ"/>
        </w:rPr>
      </w:pPr>
    </w:p>
    <w:p w:rsidR="00336C26" w:rsidRDefault="00336C26" w:rsidP="00336C26">
      <w:pPr>
        <w:widowControl/>
        <w:suppressLineNumbers w:val="0"/>
        <w:spacing w:before="0"/>
        <w:jc w:val="left"/>
        <w:rPr>
          <w:b/>
          <w:lang w:val="en-US"/>
        </w:rPr>
      </w:pPr>
      <w:r>
        <w:rPr>
          <w:b/>
          <w:lang w:val="en-US"/>
        </w:rPr>
        <w:br w:type="page"/>
      </w:r>
    </w:p>
    <w:p w:rsidR="002965AE" w:rsidRDefault="002965AE" w:rsidP="002965AE">
      <w:pPr>
        <w:spacing w:line="480" w:lineRule="auto"/>
        <w:rPr>
          <w:lang w:val="en-NZ"/>
        </w:rPr>
      </w:pPr>
      <w:r w:rsidRPr="00B92362">
        <w:rPr>
          <w:b/>
          <w:lang w:val="en-NZ"/>
        </w:rPr>
        <w:lastRenderedPageBreak/>
        <w:t xml:space="preserve">Figure </w:t>
      </w:r>
      <w:r>
        <w:rPr>
          <w:b/>
          <w:lang w:val="en-NZ"/>
        </w:rPr>
        <w:t>1</w:t>
      </w:r>
      <w:r w:rsidRPr="00B92362">
        <w:rPr>
          <w:b/>
          <w:lang w:val="en-NZ"/>
        </w:rPr>
        <w:t>.</w:t>
      </w:r>
      <w:r>
        <w:rPr>
          <w:lang w:val="en-NZ"/>
        </w:rPr>
        <w:t xml:space="preserve"> Annual variations in the proportion of stocks managed in the EU (empty squares), New Zealand (stars) and Australia (black dots), for which (a) biomass B &gt; B</w:t>
      </w:r>
      <w:r w:rsidRPr="00C667A2">
        <w:rPr>
          <w:vertAlign w:val="subscript"/>
          <w:lang w:val="en-NZ"/>
        </w:rPr>
        <w:t>lim</w:t>
      </w:r>
      <w:r>
        <w:rPr>
          <w:lang w:val="en-NZ"/>
        </w:rPr>
        <w:t xml:space="preserve"> and (b) fishing mortality F &lt; F</w:t>
      </w:r>
      <w:r w:rsidRPr="00C667A2">
        <w:rPr>
          <w:vertAlign w:val="subscript"/>
          <w:lang w:val="en-NZ"/>
        </w:rPr>
        <w:t>lim</w:t>
      </w:r>
      <w:r>
        <w:rPr>
          <w:lang w:val="en-NZ"/>
        </w:rPr>
        <w:t>.</w:t>
      </w:r>
    </w:p>
    <w:tbl>
      <w:tblPr>
        <w:tblStyle w:val="Tabel-Gitter"/>
        <w:tblW w:w="0" w:type="auto"/>
        <w:tblLook w:val="04A0" w:firstRow="1" w:lastRow="0" w:firstColumn="1" w:lastColumn="0" w:noHBand="0" w:noVBand="1"/>
      </w:tblPr>
      <w:tblGrid>
        <w:gridCol w:w="5034"/>
        <w:gridCol w:w="4963"/>
      </w:tblGrid>
      <w:tr w:rsidR="002965AE" w:rsidTr="00774975">
        <w:tc>
          <w:tcPr>
            <w:tcW w:w="4987" w:type="dxa"/>
          </w:tcPr>
          <w:p w:rsidR="002965AE" w:rsidRDefault="00EE69E3" w:rsidP="00774975">
            <w:pPr>
              <w:spacing w:line="480" w:lineRule="auto"/>
              <w:rPr>
                <w:lang w:val="en-NZ"/>
              </w:rPr>
            </w:pPr>
            <w:r>
              <w:rPr>
                <w:noProof/>
                <w:lang w:val="da-DK" w:eastAsia="da-DK"/>
              </w:rPr>
              <mc:AlternateContent>
                <mc:Choice Requires="wps">
                  <w:drawing>
                    <wp:anchor distT="0" distB="0" distL="114300" distR="114300" simplePos="0" relativeHeight="251666432" behindDoc="0" locked="0" layoutInCell="1" allowOverlap="1">
                      <wp:simplePos x="0" y="0"/>
                      <wp:positionH relativeFrom="column">
                        <wp:posOffset>433070</wp:posOffset>
                      </wp:positionH>
                      <wp:positionV relativeFrom="paragraph">
                        <wp:posOffset>152400</wp:posOffset>
                      </wp:positionV>
                      <wp:extent cx="381635" cy="342900"/>
                      <wp:effectExtent l="4445" t="0"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AE" w:rsidRDefault="002965AE" w:rsidP="002965AE">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4.1pt;margin-top:12pt;width:30.05pt;height: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" stroked="f">
                      <v:textbox style="mso-fit-shape-to-text:t">
                        <w:txbxContent>
                          <w:p w:rsidR="002965AE" w:rsidRDefault="002965AE" w:rsidP="002965AE">
                            <w:r>
                              <w:t>(a)</w:t>
                            </w:r>
                          </w:p>
                        </w:txbxContent>
                      </v:textbox>
                    </v:shape>
                  </w:pict>
                </mc:Fallback>
              </mc:AlternateContent>
            </w:r>
            <w:r w:rsidR="002965AE">
              <w:rPr>
                <w:noProof/>
                <w:lang w:val="da-DK" w:eastAsia="da-DK"/>
              </w:rPr>
              <w:drawing>
                <wp:inline distT="0" distB="0" distL="0" distR="0" wp14:anchorId="56866591" wp14:editId="7CF35565">
                  <wp:extent cx="3078480" cy="230862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5421" cy="2313829"/>
                          </a:xfrm>
                          <a:prstGeom prst="rect">
                            <a:avLst/>
                          </a:prstGeom>
                        </pic:spPr>
                      </pic:pic>
                    </a:graphicData>
                  </a:graphic>
                </wp:inline>
              </w:drawing>
            </w:r>
          </w:p>
        </w:tc>
        <w:tc>
          <w:tcPr>
            <w:tcW w:w="5010" w:type="dxa"/>
          </w:tcPr>
          <w:p w:rsidR="002965AE" w:rsidRDefault="00EE69E3" w:rsidP="00774975">
            <w:pPr>
              <w:spacing w:line="480" w:lineRule="auto"/>
              <w:rPr>
                <w:lang w:val="en-NZ"/>
              </w:rPr>
            </w:pPr>
            <w:r>
              <w:rPr>
                <w:noProof/>
                <w:lang w:val="da-DK" w:eastAsia="da-DK"/>
              </w:rPr>
              <mc:AlternateContent>
                <mc:Choice Requires="wps">
                  <w:drawing>
                    <wp:anchor distT="0" distB="0" distL="114300" distR="114300" simplePos="0" relativeHeight="251667456" behindDoc="0" locked="0" layoutInCell="1" allowOverlap="1">
                      <wp:simplePos x="0" y="0"/>
                      <wp:positionH relativeFrom="column">
                        <wp:posOffset>441325</wp:posOffset>
                      </wp:positionH>
                      <wp:positionV relativeFrom="paragraph">
                        <wp:posOffset>152400</wp:posOffset>
                      </wp:positionV>
                      <wp:extent cx="381635" cy="342900"/>
                      <wp:effectExtent l="3175"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AE" w:rsidRDefault="002965AE" w:rsidP="002965AE">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34.75pt;margin-top:12pt;width:30.05pt;height:2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7NhQIAABY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" stroked="f">
                      <v:textbox style="mso-fit-shape-to-text:t">
                        <w:txbxContent>
                          <w:p w:rsidR="002965AE" w:rsidRDefault="002965AE" w:rsidP="002965AE">
                            <w:r>
                              <w:t>(b)</w:t>
                            </w:r>
                          </w:p>
                        </w:txbxContent>
                      </v:textbox>
                    </v:shape>
                  </w:pict>
                </mc:Fallback>
              </mc:AlternateContent>
            </w:r>
            <w:r w:rsidR="002965AE">
              <w:rPr>
                <w:noProof/>
                <w:lang w:val="da-DK" w:eastAsia="da-DK"/>
              </w:rPr>
              <w:drawing>
                <wp:inline distT="0" distB="0" distL="0" distR="0">
                  <wp:extent cx="3032760" cy="227433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4623" cy="2275734"/>
                          </a:xfrm>
                          <a:prstGeom prst="rect">
                            <a:avLst/>
                          </a:prstGeom>
                        </pic:spPr>
                      </pic:pic>
                    </a:graphicData>
                  </a:graphic>
                </wp:inline>
              </w:drawing>
            </w:r>
          </w:p>
        </w:tc>
      </w:tr>
    </w:tbl>
    <w:p w:rsidR="00BF4596" w:rsidRDefault="00BF4596">
      <w:pPr>
        <w:widowControl/>
        <w:suppressLineNumbers w:val="0"/>
        <w:spacing w:before="0"/>
        <w:jc w:val="left"/>
        <w:rPr>
          <w:b/>
          <w:lang w:val="en-NZ"/>
        </w:rPr>
      </w:pPr>
      <w:r>
        <w:rPr>
          <w:b/>
          <w:lang w:val="en-NZ"/>
        </w:rPr>
        <w:br w:type="page"/>
      </w:r>
    </w:p>
    <w:p w:rsidR="00EF13FA" w:rsidRDefault="00EF13FA" w:rsidP="00EF13FA">
      <w:pPr>
        <w:spacing w:line="480" w:lineRule="auto"/>
        <w:rPr>
          <w:lang w:val="en-NZ"/>
        </w:rPr>
      </w:pPr>
      <w:r w:rsidRPr="00B92362">
        <w:rPr>
          <w:b/>
          <w:lang w:val="en-NZ"/>
        </w:rPr>
        <w:lastRenderedPageBreak/>
        <w:t xml:space="preserve">Figure </w:t>
      </w:r>
      <w:r w:rsidR="00BF4596">
        <w:rPr>
          <w:b/>
          <w:lang w:val="en-NZ"/>
        </w:rPr>
        <w:t>2</w:t>
      </w:r>
      <w:r w:rsidRPr="00B92362">
        <w:rPr>
          <w:b/>
          <w:lang w:val="en-NZ"/>
        </w:rPr>
        <w:t>.</w:t>
      </w:r>
      <w:r>
        <w:rPr>
          <w:lang w:val="en-NZ"/>
        </w:rPr>
        <w:t xml:space="preserve"> </w:t>
      </w:r>
      <w:r w:rsidR="00502F79">
        <w:rPr>
          <w:lang w:val="en-NZ"/>
        </w:rPr>
        <w:t>Representations of: (a, c) catch options advised by ICES versus agreed TAC; (b, d) Catch estimated by ICES versus agreed TAC; (</w:t>
      </w:r>
      <w:r w:rsidR="00BF4596">
        <w:rPr>
          <w:lang w:val="en-NZ"/>
        </w:rPr>
        <w:t>a</w:t>
      </w:r>
      <w:r w:rsidR="00502F79">
        <w:rPr>
          <w:lang w:val="en-NZ"/>
        </w:rPr>
        <w:t xml:space="preserve">, </w:t>
      </w:r>
      <w:r w:rsidR="00BF4596">
        <w:rPr>
          <w:lang w:val="en-NZ"/>
        </w:rPr>
        <w:t>b</w:t>
      </w:r>
      <w:r w:rsidR="00502F79">
        <w:rPr>
          <w:lang w:val="en-NZ"/>
        </w:rPr>
        <w:t>) EU Northeast Atlantic stocks over the period 2010-2013; (</w:t>
      </w:r>
      <w:r w:rsidR="00BF4596">
        <w:rPr>
          <w:lang w:val="en-NZ"/>
        </w:rPr>
        <w:t>c</w:t>
      </w:r>
      <w:r w:rsidR="00502F79">
        <w:rPr>
          <w:lang w:val="en-NZ"/>
        </w:rPr>
        <w:t xml:space="preserve">, </w:t>
      </w:r>
      <w:r w:rsidR="00BF4596">
        <w:rPr>
          <w:lang w:val="en-NZ"/>
        </w:rPr>
        <w:t>d</w:t>
      </w:r>
      <w:r w:rsidR="00502F79">
        <w:rPr>
          <w:lang w:val="en-NZ"/>
        </w:rPr>
        <w:t>) Icelandic stocks over the period 2010-2013</w:t>
      </w:r>
      <w:r>
        <w:rPr>
          <w:lang w:val="en-NZ"/>
        </w:rPr>
        <w:t>.</w:t>
      </w:r>
      <w:r w:rsidR="00185292">
        <w:rPr>
          <w:lang w:val="en-NZ"/>
        </w:rPr>
        <w:t xml:space="preserve"> The dotted line represents the 1:1 relation between advised catches and TACs.</w:t>
      </w:r>
    </w:p>
    <w:tbl>
      <w:tblPr>
        <w:tblStyle w:val="Tabel-Gitter"/>
        <w:tblW w:w="0" w:type="auto"/>
        <w:tblLook w:val="04A0" w:firstRow="1" w:lastRow="0" w:firstColumn="1" w:lastColumn="0" w:noHBand="0" w:noVBand="1"/>
      </w:tblPr>
      <w:tblGrid>
        <w:gridCol w:w="4993"/>
        <w:gridCol w:w="5004"/>
      </w:tblGrid>
      <w:tr w:rsidR="00EF13FA" w:rsidRPr="00185292" w:rsidTr="001628B9">
        <w:tc>
          <w:tcPr>
            <w:tcW w:w="4987" w:type="dxa"/>
          </w:tcPr>
          <w:p w:rsidR="00EF13FA" w:rsidRDefault="00EE69E3" w:rsidP="00B92362">
            <w:pPr>
              <w:spacing w:line="480" w:lineRule="auto"/>
              <w:rPr>
                <w:lang w:val="en-NZ"/>
              </w:rPr>
            </w:pPr>
            <w:r>
              <w:rPr>
                <w:noProof/>
                <w:lang w:val="da-DK" w:eastAsia="da-DK"/>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208280</wp:posOffset>
                      </wp:positionV>
                      <wp:extent cx="381635" cy="342900"/>
                      <wp:effectExtent l="0" t="0" r="63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647" w:rsidRDefault="007A2647" w:rsidP="00283E18">
                                  <w:r>
                                    <w:t>(</w:t>
                                  </w:r>
                                  <w:r w:rsidR="001628B9">
                                    <w:t>a</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53.9pt;margin-top:16.4pt;width:30.05pt;height:2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" stroked="f">
                      <v:textbox style="mso-fit-shape-to-text:t">
                        <w:txbxContent>
                          <w:p w:rsidR="007A2647" w:rsidRDefault="007A2647" w:rsidP="00283E18">
                            <w:r>
                              <w:t>(</w:t>
                            </w:r>
                            <w:r w:rsidR="001628B9">
                              <w:t>a</w:t>
                            </w:r>
                            <w:r>
                              <w:t>)</w:t>
                            </w:r>
                          </w:p>
                        </w:txbxContent>
                      </v:textbox>
                    </v:shape>
                  </w:pict>
                </mc:Fallback>
              </mc:AlternateContent>
            </w:r>
            <w:r w:rsidR="001628B9">
              <w:rPr>
                <w:noProof/>
                <w:lang w:val="da-DK" w:eastAsia="da-DK"/>
              </w:rPr>
              <w:drawing>
                <wp:inline distT="0" distB="0" distL="0" distR="0" wp14:anchorId="05B27B7F" wp14:editId="2B386020">
                  <wp:extent cx="3078795" cy="2308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2010-2013_Advice vs TA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0055" cy="2309805"/>
                          </a:xfrm>
                          <a:prstGeom prst="rect">
                            <a:avLst/>
                          </a:prstGeom>
                        </pic:spPr>
                      </pic:pic>
                    </a:graphicData>
                  </a:graphic>
                </wp:inline>
              </w:drawing>
            </w:r>
          </w:p>
        </w:tc>
        <w:tc>
          <w:tcPr>
            <w:tcW w:w="5010" w:type="dxa"/>
          </w:tcPr>
          <w:p w:rsidR="00EF13FA" w:rsidRDefault="00EE69E3" w:rsidP="00B92362">
            <w:pPr>
              <w:spacing w:line="480" w:lineRule="auto"/>
              <w:rPr>
                <w:lang w:val="en-NZ"/>
              </w:rPr>
            </w:pPr>
            <w:r>
              <w:rPr>
                <w:noProof/>
                <w:lang w:val="da-DK" w:eastAsia="da-DK"/>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152400</wp:posOffset>
                      </wp:positionV>
                      <wp:extent cx="381635" cy="342900"/>
                      <wp:effectExtent l="254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647" w:rsidRDefault="007A2647" w:rsidP="00283E18">
                                  <w:r>
                                    <w:t>(</w:t>
                                  </w:r>
                                  <w:r w:rsidR="001628B9">
                                    <w:t>b</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left:0;text-align:left;margin-left:48.2pt;margin-top:12pt;width:30.05pt;height:2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64hAIAABU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" stroked="f">
                      <v:textbox style="mso-fit-shape-to-text:t">
                        <w:txbxContent>
                          <w:p w:rsidR="007A2647" w:rsidRDefault="007A2647" w:rsidP="00283E18">
                            <w:r>
                              <w:t>(</w:t>
                            </w:r>
                            <w:r w:rsidR="001628B9">
                              <w:t>b</w:t>
                            </w:r>
                            <w:r>
                              <w:t>)</w:t>
                            </w:r>
                          </w:p>
                        </w:txbxContent>
                      </v:textbox>
                    </v:shape>
                  </w:pict>
                </mc:Fallback>
              </mc:AlternateContent>
            </w:r>
            <w:r w:rsidR="001628B9">
              <w:rPr>
                <w:noProof/>
                <w:lang w:val="da-DK" w:eastAsia="da-DK"/>
              </w:rPr>
              <w:drawing>
                <wp:inline distT="0" distB="0" distL="0" distR="0" wp14:anchorId="559AABF9" wp14:editId="29C464A6">
                  <wp:extent cx="3086100" cy="23143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2010-2013_Catch vs TA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7362" cy="2315286"/>
                          </a:xfrm>
                          <a:prstGeom prst="rect">
                            <a:avLst/>
                          </a:prstGeom>
                        </pic:spPr>
                      </pic:pic>
                    </a:graphicData>
                  </a:graphic>
                </wp:inline>
              </w:drawing>
            </w:r>
          </w:p>
        </w:tc>
      </w:tr>
      <w:tr w:rsidR="00EF13FA" w:rsidRPr="00185292" w:rsidTr="001628B9">
        <w:tc>
          <w:tcPr>
            <w:tcW w:w="4987" w:type="dxa"/>
          </w:tcPr>
          <w:p w:rsidR="00EF13FA" w:rsidRDefault="00EE69E3" w:rsidP="00B92362">
            <w:pPr>
              <w:spacing w:line="480" w:lineRule="auto"/>
              <w:rPr>
                <w:lang w:val="en-NZ"/>
              </w:rPr>
            </w:pPr>
            <w:r>
              <w:rPr>
                <w:noProof/>
                <w:lang w:val="da-DK" w:eastAsia="da-DK"/>
              </w:rPr>
              <mc:AlternateContent>
                <mc:Choice Requires="wps">
                  <w:drawing>
                    <wp:anchor distT="0" distB="0" distL="114300" distR="114300" simplePos="0" relativeHeight="251663360" behindDoc="0" locked="0" layoutInCell="1" allowOverlap="1">
                      <wp:simplePos x="0" y="0"/>
                      <wp:positionH relativeFrom="column">
                        <wp:posOffset>610235</wp:posOffset>
                      </wp:positionH>
                      <wp:positionV relativeFrom="paragraph">
                        <wp:posOffset>179705</wp:posOffset>
                      </wp:positionV>
                      <wp:extent cx="381635" cy="342900"/>
                      <wp:effectExtent l="635" t="0" r="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647" w:rsidRDefault="007A2647" w:rsidP="0048783B">
                                  <w:r>
                                    <w:t>(</w:t>
                                  </w:r>
                                  <w:r w:rsidR="001628B9">
                                    <w:t>c</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48.05pt;margin-top:14.15pt;width:30.05pt;height:2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6hQIAABU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" stroked="f">
                      <v:textbox style="mso-fit-shape-to-text:t">
                        <w:txbxContent>
                          <w:p w:rsidR="007A2647" w:rsidRDefault="007A2647" w:rsidP="0048783B">
                            <w:r>
                              <w:t>(</w:t>
                            </w:r>
                            <w:r w:rsidR="001628B9">
                              <w:t>c</w:t>
                            </w:r>
                            <w:r>
                              <w:t>)</w:t>
                            </w:r>
                          </w:p>
                        </w:txbxContent>
                      </v:textbox>
                    </v:shape>
                  </w:pict>
                </mc:Fallback>
              </mc:AlternateContent>
            </w:r>
            <w:r w:rsidR="001628B9">
              <w:rPr>
                <w:noProof/>
                <w:lang w:val="da-DK" w:eastAsia="da-DK"/>
              </w:rPr>
              <w:drawing>
                <wp:inline distT="0" distB="0" distL="0" distR="0" wp14:anchorId="4107F70B" wp14:editId="699D3E81">
                  <wp:extent cx="3078480" cy="230862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_2010-2013_Advice vs TA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2641" cy="2311745"/>
                          </a:xfrm>
                          <a:prstGeom prst="rect">
                            <a:avLst/>
                          </a:prstGeom>
                        </pic:spPr>
                      </pic:pic>
                    </a:graphicData>
                  </a:graphic>
                </wp:inline>
              </w:drawing>
            </w:r>
          </w:p>
        </w:tc>
        <w:tc>
          <w:tcPr>
            <w:tcW w:w="5010" w:type="dxa"/>
          </w:tcPr>
          <w:p w:rsidR="00EF13FA" w:rsidRDefault="00EE69E3" w:rsidP="00B92362">
            <w:pPr>
              <w:spacing w:line="480" w:lineRule="auto"/>
              <w:rPr>
                <w:lang w:val="en-NZ"/>
              </w:rPr>
            </w:pPr>
            <w:r>
              <w:rPr>
                <w:noProof/>
                <w:lang w:val="da-DK" w:eastAsia="da-DK"/>
              </w:rPr>
              <mc:AlternateContent>
                <mc:Choice Requires="wps">
                  <w:drawing>
                    <wp:anchor distT="0" distB="0" distL="114300" distR="114300" simplePos="0" relativeHeight="251664384" behindDoc="0" locked="0" layoutInCell="1" allowOverlap="1">
                      <wp:simplePos x="0" y="0"/>
                      <wp:positionH relativeFrom="column">
                        <wp:posOffset>612140</wp:posOffset>
                      </wp:positionH>
                      <wp:positionV relativeFrom="paragraph">
                        <wp:posOffset>179705</wp:posOffset>
                      </wp:positionV>
                      <wp:extent cx="381635" cy="342900"/>
                      <wp:effectExtent l="254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647" w:rsidRDefault="001628B9" w:rsidP="0048783B">
                                  <w:r>
                                    <w:t>(d</w:t>
                                  </w:r>
                                  <w:r w:rsidR="007A2647">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48.2pt;margin-top:14.15pt;width:30.05pt;height:2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X+hAIAABU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" stroked="f">
                      <v:textbox style="mso-fit-shape-to-text:t">
                        <w:txbxContent>
                          <w:p w:rsidR="007A2647" w:rsidRDefault="001628B9" w:rsidP="0048783B">
                            <w:r>
                              <w:t>(d</w:t>
                            </w:r>
                            <w:r w:rsidR="007A2647">
                              <w:t>)</w:t>
                            </w:r>
                          </w:p>
                        </w:txbxContent>
                      </v:textbox>
                    </v:shape>
                  </w:pict>
                </mc:Fallback>
              </mc:AlternateContent>
            </w:r>
            <w:r w:rsidR="001628B9">
              <w:rPr>
                <w:noProof/>
                <w:lang w:val="da-DK" w:eastAsia="da-DK"/>
              </w:rPr>
              <w:drawing>
                <wp:inline distT="0" distB="0" distL="0" distR="0">
                  <wp:extent cx="3086100" cy="231433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_2010-2013_Catch vs TAC.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87362" cy="2315285"/>
                          </a:xfrm>
                          <a:prstGeom prst="rect">
                            <a:avLst/>
                          </a:prstGeom>
                        </pic:spPr>
                      </pic:pic>
                    </a:graphicData>
                  </a:graphic>
                </wp:inline>
              </w:drawing>
            </w:r>
          </w:p>
        </w:tc>
      </w:tr>
    </w:tbl>
    <w:p w:rsidR="00EF13FA" w:rsidRPr="00B92362" w:rsidRDefault="00EF13FA" w:rsidP="00502F79">
      <w:pPr>
        <w:spacing w:line="480" w:lineRule="auto"/>
        <w:rPr>
          <w:lang w:val="en-NZ"/>
        </w:rPr>
      </w:pPr>
    </w:p>
    <w:sectPr w:rsidR="00EF13FA" w:rsidRPr="00B92362" w:rsidSect="00B92362">
      <w:pgSz w:w="11907" w:h="16840" w:code="9"/>
      <w:pgMar w:top="1418" w:right="70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F9F7E" w15:done="0"/>
  <w15:commentEx w15:paraId="4C6D38AB" w15:done="0"/>
  <w15:commentEx w15:paraId="708A422E" w15:done="0"/>
  <w15:commentEx w15:paraId="22B10558" w15:done="0"/>
  <w15:commentEx w15:paraId="6C0262BC" w15:done="0"/>
  <w15:commentEx w15:paraId="2B4171ED" w15:done="0"/>
  <w15:commentEx w15:paraId="46A9A9F0" w15:done="0"/>
  <w15:commentEx w15:paraId="511006EF" w15:done="0"/>
  <w15:commentEx w15:paraId="1DFB0F11" w15:done="0"/>
  <w15:commentEx w15:paraId="652EB16B" w15:done="0"/>
  <w15:commentEx w15:paraId="36F2B55F" w15:done="0"/>
  <w15:commentEx w15:paraId="28DE3AC2" w15:done="0"/>
  <w15:commentEx w15:paraId="5F759A32" w15:done="0"/>
  <w15:commentEx w15:paraId="7F0CEB08" w15:done="0"/>
  <w15:commentEx w15:paraId="30CBB38A" w15:done="0"/>
  <w15:commentEx w15:paraId="5591E70E" w15:done="0"/>
  <w15:commentEx w15:paraId="42D9150D" w15:done="0"/>
  <w15:commentEx w15:paraId="7CE68F7C" w15:done="0"/>
  <w15:commentEx w15:paraId="7A195967" w15:done="0"/>
  <w15:commentEx w15:paraId="696031FB" w15:done="0"/>
  <w15:commentEx w15:paraId="3DAEAB60" w15:done="0"/>
  <w15:commentEx w15:paraId="59483404" w15:done="0"/>
  <w15:commentEx w15:paraId="087252E6" w15:done="0"/>
  <w15:commentEx w15:paraId="326E141E" w15:done="0"/>
  <w15:commentEx w15:paraId="5C48B233" w15:done="0"/>
  <w15:commentEx w15:paraId="31A84904" w15:done="0"/>
  <w15:commentEx w15:paraId="235B8C2D" w15:done="0"/>
  <w15:commentEx w15:paraId="6EF7E0F9" w15:done="0"/>
  <w15:commentEx w15:paraId="0FC0437C" w15:done="0"/>
  <w15:commentEx w15:paraId="5CA4F37F" w15:done="0"/>
  <w15:commentEx w15:paraId="21BC9F03" w15:done="0"/>
  <w15:commentEx w15:paraId="18257A09" w15:done="0"/>
  <w15:commentEx w15:paraId="0583936B" w15:done="0"/>
  <w15:commentEx w15:paraId="08595B7C" w15:done="0"/>
  <w15:commentEx w15:paraId="5B9705B1" w15:done="0"/>
  <w15:commentEx w15:paraId="6D0A3EC9" w15:done="0"/>
  <w15:commentEx w15:paraId="54767B68" w15:done="0"/>
  <w15:commentEx w15:paraId="208C26BA" w15:done="0"/>
  <w15:commentEx w15:paraId="53C3DAC3" w15:done="0"/>
  <w15:commentEx w15:paraId="292A13A1" w15:done="0"/>
  <w15:commentEx w15:paraId="7113E140" w15:done="0"/>
  <w15:commentEx w15:paraId="58D98C90" w15:done="0"/>
  <w15:commentEx w15:paraId="03318E32" w15:done="0"/>
  <w15:commentEx w15:paraId="55F3E9C4" w15:done="0"/>
  <w15:commentEx w15:paraId="65642A95" w15:done="0"/>
  <w15:commentEx w15:paraId="6292A022" w15:done="0"/>
  <w15:commentEx w15:paraId="36DCA620" w15:done="0"/>
  <w15:commentEx w15:paraId="08D3C92F" w15:done="0"/>
  <w15:commentEx w15:paraId="36149A4D" w15:done="0"/>
  <w15:commentEx w15:paraId="701F3BF1" w15:done="0"/>
  <w15:commentEx w15:paraId="14E5A3EF" w15:done="0"/>
  <w15:commentEx w15:paraId="1670D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A" w:rsidRDefault="0041027A">
      <w:r>
        <w:separator/>
      </w:r>
    </w:p>
  </w:endnote>
  <w:endnote w:type="continuationSeparator" w:id="0">
    <w:p w:rsidR="0041027A" w:rsidRDefault="0041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7" w:rsidRDefault="007A2647">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EE69E3">
      <w:rPr>
        <w:rStyle w:val="Sidetal"/>
        <w:noProof/>
      </w:rPr>
      <w:t>2</w:t>
    </w:r>
    <w:r>
      <w:rPr>
        <w:rStyle w:val="Sidetal"/>
      </w:rPr>
      <w:fldChar w:fldCharType="end"/>
    </w:r>
  </w:p>
  <w:p w:rsidR="007A2647" w:rsidRDefault="007A2647">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7" w:rsidRDefault="007A2647">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EE69E3">
      <w:rPr>
        <w:rStyle w:val="Sidetal"/>
        <w:noProof/>
      </w:rPr>
      <w:t>1</w:t>
    </w:r>
    <w:r>
      <w:rPr>
        <w:rStyle w:val="Sidetal"/>
      </w:rPr>
      <w:fldChar w:fldCharType="end"/>
    </w:r>
  </w:p>
  <w:p w:rsidR="007A2647" w:rsidRDefault="007A2647">
    <w:pPr>
      <w:pStyle w:val="Sidefo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7" w:rsidRDefault="007A2647">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EE69E3">
      <w:rPr>
        <w:rStyle w:val="Sidetal"/>
        <w:noProof/>
      </w:rPr>
      <w:t>54</w:t>
    </w:r>
    <w:r>
      <w:rPr>
        <w:rStyle w:val="Sidetal"/>
      </w:rPr>
      <w:fldChar w:fldCharType="end"/>
    </w:r>
  </w:p>
  <w:p w:rsidR="007A2647" w:rsidRDefault="007A2647">
    <w:pPr>
      <w:pStyle w:val="Sidefo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47" w:rsidRDefault="007A2647">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sidR="00EE69E3">
      <w:rPr>
        <w:rStyle w:val="Sidetal"/>
        <w:noProof/>
      </w:rPr>
      <w:t>53</w:t>
    </w:r>
    <w:r>
      <w:rPr>
        <w:rStyle w:val="Sidetal"/>
      </w:rPr>
      <w:fldChar w:fldCharType="end"/>
    </w:r>
  </w:p>
  <w:p w:rsidR="007A2647" w:rsidRDefault="007A2647">
    <w:pPr>
      <w:pStyle w:val="Sidefo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A" w:rsidRDefault="0041027A">
      <w:r>
        <w:separator/>
      </w:r>
    </w:p>
  </w:footnote>
  <w:footnote w:type="continuationSeparator" w:id="0">
    <w:p w:rsidR="0041027A" w:rsidRDefault="0041027A">
      <w:r>
        <w:continuationSeparator/>
      </w:r>
    </w:p>
  </w:footnote>
  <w:footnote w:id="1">
    <w:p w:rsidR="007A2647" w:rsidRPr="00E16B12" w:rsidRDefault="007A2647">
      <w:pPr>
        <w:pStyle w:val="Fodnotetekst"/>
        <w:rPr>
          <w:lang w:val="en-US"/>
        </w:rPr>
      </w:pPr>
      <w:r>
        <w:rPr>
          <w:rStyle w:val="Fodnotehenvisning"/>
        </w:rPr>
        <w:footnoteRef/>
      </w:r>
      <w:r>
        <w:t xml:space="preserve"> </w:t>
      </w:r>
      <w:r w:rsidRPr="00E16B12">
        <w:rPr>
          <w:lang w:val="en-US"/>
        </w:rPr>
        <w:t>Adapted from : EU, Iceland (EUROSTAT 2013) ; Australia, New Zealand (OECD 2013)</w:t>
      </w:r>
    </w:p>
  </w:footnote>
  <w:footnote w:id="2">
    <w:p w:rsidR="007A2647" w:rsidRPr="005724D1" w:rsidRDefault="007A2647">
      <w:pPr>
        <w:pStyle w:val="Fodnotetekst"/>
        <w:rPr>
          <w:lang w:val="en-US"/>
        </w:rPr>
      </w:pPr>
      <w:r>
        <w:rPr>
          <w:rStyle w:val="Fodnotehenvisning"/>
        </w:rPr>
        <w:footnoteRef/>
      </w:r>
      <w:r>
        <w:t xml:space="preserve"> </w:t>
      </w:r>
      <w:r w:rsidRPr="005724D1">
        <w:rPr>
          <w:lang w:val="en-US"/>
        </w:rPr>
        <w:t xml:space="preserve">Adapted from : EU (STECF 2011 ; STECF 2012d ; STECF 2013c) ; </w:t>
      </w:r>
      <w:r>
        <w:rPr>
          <w:lang w:val="en-US"/>
        </w:rPr>
        <w:t>Iceland, Australia, New Zealand (OECD 2012; OECD 2013)</w:t>
      </w:r>
    </w:p>
  </w:footnote>
  <w:footnote w:id="3">
    <w:p w:rsidR="007A2647" w:rsidRPr="005724D1" w:rsidRDefault="007A2647">
      <w:pPr>
        <w:pStyle w:val="Fodnotetekst"/>
      </w:pPr>
      <w:r>
        <w:rPr>
          <w:rStyle w:val="Fodnotehenvisning"/>
        </w:rPr>
        <w:footnoteRef/>
      </w:r>
      <w:r>
        <w:t xml:space="preserve"> Adapted from OECD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678"/>
    <w:multiLevelType w:val="hybridMultilevel"/>
    <w:tmpl w:val="DE2CC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D84F1C"/>
    <w:multiLevelType w:val="hybridMultilevel"/>
    <w:tmpl w:val="39CA6BFE"/>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F1436"/>
    <w:multiLevelType w:val="hybridMultilevel"/>
    <w:tmpl w:val="4B403166"/>
    <w:lvl w:ilvl="0" w:tplc="AC84F93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D52AB"/>
    <w:multiLevelType w:val="hybridMultilevel"/>
    <w:tmpl w:val="664CF81C"/>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672CAC"/>
    <w:multiLevelType w:val="hybridMultilevel"/>
    <w:tmpl w:val="1F6CF334"/>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56ADF"/>
    <w:multiLevelType w:val="hybridMultilevel"/>
    <w:tmpl w:val="53789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A12E00"/>
    <w:multiLevelType w:val="hybridMultilevel"/>
    <w:tmpl w:val="C3122F8A"/>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D434A"/>
    <w:multiLevelType w:val="hybridMultilevel"/>
    <w:tmpl w:val="85AEE2AA"/>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536CC"/>
    <w:multiLevelType w:val="hybridMultilevel"/>
    <w:tmpl w:val="F7226F50"/>
    <w:lvl w:ilvl="0" w:tplc="EBC45E28">
      <w:start w:val="1"/>
      <w:numFmt w:val="bullet"/>
      <w:lvlText w:val=""/>
      <w:lvlJc w:val="left"/>
      <w:pPr>
        <w:ind w:left="768" w:hanging="360"/>
      </w:pPr>
      <w:rPr>
        <w:rFonts w:ascii="Symbol" w:hAnsi="Symbol" w:hint="default"/>
        <w:color w:val="auto"/>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nsid w:val="481758EE"/>
    <w:multiLevelType w:val="hybridMultilevel"/>
    <w:tmpl w:val="6BE0FF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F5773B4"/>
    <w:multiLevelType w:val="hybridMultilevel"/>
    <w:tmpl w:val="12E2EA1C"/>
    <w:lvl w:ilvl="0" w:tplc="EBC45E28">
      <w:start w:val="1"/>
      <w:numFmt w:val="bullet"/>
      <w:lvlText w:val=""/>
      <w:lvlJc w:val="left"/>
      <w:pPr>
        <w:ind w:left="739" w:hanging="360"/>
      </w:pPr>
      <w:rPr>
        <w:rFonts w:ascii="Symbol" w:hAnsi="Symbol" w:hint="default"/>
        <w:color w:val="auto"/>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11">
    <w:nsid w:val="55A5550F"/>
    <w:multiLevelType w:val="hybridMultilevel"/>
    <w:tmpl w:val="EBD02BA0"/>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3E1EA1"/>
    <w:multiLevelType w:val="hybridMultilevel"/>
    <w:tmpl w:val="9962E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756CA1"/>
    <w:multiLevelType w:val="hybridMultilevel"/>
    <w:tmpl w:val="330E1FEE"/>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FD1D43"/>
    <w:multiLevelType w:val="hybridMultilevel"/>
    <w:tmpl w:val="963E5954"/>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383AD2"/>
    <w:multiLevelType w:val="hybridMultilevel"/>
    <w:tmpl w:val="717E709E"/>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A87FD4"/>
    <w:multiLevelType w:val="hybridMultilevel"/>
    <w:tmpl w:val="5ACA9490"/>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7B308E"/>
    <w:multiLevelType w:val="hybridMultilevel"/>
    <w:tmpl w:val="EDA683CA"/>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FB5DE0"/>
    <w:multiLevelType w:val="hybridMultilevel"/>
    <w:tmpl w:val="254C48D0"/>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215A7B"/>
    <w:multiLevelType w:val="hybridMultilevel"/>
    <w:tmpl w:val="E2580D24"/>
    <w:lvl w:ilvl="0" w:tplc="EBC45E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676B7C"/>
    <w:multiLevelType w:val="hybridMultilevel"/>
    <w:tmpl w:val="9AF09322"/>
    <w:lvl w:ilvl="0" w:tplc="EBC45E28">
      <w:start w:val="1"/>
      <w:numFmt w:val="bullet"/>
      <w:lvlText w:val=""/>
      <w:lvlJc w:val="left"/>
      <w:pPr>
        <w:ind w:left="768" w:hanging="360"/>
      </w:pPr>
      <w:rPr>
        <w:rFonts w:ascii="Symbol" w:hAnsi="Symbol" w:hint="default"/>
        <w:color w:val="auto"/>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1">
    <w:nsid w:val="7B791D3F"/>
    <w:multiLevelType w:val="multilevel"/>
    <w:tmpl w:val="BA2A9732"/>
    <w:lvl w:ilvl="0">
      <w:start w:val="1"/>
      <w:numFmt w:val="decimal"/>
      <w:pStyle w:val="Overskrift1"/>
      <w:suff w:val="space"/>
      <w:lvlText w:val="%1."/>
      <w:lvlJc w:val="left"/>
      <w:pPr>
        <w:ind w:left="0" w:firstLine="0"/>
      </w:pPr>
      <w:rPr>
        <w:rFonts w:ascii="Times New Roman" w:hAnsi="Times New Roman" w:hint="default"/>
        <w:b/>
        <w:i w:val="0"/>
        <w:sz w:val="28"/>
      </w:rPr>
    </w:lvl>
    <w:lvl w:ilvl="1">
      <w:start w:val="1"/>
      <w:numFmt w:val="decimal"/>
      <w:pStyle w:val="Overskrift2"/>
      <w:suff w:val="space"/>
      <w:lvlText w:val="%1.%2."/>
      <w:lvlJc w:val="left"/>
      <w:pPr>
        <w:ind w:left="0" w:firstLine="0"/>
      </w:pPr>
      <w:rPr>
        <w:rFonts w:ascii="Times New Roman" w:hAnsi="Times New Roman" w:hint="default"/>
        <w:b/>
        <w:i w:val="0"/>
        <w:sz w:val="24"/>
      </w:rPr>
    </w:lvl>
    <w:lvl w:ilvl="2">
      <w:start w:val="1"/>
      <w:numFmt w:val="decimal"/>
      <w:pStyle w:val="Overskrift3"/>
      <w:suff w:val="space"/>
      <w:lvlText w:val="%1.%2.%3."/>
      <w:lvlJc w:val="left"/>
      <w:pPr>
        <w:ind w:left="0" w:firstLine="284"/>
      </w:pPr>
      <w:rPr>
        <w:rFonts w:ascii="Times New Roman" w:hAnsi="Times New Roman" w:hint="default"/>
        <w:b/>
        <w:i/>
        <w:sz w:val="24"/>
      </w:rPr>
    </w:lvl>
    <w:lvl w:ilvl="3">
      <w:start w:val="1"/>
      <w:numFmt w:val="decimal"/>
      <w:pStyle w:val="Overskrift4"/>
      <w:suff w:val="space"/>
      <w:lvlText w:val="%1.%2.%3.%4."/>
      <w:lvlJc w:val="left"/>
      <w:pPr>
        <w:ind w:left="0" w:firstLine="567"/>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9"/>
  </w:num>
  <w:num w:numId="3">
    <w:abstractNumId w:val="0"/>
  </w:num>
  <w:num w:numId="4">
    <w:abstractNumId w:val="2"/>
  </w:num>
  <w:num w:numId="5">
    <w:abstractNumId w:val="3"/>
  </w:num>
  <w:num w:numId="6">
    <w:abstractNumId w:val="8"/>
  </w:num>
  <w:num w:numId="7">
    <w:abstractNumId w:val="20"/>
  </w:num>
  <w:num w:numId="8">
    <w:abstractNumId w:val="5"/>
  </w:num>
  <w:num w:numId="9">
    <w:abstractNumId w:val="12"/>
  </w:num>
  <w:num w:numId="10">
    <w:abstractNumId w:val="11"/>
  </w:num>
  <w:num w:numId="11">
    <w:abstractNumId w:val="13"/>
  </w:num>
  <w:num w:numId="12">
    <w:abstractNumId w:val="10"/>
  </w:num>
  <w:num w:numId="13">
    <w:abstractNumId w:val="6"/>
  </w:num>
  <w:num w:numId="14">
    <w:abstractNumId w:val="4"/>
  </w:num>
  <w:num w:numId="15">
    <w:abstractNumId w:val="1"/>
  </w:num>
  <w:num w:numId="16">
    <w:abstractNumId w:val="15"/>
  </w:num>
  <w:num w:numId="17">
    <w:abstractNumId w:val="7"/>
  </w:num>
  <w:num w:numId="18">
    <w:abstractNumId w:val="16"/>
  </w:num>
  <w:num w:numId="19">
    <w:abstractNumId w:val="17"/>
  </w:num>
  <w:num w:numId="20">
    <w:abstractNumId w:val="18"/>
  </w:num>
  <w:num w:numId="21">
    <w:abstractNumId w:val="14"/>
  </w:num>
  <w:num w:numId="22">
    <w:abstractNumId w:val="1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Stokes">
    <w15:presenceInfo w15:providerId="Windows Live" w15:userId="0227e9d1abf68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1F"/>
    <w:rsid w:val="00000111"/>
    <w:rsid w:val="000029C0"/>
    <w:rsid w:val="00003611"/>
    <w:rsid w:val="00003845"/>
    <w:rsid w:val="00005490"/>
    <w:rsid w:val="00005555"/>
    <w:rsid w:val="00006806"/>
    <w:rsid w:val="00007D57"/>
    <w:rsid w:val="0001030C"/>
    <w:rsid w:val="0001067D"/>
    <w:rsid w:val="00010C12"/>
    <w:rsid w:val="000123D7"/>
    <w:rsid w:val="00014135"/>
    <w:rsid w:val="000148E3"/>
    <w:rsid w:val="00014D80"/>
    <w:rsid w:val="000159F2"/>
    <w:rsid w:val="00016AC4"/>
    <w:rsid w:val="00016FB3"/>
    <w:rsid w:val="00016FDF"/>
    <w:rsid w:val="000170F2"/>
    <w:rsid w:val="00017FED"/>
    <w:rsid w:val="00020405"/>
    <w:rsid w:val="00020606"/>
    <w:rsid w:val="00020E8F"/>
    <w:rsid w:val="00020F58"/>
    <w:rsid w:val="00021D09"/>
    <w:rsid w:val="00024963"/>
    <w:rsid w:val="00024B74"/>
    <w:rsid w:val="00024B95"/>
    <w:rsid w:val="00024C1F"/>
    <w:rsid w:val="000252F0"/>
    <w:rsid w:val="000275CA"/>
    <w:rsid w:val="000307F9"/>
    <w:rsid w:val="00031015"/>
    <w:rsid w:val="00031CD2"/>
    <w:rsid w:val="00031E82"/>
    <w:rsid w:val="000327D5"/>
    <w:rsid w:val="00032955"/>
    <w:rsid w:val="000333B9"/>
    <w:rsid w:val="00036403"/>
    <w:rsid w:val="00036B3A"/>
    <w:rsid w:val="000370C9"/>
    <w:rsid w:val="000407FD"/>
    <w:rsid w:val="00040BCD"/>
    <w:rsid w:val="00040C23"/>
    <w:rsid w:val="000429EA"/>
    <w:rsid w:val="000435C1"/>
    <w:rsid w:val="000436DA"/>
    <w:rsid w:val="00044043"/>
    <w:rsid w:val="00045C09"/>
    <w:rsid w:val="00045D76"/>
    <w:rsid w:val="00047127"/>
    <w:rsid w:val="000477BD"/>
    <w:rsid w:val="00050E2E"/>
    <w:rsid w:val="00052921"/>
    <w:rsid w:val="00054082"/>
    <w:rsid w:val="000545D5"/>
    <w:rsid w:val="00054C01"/>
    <w:rsid w:val="00055616"/>
    <w:rsid w:val="00056A5B"/>
    <w:rsid w:val="00056D4C"/>
    <w:rsid w:val="000570C2"/>
    <w:rsid w:val="000608ED"/>
    <w:rsid w:val="0006135F"/>
    <w:rsid w:val="00061A85"/>
    <w:rsid w:val="00061C52"/>
    <w:rsid w:val="00061D6E"/>
    <w:rsid w:val="000624B7"/>
    <w:rsid w:val="00062A59"/>
    <w:rsid w:val="00063973"/>
    <w:rsid w:val="00063C74"/>
    <w:rsid w:val="0006438B"/>
    <w:rsid w:val="00064405"/>
    <w:rsid w:val="00065644"/>
    <w:rsid w:val="00066279"/>
    <w:rsid w:val="0006633D"/>
    <w:rsid w:val="00066FFA"/>
    <w:rsid w:val="00067323"/>
    <w:rsid w:val="000675E9"/>
    <w:rsid w:val="00067A7C"/>
    <w:rsid w:val="00070588"/>
    <w:rsid w:val="00071871"/>
    <w:rsid w:val="000727EF"/>
    <w:rsid w:val="000733F3"/>
    <w:rsid w:val="0007362C"/>
    <w:rsid w:val="00073D8C"/>
    <w:rsid w:val="00076998"/>
    <w:rsid w:val="00077D0A"/>
    <w:rsid w:val="00081750"/>
    <w:rsid w:val="00081A77"/>
    <w:rsid w:val="00082146"/>
    <w:rsid w:val="000826CF"/>
    <w:rsid w:val="00082DE9"/>
    <w:rsid w:val="000840FB"/>
    <w:rsid w:val="00084983"/>
    <w:rsid w:val="00086838"/>
    <w:rsid w:val="000909EF"/>
    <w:rsid w:val="00090EDA"/>
    <w:rsid w:val="00092FCB"/>
    <w:rsid w:val="00093569"/>
    <w:rsid w:val="00094030"/>
    <w:rsid w:val="000944EC"/>
    <w:rsid w:val="000948E8"/>
    <w:rsid w:val="000952EC"/>
    <w:rsid w:val="00095F7C"/>
    <w:rsid w:val="00096302"/>
    <w:rsid w:val="00096947"/>
    <w:rsid w:val="000978B6"/>
    <w:rsid w:val="000979B4"/>
    <w:rsid w:val="000A1DF3"/>
    <w:rsid w:val="000A237B"/>
    <w:rsid w:val="000A335E"/>
    <w:rsid w:val="000A3C4B"/>
    <w:rsid w:val="000A3DD7"/>
    <w:rsid w:val="000A508A"/>
    <w:rsid w:val="000A65B7"/>
    <w:rsid w:val="000A6A2B"/>
    <w:rsid w:val="000A6ADD"/>
    <w:rsid w:val="000A7768"/>
    <w:rsid w:val="000B25D2"/>
    <w:rsid w:val="000B2AF3"/>
    <w:rsid w:val="000B2B39"/>
    <w:rsid w:val="000B387E"/>
    <w:rsid w:val="000B3F52"/>
    <w:rsid w:val="000B48D4"/>
    <w:rsid w:val="000B50BE"/>
    <w:rsid w:val="000B5514"/>
    <w:rsid w:val="000B5D21"/>
    <w:rsid w:val="000B5F4A"/>
    <w:rsid w:val="000B66B1"/>
    <w:rsid w:val="000B77B2"/>
    <w:rsid w:val="000C0DB9"/>
    <w:rsid w:val="000C1496"/>
    <w:rsid w:val="000C21FF"/>
    <w:rsid w:val="000C26EB"/>
    <w:rsid w:val="000C284B"/>
    <w:rsid w:val="000C4709"/>
    <w:rsid w:val="000C5348"/>
    <w:rsid w:val="000C60F3"/>
    <w:rsid w:val="000C66B2"/>
    <w:rsid w:val="000C7415"/>
    <w:rsid w:val="000D0230"/>
    <w:rsid w:val="000D0EAA"/>
    <w:rsid w:val="000D12A4"/>
    <w:rsid w:val="000D2771"/>
    <w:rsid w:val="000D324E"/>
    <w:rsid w:val="000D3306"/>
    <w:rsid w:val="000D3A67"/>
    <w:rsid w:val="000D3B92"/>
    <w:rsid w:val="000D467F"/>
    <w:rsid w:val="000D6097"/>
    <w:rsid w:val="000D6F11"/>
    <w:rsid w:val="000D7607"/>
    <w:rsid w:val="000D7AEB"/>
    <w:rsid w:val="000D7E15"/>
    <w:rsid w:val="000E16AE"/>
    <w:rsid w:val="000E1716"/>
    <w:rsid w:val="000E1A57"/>
    <w:rsid w:val="000E2C23"/>
    <w:rsid w:val="000E4F34"/>
    <w:rsid w:val="000E5C72"/>
    <w:rsid w:val="000E6541"/>
    <w:rsid w:val="000F08E4"/>
    <w:rsid w:val="000F11D3"/>
    <w:rsid w:val="000F1249"/>
    <w:rsid w:val="000F1B38"/>
    <w:rsid w:val="000F1EBF"/>
    <w:rsid w:val="000F3284"/>
    <w:rsid w:val="000F354C"/>
    <w:rsid w:val="000F3ABC"/>
    <w:rsid w:val="000F4169"/>
    <w:rsid w:val="000F5035"/>
    <w:rsid w:val="000F57FE"/>
    <w:rsid w:val="000F5EBB"/>
    <w:rsid w:val="000F600D"/>
    <w:rsid w:val="000F62EE"/>
    <w:rsid w:val="000F69A8"/>
    <w:rsid w:val="000F6ABE"/>
    <w:rsid w:val="000F7127"/>
    <w:rsid w:val="001002E2"/>
    <w:rsid w:val="001009CB"/>
    <w:rsid w:val="001010EF"/>
    <w:rsid w:val="00101818"/>
    <w:rsid w:val="00101AD3"/>
    <w:rsid w:val="001020EB"/>
    <w:rsid w:val="00103709"/>
    <w:rsid w:val="00104F5E"/>
    <w:rsid w:val="001053CC"/>
    <w:rsid w:val="0010545D"/>
    <w:rsid w:val="0010579E"/>
    <w:rsid w:val="00105A5D"/>
    <w:rsid w:val="00106D27"/>
    <w:rsid w:val="00107D68"/>
    <w:rsid w:val="00110BAE"/>
    <w:rsid w:val="00111FF6"/>
    <w:rsid w:val="00112702"/>
    <w:rsid w:val="00112BF2"/>
    <w:rsid w:val="001136B5"/>
    <w:rsid w:val="00113DE4"/>
    <w:rsid w:val="00115A77"/>
    <w:rsid w:val="00117D40"/>
    <w:rsid w:val="00117DEB"/>
    <w:rsid w:val="00117E5B"/>
    <w:rsid w:val="00120F9E"/>
    <w:rsid w:val="00121547"/>
    <w:rsid w:val="0012221D"/>
    <w:rsid w:val="00122D33"/>
    <w:rsid w:val="00124A67"/>
    <w:rsid w:val="001256E9"/>
    <w:rsid w:val="001265C6"/>
    <w:rsid w:val="00127136"/>
    <w:rsid w:val="00130CC8"/>
    <w:rsid w:val="00131341"/>
    <w:rsid w:val="0013168F"/>
    <w:rsid w:val="00131C6E"/>
    <w:rsid w:val="0013254D"/>
    <w:rsid w:val="00133244"/>
    <w:rsid w:val="0013343E"/>
    <w:rsid w:val="001343C2"/>
    <w:rsid w:val="00134872"/>
    <w:rsid w:val="001368DD"/>
    <w:rsid w:val="00136FC1"/>
    <w:rsid w:val="00137AA3"/>
    <w:rsid w:val="001403EF"/>
    <w:rsid w:val="00140A5D"/>
    <w:rsid w:val="00141343"/>
    <w:rsid w:val="001415BC"/>
    <w:rsid w:val="00141607"/>
    <w:rsid w:val="00141F95"/>
    <w:rsid w:val="00141FCD"/>
    <w:rsid w:val="0014251C"/>
    <w:rsid w:val="00142D2D"/>
    <w:rsid w:val="00143349"/>
    <w:rsid w:val="00143B7E"/>
    <w:rsid w:val="00144719"/>
    <w:rsid w:val="00145211"/>
    <w:rsid w:val="001458E7"/>
    <w:rsid w:val="00145A46"/>
    <w:rsid w:val="00145A5F"/>
    <w:rsid w:val="00146317"/>
    <w:rsid w:val="00146AEB"/>
    <w:rsid w:val="00147283"/>
    <w:rsid w:val="0015085E"/>
    <w:rsid w:val="00151B0E"/>
    <w:rsid w:val="00151D8E"/>
    <w:rsid w:val="00151E64"/>
    <w:rsid w:val="00153263"/>
    <w:rsid w:val="00154430"/>
    <w:rsid w:val="00154517"/>
    <w:rsid w:val="00154959"/>
    <w:rsid w:val="00154ACF"/>
    <w:rsid w:val="00155794"/>
    <w:rsid w:val="001568C8"/>
    <w:rsid w:val="0015720A"/>
    <w:rsid w:val="001572DF"/>
    <w:rsid w:val="00157828"/>
    <w:rsid w:val="00157C53"/>
    <w:rsid w:val="001601D6"/>
    <w:rsid w:val="001604CD"/>
    <w:rsid w:val="00160E55"/>
    <w:rsid w:val="00162751"/>
    <w:rsid w:val="001628B9"/>
    <w:rsid w:val="001645E5"/>
    <w:rsid w:val="0016540E"/>
    <w:rsid w:val="001655B5"/>
    <w:rsid w:val="001701EC"/>
    <w:rsid w:val="00170657"/>
    <w:rsid w:val="001708C7"/>
    <w:rsid w:val="00170E3B"/>
    <w:rsid w:val="00171410"/>
    <w:rsid w:val="001732F0"/>
    <w:rsid w:val="0017397B"/>
    <w:rsid w:val="00173E20"/>
    <w:rsid w:val="001740CB"/>
    <w:rsid w:val="00174BE9"/>
    <w:rsid w:val="00175048"/>
    <w:rsid w:val="00175DEA"/>
    <w:rsid w:val="001768BB"/>
    <w:rsid w:val="00180D26"/>
    <w:rsid w:val="00180F95"/>
    <w:rsid w:val="00182717"/>
    <w:rsid w:val="0018285C"/>
    <w:rsid w:val="00182D8B"/>
    <w:rsid w:val="00184E03"/>
    <w:rsid w:val="00185292"/>
    <w:rsid w:val="001858B8"/>
    <w:rsid w:val="00185BC4"/>
    <w:rsid w:val="00185E65"/>
    <w:rsid w:val="00185E88"/>
    <w:rsid w:val="00186656"/>
    <w:rsid w:val="001872AD"/>
    <w:rsid w:val="00191B15"/>
    <w:rsid w:val="00191B7C"/>
    <w:rsid w:val="00192165"/>
    <w:rsid w:val="0019217A"/>
    <w:rsid w:val="001928BD"/>
    <w:rsid w:val="001933FD"/>
    <w:rsid w:val="001935A6"/>
    <w:rsid w:val="00193B3D"/>
    <w:rsid w:val="00194280"/>
    <w:rsid w:val="00196DCA"/>
    <w:rsid w:val="001973FD"/>
    <w:rsid w:val="001A136D"/>
    <w:rsid w:val="001A1AF2"/>
    <w:rsid w:val="001A35EB"/>
    <w:rsid w:val="001A5285"/>
    <w:rsid w:val="001A7309"/>
    <w:rsid w:val="001A7C40"/>
    <w:rsid w:val="001A7D8D"/>
    <w:rsid w:val="001B0694"/>
    <w:rsid w:val="001B21E5"/>
    <w:rsid w:val="001B2986"/>
    <w:rsid w:val="001B2B0F"/>
    <w:rsid w:val="001B2C80"/>
    <w:rsid w:val="001B36E8"/>
    <w:rsid w:val="001B46E8"/>
    <w:rsid w:val="001B548C"/>
    <w:rsid w:val="001B6865"/>
    <w:rsid w:val="001B79CB"/>
    <w:rsid w:val="001C1004"/>
    <w:rsid w:val="001C13E9"/>
    <w:rsid w:val="001C1CF5"/>
    <w:rsid w:val="001C35CD"/>
    <w:rsid w:val="001C36AE"/>
    <w:rsid w:val="001C3CD2"/>
    <w:rsid w:val="001C4F8B"/>
    <w:rsid w:val="001C58F4"/>
    <w:rsid w:val="001C6188"/>
    <w:rsid w:val="001D06DB"/>
    <w:rsid w:val="001D09F4"/>
    <w:rsid w:val="001D0CF2"/>
    <w:rsid w:val="001D1678"/>
    <w:rsid w:val="001D1A29"/>
    <w:rsid w:val="001D27C4"/>
    <w:rsid w:val="001D2D2F"/>
    <w:rsid w:val="001D3F47"/>
    <w:rsid w:val="001D4CFC"/>
    <w:rsid w:val="001D57F4"/>
    <w:rsid w:val="001D5CD7"/>
    <w:rsid w:val="001D6937"/>
    <w:rsid w:val="001E0162"/>
    <w:rsid w:val="001E036D"/>
    <w:rsid w:val="001E05EA"/>
    <w:rsid w:val="001E17DC"/>
    <w:rsid w:val="001E2635"/>
    <w:rsid w:val="001E33BF"/>
    <w:rsid w:val="001E4E7B"/>
    <w:rsid w:val="001E50E0"/>
    <w:rsid w:val="001E59F9"/>
    <w:rsid w:val="001E5C63"/>
    <w:rsid w:val="001E643C"/>
    <w:rsid w:val="001E7C4E"/>
    <w:rsid w:val="001F0BEB"/>
    <w:rsid w:val="001F12DB"/>
    <w:rsid w:val="001F20D9"/>
    <w:rsid w:val="001F2753"/>
    <w:rsid w:val="001F5232"/>
    <w:rsid w:val="001F561F"/>
    <w:rsid w:val="001F5B2E"/>
    <w:rsid w:val="001F6079"/>
    <w:rsid w:val="001F651F"/>
    <w:rsid w:val="001F66CF"/>
    <w:rsid w:val="00200148"/>
    <w:rsid w:val="0020055B"/>
    <w:rsid w:val="002007A5"/>
    <w:rsid w:val="002026F4"/>
    <w:rsid w:val="002028C9"/>
    <w:rsid w:val="00202954"/>
    <w:rsid w:val="00202C06"/>
    <w:rsid w:val="002031C5"/>
    <w:rsid w:val="00203B6C"/>
    <w:rsid w:val="0020481E"/>
    <w:rsid w:val="00206A40"/>
    <w:rsid w:val="00206DAC"/>
    <w:rsid w:val="00207AFE"/>
    <w:rsid w:val="00210568"/>
    <w:rsid w:val="002106D0"/>
    <w:rsid w:val="00210E84"/>
    <w:rsid w:val="00212990"/>
    <w:rsid w:val="00212A70"/>
    <w:rsid w:val="00212E36"/>
    <w:rsid w:val="002136E7"/>
    <w:rsid w:val="002137D9"/>
    <w:rsid w:val="00214073"/>
    <w:rsid w:val="002148B3"/>
    <w:rsid w:val="00214A0C"/>
    <w:rsid w:val="00215CA1"/>
    <w:rsid w:val="002162C3"/>
    <w:rsid w:val="00216577"/>
    <w:rsid w:val="00216580"/>
    <w:rsid w:val="00216BB7"/>
    <w:rsid w:val="00217445"/>
    <w:rsid w:val="002176F9"/>
    <w:rsid w:val="00220CA6"/>
    <w:rsid w:val="0022141E"/>
    <w:rsid w:val="002224F5"/>
    <w:rsid w:val="0022385A"/>
    <w:rsid w:val="002253FE"/>
    <w:rsid w:val="002255AA"/>
    <w:rsid w:val="00225A8F"/>
    <w:rsid w:val="00225C1A"/>
    <w:rsid w:val="002265F6"/>
    <w:rsid w:val="00227979"/>
    <w:rsid w:val="00227D79"/>
    <w:rsid w:val="00230046"/>
    <w:rsid w:val="00231999"/>
    <w:rsid w:val="00231E78"/>
    <w:rsid w:val="002322C9"/>
    <w:rsid w:val="00232DD0"/>
    <w:rsid w:val="00234195"/>
    <w:rsid w:val="002342EA"/>
    <w:rsid w:val="00234343"/>
    <w:rsid w:val="00235044"/>
    <w:rsid w:val="00241300"/>
    <w:rsid w:val="00242351"/>
    <w:rsid w:val="00243728"/>
    <w:rsid w:val="00243D93"/>
    <w:rsid w:val="00243E3B"/>
    <w:rsid w:val="00243F39"/>
    <w:rsid w:val="00244589"/>
    <w:rsid w:val="00245AFA"/>
    <w:rsid w:val="00246176"/>
    <w:rsid w:val="00251527"/>
    <w:rsid w:val="00253ED1"/>
    <w:rsid w:val="00254E32"/>
    <w:rsid w:val="00255BEC"/>
    <w:rsid w:val="00255DA5"/>
    <w:rsid w:val="00255F91"/>
    <w:rsid w:val="00256D34"/>
    <w:rsid w:val="00256E17"/>
    <w:rsid w:val="00256FA8"/>
    <w:rsid w:val="002571C2"/>
    <w:rsid w:val="0025795A"/>
    <w:rsid w:val="00260E94"/>
    <w:rsid w:val="002616A7"/>
    <w:rsid w:val="002617EB"/>
    <w:rsid w:val="00263141"/>
    <w:rsid w:val="00263D32"/>
    <w:rsid w:val="00264532"/>
    <w:rsid w:val="00264CAE"/>
    <w:rsid w:val="002655FB"/>
    <w:rsid w:val="00265850"/>
    <w:rsid w:val="00266B97"/>
    <w:rsid w:val="00267266"/>
    <w:rsid w:val="00267B25"/>
    <w:rsid w:val="002713DF"/>
    <w:rsid w:val="0027353A"/>
    <w:rsid w:val="002737D4"/>
    <w:rsid w:val="0027385D"/>
    <w:rsid w:val="00273AF5"/>
    <w:rsid w:val="00273C98"/>
    <w:rsid w:val="00274C88"/>
    <w:rsid w:val="00274E71"/>
    <w:rsid w:val="002757C3"/>
    <w:rsid w:val="002765BD"/>
    <w:rsid w:val="00277361"/>
    <w:rsid w:val="00277D2F"/>
    <w:rsid w:val="00281C5C"/>
    <w:rsid w:val="00282605"/>
    <w:rsid w:val="002827A0"/>
    <w:rsid w:val="00283E18"/>
    <w:rsid w:val="002859D8"/>
    <w:rsid w:val="00285B4B"/>
    <w:rsid w:val="00285B51"/>
    <w:rsid w:val="00285CA2"/>
    <w:rsid w:val="0028751F"/>
    <w:rsid w:val="00292444"/>
    <w:rsid w:val="00293E78"/>
    <w:rsid w:val="00295439"/>
    <w:rsid w:val="002965AE"/>
    <w:rsid w:val="002A0B42"/>
    <w:rsid w:val="002A10B9"/>
    <w:rsid w:val="002A26DD"/>
    <w:rsid w:val="002A3248"/>
    <w:rsid w:val="002A38E1"/>
    <w:rsid w:val="002A43F3"/>
    <w:rsid w:val="002A5CF3"/>
    <w:rsid w:val="002A75AB"/>
    <w:rsid w:val="002B070B"/>
    <w:rsid w:val="002B1466"/>
    <w:rsid w:val="002B21A8"/>
    <w:rsid w:val="002B25D2"/>
    <w:rsid w:val="002B34A4"/>
    <w:rsid w:val="002B44E6"/>
    <w:rsid w:val="002B4E45"/>
    <w:rsid w:val="002B653C"/>
    <w:rsid w:val="002B6AEB"/>
    <w:rsid w:val="002B76EF"/>
    <w:rsid w:val="002B7913"/>
    <w:rsid w:val="002B7CC2"/>
    <w:rsid w:val="002C0F95"/>
    <w:rsid w:val="002C1040"/>
    <w:rsid w:val="002C2063"/>
    <w:rsid w:val="002C281C"/>
    <w:rsid w:val="002C2DBE"/>
    <w:rsid w:val="002C2DC2"/>
    <w:rsid w:val="002C4CB1"/>
    <w:rsid w:val="002C760D"/>
    <w:rsid w:val="002C7DDF"/>
    <w:rsid w:val="002D0F3A"/>
    <w:rsid w:val="002D20B3"/>
    <w:rsid w:val="002D2634"/>
    <w:rsid w:val="002D2D8D"/>
    <w:rsid w:val="002D2EBE"/>
    <w:rsid w:val="002D3135"/>
    <w:rsid w:val="002D3C74"/>
    <w:rsid w:val="002D5697"/>
    <w:rsid w:val="002D5D83"/>
    <w:rsid w:val="002D6D9B"/>
    <w:rsid w:val="002D6EC8"/>
    <w:rsid w:val="002D79E8"/>
    <w:rsid w:val="002E0494"/>
    <w:rsid w:val="002E0AB9"/>
    <w:rsid w:val="002E0D46"/>
    <w:rsid w:val="002E1C81"/>
    <w:rsid w:val="002E2E03"/>
    <w:rsid w:val="002E4CA6"/>
    <w:rsid w:val="002E4F20"/>
    <w:rsid w:val="002F1584"/>
    <w:rsid w:val="002F1A20"/>
    <w:rsid w:val="002F24BE"/>
    <w:rsid w:val="002F2AAF"/>
    <w:rsid w:val="002F2C77"/>
    <w:rsid w:val="002F4670"/>
    <w:rsid w:val="002F475B"/>
    <w:rsid w:val="002F4BAF"/>
    <w:rsid w:val="002F7250"/>
    <w:rsid w:val="002F77D5"/>
    <w:rsid w:val="0030239C"/>
    <w:rsid w:val="003029E2"/>
    <w:rsid w:val="00303574"/>
    <w:rsid w:val="0030397E"/>
    <w:rsid w:val="00304BBB"/>
    <w:rsid w:val="00306E8C"/>
    <w:rsid w:val="00310611"/>
    <w:rsid w:val="00310DF1"/>
    <w:rsid w:val="003111FF"/>
    <w:rsid w:val="00311661"/>
    <w:rsid w:val="0031304F"/>
    <w:rsid w:val="00313436"/>
    <w:rsid w:val="00313443"/>
    <w:rsid w:val="00313DDC"/>
    <w:rsid w:val="0031482F"/>
    <w:rsid w:val="003150BA"/>
    <w:rsid w:val="0031726C"/>
    <w:rsid w:val="0031763F"/>
    <w:rsid w:val="003208D7"/>
    <w:rsid w:val="00320DAA"/>
    <w:rsid w:val="00321A86"/>
    <w:rsid w:val="00322DBB"/>
    <w:rsid w:val="003252E4"/>
    <w:rsid w:val="00326120"/>
    <w:rsid w:val="003270DE"/>
    <w:rsid w:val="00327934"/>
    <w:rsid w:val="00327EC5"/>
    <w:rsid w:val="00331046"/>
    <w:rsid w:val="003315C3"/>
    <w:rsid w:val="00331879"/>
    <w:rsid w:val="00331A57"/>
    <w:rsid w:val="00332CCB"/>
    <w:rsid w:val="00332D4D"/>
    <w:rsid w:val="00333E71"/>
    <w:rsid w:val="00333F68"/>
    <w:rsid w:val="0033641D"/>
    <w:rsid w:val="003367A1"/>
    <w:rsid w:val="00336B16"/>
    <w:rsid w:val="00336C26"/>
    <w:rsid w:val="00336CF3"/>
    <w:rsid w:val="00341A10"/>
    <w:rsid w:val="00342756"/>
    <w:rsid w:val="00342D80"/>
    <w:rsid w:val="00343FFE"/>
    <w:rsid w:val="003440B1"/>
    <w:rsid w:val="003458F3"/>
    <w:rsid w:val="00345F6F"/>
    <w:rsid w:val="00346662"/>
    <w:rsid w:val="003471C7"/>
    <w:rsid w:val="003475C9"/>
    <w:rsid w:val="00347E92"/>
    <w:rsid w:val="00350297"/>
    <w:rsid w:val="003509FD"/>
    <w:rsid w:val="00350A69"/>
    <w:rsid w:val="00351266"/>
    <w:rsid w:val="00351DD4"/>
    <w:rsid w:val="00352381"/>
    <w:rsid w:val="00352B3C"/>
    <w:rsid w:val="00353377"/>
    <w:rsid w:val="003533F1"/>
    <w:rsid w:val="0035340D"/>
    <w:rsid w:val="003535B3"/>
    <w:rsid w:val="00353CDF"/>
    <w:rsid w:val="00354D9D"/>
    <w:rsid w:val="003551D7"/>
    <w:rsid w:val="00355B38"/>
    <w:rsid w:val="00356E3B"/>
    <w:rsid w:val="0036050B"/>
    <w:rsid w:val="003607EB"/>
    <w:rsid w:val="00360895"/>
    <w:rsid w:val="0036135F"/>
    <w:rsid w:val="00361BE6"/>
    <w:rsid w:val="0036254D"/>
    <w:rsid w:val="0036257D"/>
    <w:rsid w:val="003661CE"/>
    <w:rsid w:val="0036745F"/>
    <w:rsid w:val="00367DB0"/>
    <w:rsid w:val="00367F65"/>
    <w:rsid w:val="00370392"/>
    <w:rsid w:val="003713E3"/>
    <w:rsid w:val="00372A84"/>
    <w:rsid w:val="0037424D"/>
    <w:rsid w:val="00374581"/>
    <w:rsid w:val="00375006"/>
    <w:rsid w:val="00375236"/>
    <w:rsid w:val="003757A8"/>
    <w:rsid w:val="00375EED"/>
    <w:rsid w:val="00376674"/>
    <w:rsid w:val="00376DBE"/>
    <w:rsid w:val="00376EC6"/>
    <w:rsid w:val="003817A4"/>
    <w:rsid w:val="003819A0"/>
    <w:rsid w:val="00382B79"/>
    <w:rsid w:val="003830BF"/>
    <w:rsid w:val="00383E9D"/>
    <w:rsid w:val="00385B67"/>
    <w:rsid w:val="003877AB"/>
    <w:rsid w:val="003877CB"/>
    <w:rsid w:val="00387BB1"/>
    <w:rsid w:val="00390098"/>
    <w:rsid w:val="00391A78"/>
    <w:rsid w:val="00392D46"/>
    <w:rsid w:val="00393B17"/>
    <w:rsid w:val="003941CE"/>
    <w:rsid w:val="003946D3"/>
    <w:rsid w:val="00396335"/>
    <w:rsid w:val="00396E5E"/>
    <w:rsid w:val="003975A8"/>
    <w:rsid w:val="00397887"/>
    <w:rsid w:val="003A060C"/>
    <w:rsid w:val="003A0DBC"/>
    <w:rsid w:val="003A20AB"/>
    <w:rsid w:val="003A2532"/>
    <w:rsid w:val="003A28B5"/>
    <w:rsid w:val="003A3714"/>
    <w:rsid w:val="003A3DC9"/>
    <w:rsid w:val="003A3EFA"/>
    <w:rsid w:val="003A4049"/>
    <w:rsid w:val="003A485F"/>
    <w:rsid w:val="003A657D"/>
    <w:rsid w:val="003A73FD"/>
    <w:rsid w:val="003A759D"/>
    <w:rsid w:val="003A77CD"/>
    <w:rsid w:val="003A7D2B"/>
    <w:rsid w:val="003B0900"/>
    <w:rsid w:val="003B0A09"/>
    <w:rsid w:val="003B0D6E"/>
    <w:rsid w:val="003B15E0"/>
    <w:rsid w:val="003B331D"/>
    <w:rsid w:val="003B3722"/>
    <w:rsid w:val="003B3A23"/>
    <w:rsid w:val="003B3CD8"/>
    <w:rsid w:val="003B434F"/>
    <w:rsid w:val="003B44A9"/>
    <w:rsid w:val="003B51A1"/>
    <w:rsid w:val="003B5BF7"/>
    <w:rsid w:val="003B6962"/>
    <w:rsid w:val="003B790B"/>
    <w:rsid w:val="003C21FC"/>
    <w:rsid w:val="003C220F"/>
    <w:rsid w:val="003C27FF"/>
    <w:rsid w:val="003C2E3F"/>
    <w:rsid w:val="003C30C9"/>
    <w:rsid w:val="003C389B"/>
    <w:rsid w:val="003C4480"/>
    <w:rsid w:val="003C4E70"/>
    <w:rsid w:val="003C5D9D"/>
    <w:rsid w:val="003C7A3A"/>
    <w:rsid w:val="003D0946"/>
    <w:rsid w:val="003D22BE"/>
    <w:rsid w:val="003D2A05"/>
    <w:rsid w:val="003D2A24"/>
    <w:rsid w:val="003D2A5D"/>
    <w:rsid w:val="003D50DF"/>
    <w:rsid w:val="003D60E5"/>
    <w:rsid w:val="003D62D5"/>
    <w:rsid w:val="003D6D27"/>
    <w:rsid w:val="003D6EB9"/>
    <w:rsid w:val="003D7808"/>
    <w:rsid w:val="003E0631"/>
    <w:rsid w:val="003E1154"/>
    <w:rsid w:val="003E1E37"/>
    <w:rsid w:val="003E242E"/>
    <w:rsid w:val="003E2B8B"/>
    <w:rsid w:val="003E3065"/>
    <w:rsid w:val="003E3700"/>
    <w:rsid w:val="003E727E"/>
    <w:rsid w:val="003E7C62"/>
    <w:rsid w:val="003F15EC"/>
    <w:rsid w:val="003F3BFD"/>
    <w:rsid w:val="003F46FA"/>
    <w:rsid w:val="003F6109"/>
    <w:rsid w:val="003F6538"/>
    <w:rsid w:val="004008DC"/>
    <w:rsid w:val="00400BEF"/>
    <w:rsid w:val="00400C25"/>
    <w:rsid w:val="00401EC4"/>
    <w:rsid w:val="00402337"/>
    <w:rsid w:val="0040261F"/>
    <w:rsid w:val="004035F0"/>
    <w:rsid w:val="00403885"/>
    <w:rsid w:val="0040397A"/>
    <w:rsid w:val="00403A6C"/>
    <w:rsid w:val="00405030"/>
    <w:rsid w:val="004064EF"/>
    <w:rsid w:val="00406A99"/>
    <w:rsid w:val="0041027A"/>
    <w:rsid w:val="004102A8"/>
    <w:rsid w:val="0041086B"/>
    <w:rsid w:val="0041214B"/>
    <w:rsid w:val="00412402"/>
    <w:rsid w:val="00412A59"/>
    <w:rsid w:val="004135E5"/>
    <w:rsid w:val="00414273"/>
    <w:rsid w:val="004143B4"/>
    <w:rsid w:val="00414575"/>
    <w:rsid w:val="00414B2F"/>
    <w:rsid w:val="00415AB5"/>
    <w:rsid w:val="00415EAA"/>
    <w:rsid w:val="00416307"/>
    <w:rsid w:val="00417148"/>
    <w:rsid w:val="00417617"/>
    <w:rsid w:val="00417F70"/>
    <w:rsid w:val="004211D1"/>
    <w:rsid w:val="00421B42"/>
    <w:rsid w:val="00423A41"/>
    <w:rsid w:val="00425358"/>
    <w:rsid w:val="00425AEF"/>
    <w:rsid w:val="00427562"/>
    <w:rsid w:val="0043047B"/>
    <w:rsid w:val="00430E3D"/>
    <w:rsid w:val="00431206"/>
    <w:rsid w:val="00431AE2"/>
    <w:rsid w:val="00431B5B"/>
    <w:rsid w:val="00431B82"/>
    <w:rsid w:val="00431C73"/>
    <w:rsid w:val="004324B4"/>
    <w:rsid w:val="004329FF"/>
    <w:rsid w:val="00433469"/>
    <w:rsid w:val="004351AD"/>
    <w:rsid w:val="004352CD"/>
    <w:rsid w:val="00435865"/>
    <w:rsid w:val="00440FE6"/>
    <w:rsid w:val="0044198C"/>
    <w:rsid w:val="00442152"/>
    <w:rsid w:val="00442940"/>
    <w:rsid w:val="004431CC"/>
    <w:rsid w:val="004443B5"/>
    <w:rsid w:val="00445CC7"/>
    <w:rsid w:val="0044793E"/>
    <w:rsid w:val="0045107F"/>
    <w:rsid w:val="0045177C"/>
    <w:rsid w:val="00451A45"/>
    <w:rsid w:val="0045251E"/>
    <w:rsid w:val="00452548"/>
    <w:rsid w:val="00453286"/>
    <w:rsid w:val="00453E8D"/>
    <w:rsid w:val="004551C9"/>
    <w:rsid w:val="00461851"/>
    <w:rsid w:val="004620CC"/>
    <w:rsid w:val="0046384E"/>
    <w:rsid w:val="00463A57"/>
    <w:rsid w:val="00463BE5"/>
    <w:rsid w:val="0046406E"/>
    <w:rsid w:val="00464AA0"/>
    <w:rsid w:val="00464C9B"/>
    <w:rsid w:val="00464FF7"/>
    <w:rsid w:val="00465158"/>
    <w:rsid w:val="004655B8"/>
    <w:rsid w:val="00467706"/>
    <w:rsid w:val="00470A98"/>
    <w:rsid w:val="004718EC"/>
    <w:rsid w:val="00472515"/>
    <w:rsid w:val="00472AC5"/>
    <w:rsid w:val="004734E2"/>
    <w:rsid w:val="00473EDC"/>
    <w:rsid w:val="00473FAB"/>
    <w:rsid w:val="004748EB"/>
    <w:rsid w:val="00474AD3"/>
    <w:rsid w:val="00475D30"/>
    <w:rsid w:val="00475D40"/>
    <w:rsid w:val="004764EA"/>
    <w:rsid w:val="00476550"/>
    <w:rsid w:val="00476878"/>
    <w:rsid w:val="004770BE"/>
    <w:rsid w:val="004801DD"/>
    <w:rsid w:val="00480D41"/>
    <w:rsid w:val="00482B95"/>
    <w:rsid w:val="00483AB4"/>
    <w:rsid w:val="00484557"/>
    <w:rsid w:val="0048459B"/>
    <w:rsid w:val="00484CF4"/>
    <w:rsid w:val="0048531F"/>
    <w:rsid w:val="00485C01"/>
    <w:rsid w:val="00486146"/>
    <w:rsid w:val="00486DF2"/>
    <w:rsid w:val="004874C9"/>
    <w:rsid w:val="0048783B"/>
    <w:rsid w:val="0049010F"/>
    <w:rsid w:val="00490593"/>
    <w:rsid w:val="00490C9D"/>
    <w:rsid w:val="00492629"/>
    <w:rsid w:val="00492CAD"/>
    <w:rsid w:val="0049392C"/>
    <w:rsid w:val="004942A1"/>
    <w:rsid w:val="0049492C"/>
    <w:rsid w:val="00494F4D"/>
    <w:rsid w:val="00495311"/>
    <w:rsid w:val="004957A5"/>
    <w:rsid w:val="00496238"/>
    <w:rsid w:val="00496682"/>
    <w:rsid w:val="004967A6"/>
    <w:rsid w:val="0049752A"/>
    <w:rsid w:val="00497688"/>
    <w:rsid w:val="004A0752"/>
    <w:rsid w:val="004A2667"/>
    <w:rsid w:val="004A35AB"/>
    <w:rsid w:val="004A392C"/>
    <w:rsid w:val="004A394B"/>
    <w:rsid w:val="004A3A36"/>
    <w:rsid w:val="004A3EB5"/>
    <w:rsid w:val="004A40E7"/>
    <w:rsid w:val="004A42A2"/>
    <w:rsid w:val="004A4562"/>
    <w:rsid w:val="004A52D3"/>
    <w:rsid w:val="004A5E0A"/>
    <w:rsid w:val="004A6002"/>
    <w:rsid w:val="004B1266"/>
    <w:rsid w:val="004B1C56"/>
    <w:rsid w:val="004B288D"/>
    <w:rsid w:val="004B36AD"/>
    <w:rsid w:val="004B37D6"/>
    <w:rsid w:val="004B3F60"/>
    <w:rsid w:val="004B4206"/>
    <w:rsid w:val="004B434B"/>
    <w:rsid w:val="004B61C9"/>
    <w:rsid w:val="004B6647"/>
    <w:rsid w:val="004B6AF4"/>
    <w:rsid w:val="004B6B49"/>
    <w:rsid w:val="004B70FC"/>
    <w:rsid w:val="004B7577"/>
    <w:rsid w:val="004B76C0"/>
    <w:rsid w:val="004B7C4F"/>
    <w:rsid w:val="004C03E1"/>
    <w:rsid w:val="004C0759"/>
    <w:rsid w:val="004C0B28"/>
    <w:rsid w:val="004C1322"/>
    <w:rsid w:val="004C19EB"/>
    <w:rsid w:val="004C2724"/>
    <w:rsid w:val="004C2EDC"/>
    <w:rsid w:val="004C42C4"/>
    <w:rsid w:val="004C5A69"/>
    <w:rsid w:val="004C5C25"/>
    <w:rsid w:val="004C65DB"/>
    <w:rsid w:val="004C6BA6"/>
    <w:rsid w:val="004D0085"/>
    <w:rsid w:val="004D1470"/>
    <w:rsid w:val="004D20DA"/>
    <w:rsid w:val="004D2936"/>
    <w:rsid w:val="004D3A4A"/>
    <w:rsid w:val="004D3E9C"/>
    <w:rsid w:val="004D5256"/>
    <w:rsid w:val="004D52A8"/>
    <w:rsid w:val="004D59CB"/>
    <w:rsid w:val="004D5A94"/>
    <w:rsid w:val="004D5BF0"/>
    <w:rsid w:val="004E0C7C"/>
    <w:rsid w:val="004E2005"/>
    <w:rsid w:val="004E3854"/>
    <w:rsid w:val="004E4214"/>
    <w:rsid w:val="004E45F5"/>
    <w:rsid w:val="004E47D5"/>
    <w:rsid w:val="004E5C62"/>
    <w:rsid w:val="004E6003"/>
    <w:rsid w:val="004F0FBB"/>
    <w:rsid w:val="004F1E4E"/>
    <w:rsid w:val="004F22C4"/>
    <w:rsid w:val="004F24B3"/>
    <w:rsid w:val="004F2CF8"/>
    <w:rsid w:val="004F2D64"/>
    <w:rsid w:val="004F3C3D"/>
    <w:rsid w:val="004F437F"/>
    <w:rsid w:val="004F5D6D"/>
    <w:rsid w:val="004F6301"/>
    <w:rsid w:val="004F7457"/>
    <w:rsid w:val="005004A2"/>
    <w:rsid w:val="0050060D"/>
    <w:rsid w:val="005015EC"/>
    <w:rsid w:val="005021BB"/>
    <w:rsid w:val="0050261B"/>
    <w:rsid w:val="00502F79"/>
    <w:rsid w:val="00504033"/>
    <w:rsid w:val="005047B4"/>
    <w:rsid w:val="00505284"/>
    <w:rsid w:val="005057BE"/>
    <w:rsid w:val="00510B98"/>
    <w:rsid w:val="00510BA6"/>
    <w:rsid w:val="00510D26"/>
    <w:rsid w:val="00512B04"/>
    <w:rsid w:val="00513F98"/>
    <w:rsid w:val="005140EF"/>
    <w:rsid w:val="00515151"/>
    <w:rsid w:val="00516B27"/>
    <w:rsid w:val="00516B69"/>
    <w:rsid w:val="00517069"/>
    <w:rsid w:val="005202FE"/>
    <w:rsid w:val="0052043C"/>
    <w:rsid w:val="00521536"/>
    <w:rsid w:val="0052154D"/>
    <w:rsid w:val="005216BA"/>
    <w:rsid w:val="005222B6"/>
    <w:rsid w:val="00522A59"/>
    <w:rsid w:val="00523753"/>
    <w:rsid w:val="005237DE"/>
    <w:rsid w:val="0052464D"/>
    <w:rsid w:val="00525E76"/>
    <w:rsid w:val="00526F55"/>
    <w:rsid w:val="00527B2B"/>
    <w:rsid w:val="0053023C"/>
    <w:rsid w:val="0053061F"/>
    <w:rsid w:val="00531094"/>
    <w:rsid w:val="005316BA"/>
    <w:rsid w:val="00532E74"/>
    <w:rsid w:val="00533C9C"/>
    <w:rsid w:val="005363B0"/>
    <w:rsid w:val="00537FFC"/>
    <w:rsid w:val="00540469"/>
    <w:rsid w:val="005405FA"/>
    <w:rsid w:val="00540E0F"/>
    <w:rsid w:val="005413B1"/>
    <w:rsid w:val="00542C78"/>
    <w:rsid w:val="00543184"/>
    <w:rsid w:val="0054342E"/>
    <w:rsid w:val="00543886"/>
    <w:rsid w:val="005439EA"/>
    <w:rsid w:val="00543BD4"/>
    <w:rsid w:val="0054699B"/>
    <w:rsid w:val="00546BC9"/>
    <w:rsid w:val="00546D7F"/>
    <w:rsid w:val="0054763B"/>
    <w:rsid w:val="005500EC"/>
    <w:rsid w:val="005509D0"/>
    <w:rsid w:val="00551B0B"/>
    <w:rsid w:val="00552737"/>
    <w:rsid w:val="00553120"/>
    <w:rsid w:val="005539AB"/>
    <w:rsid w:val="00554378"/>
    <w:rsid w:val="00557444"/>
    <w:rsid w:val="00560429"/>
    <w:rsid w:val="0056157F"/>
    <w:rsid w:val="0056382B"/>
    <w:rsid w:val="005644F9"/>
    <w:rsid w:val="005645C3"/>
    <w:rsid w:val="005655F1"/>
    <w:rsid w:val="00567A0E"/>
    <w:rsid w:val="005703AF"/>
    <w:rsid w:val="00572054"/>
    <w:rsid w:val="00572195"/>
    <w:rsid w:val="005724D1"/>
    <w:rsid w:val="00572E90"/>
    <w:rsid w:val="0057404F"/>
    <w:rsid w:val="005742A2"/>
    <w:rsid w:val="00575785"/>
    <w:rsid w:val="00575A35"/>
    <w:rsid w:val="00575F90"/>
    <w:rsid w:val="005779BC"/>
    <w:rsid w:val="005779FD"/>
    <w:rsid w:val="005805C3"/>
    <w:rsid w:val="005806F9"/>
    <w:rsid w:val="00580745"/>
    <w:rsid w:val="00582CFB"/>
    <w:rsid w:val="005832C6"/>
    <w:rsid w:val="005839AA"/>
    <w:rsid w:val="00585F31"/>
    <w:rsid w:val="00586808"/>
    <w:rsid w:val="0058754B"/>
    <w:rsid w:val="00591277"/>
    <w:rsid w:val="005925BE"/>
    <w:rsid w:val="00594CA6"/>
    <w:rsid w:val="005952F9"/>
    <w:rsid w:val="0059770D"/>
    <w:rsid w:val="005A012A"/>
    <w:rsid w:val="005A0619"/>
    <w:rsid w:val="005A1CB7"/>
    <w:rsid w:val="005A1D72"/>
    <w:rsid w:val="005A22D0"/>
    <w:rsid w:val="005A62A5"/>
    <w:rsid w:val="005A63A4"/>
    <w:rsid w:val="005A6906"/>
    <w:rsid w:val="005B0EEE"/>
    <w:rsid w:val="005B10FD"/>
    <w:rsid w:val="005B1598"/>
    <w:rsid w:val="005B20DD"/>
    <w:rsid w:val="005B2F5E"/>
    <w:rsid w:val="005B321A"/>
    <w:rsid w:val="005B3242"/>
    <w:rsid w:val="005B41A2"/>
    <w:rsid w:val="005B421F"/>
    <w:rsid w:val="005B4801"/>
    <w:rsid w:val="005B50B9"/>
    <w:rsid w:val="005B599C"/>
    <w:rsid w:val="005B61B5"/>
    <w:rsid w:val="005B761C"/>
    <w:rsid w:val="005B797B"/>
    <w:rsid w:val="005B79ED"/>
    <w:rsid w:val="005B7D77"/>
    <w:rsid w:val="005C0855"/>
    <w:rsid w:val="005C355D"/>
    <w:rsid w:val="005C38DE"/>
    <w:rsid w:val="005C4536"/>
    <w:rsid w:val="005C4673"/>
    <w:rsid w:val="005C54CF"/>
    <w:rsid w:val="005C5C30"/>
    <w:rsid w:val="005C6DC0"/>
    <w:rsid w:val="005C7296"/>
    <w:rsid w:val="005C7647"/>
    <w:rsid w:val="005D07E3"/>
    <w:rsid w:val="005D0A47"/>
    <w:rsid w:val="005D16B6"/>
    <w:rsid w:val="005D26D0"/>
    <w:rsid w:val="005D3569"/>
    <w:rsid w:val="005D3CE9"/>
    <w:rsid w:val="005D496F"/>
    <w:rsid w:val="005D4D1E"/>
    <w:rsid w:val="005D631A"/>
    <w:rsid w:val="005D7196"/>
    <w:rsid w:val="005D78AE"/>
    <w:rsid w:val="005D7E70"/>
    <w:rsid w:val="005D7F8D"/>
    <w:rsid w:val="005E003E"/>
    <w:rsid w:val="005E0AAB"/>
    <w:rsid w:val="005E101E"/>
    <w:rsid w:val="005E38B0"/>
    <w:rsid w:val="005E399D"/>
    <w:rsid w:val="005E3C36"/>
    <w:rsid w:val="005E3FA7"/>
    <w:rsid w:val="005E7ED7"/>
    <w:rsid w:val="005F043B"/>
    <w:rsid w:val="005F0E0C"/>
    <w:rsid w:val="005F13D8"/>
    <w:rsid w:val="005F1430"/>
    <w:rsid w:val="005F214F"/>
    <w:rsid w:val="005F2CBE"/>
    <w:rsid w:val="005F36AB"/>
    <w:rsid w:val="005F46DD"/>
    <w:rsid w:val="005F4E4A"/>
    <w:rsid w:val="005F5BD7"/>
    <w:rsid w:val="005F699E"/>
    <w:rsid w:val="0060091C"/>
    <w:rsid w:val="00600BF1"/>
    <w:rsid w:val="00601FBA"/>
    <w:rsid w:val="006042F5"/>
    <w:rsid w:val="00605248"/>
    <w:rsid w:val="00605D5C"/>
    <w:rsid w:val="00606ECF"/>
    <w:rsid w:val="00607086"/>
    <w:rsid w:val="00607E8B"/>
    <w:rsid w:val="00610915"/>
    <w:rsid w:val="00611C71"/>
    <w:rsid w:val="006122F5"/>
    <w:rsid w:val="00612AC8"/>
    <w:rsid w:val="00613569"/>
    <w:rsid w:val="006137A4"/>
    <w:rsid w:val="006141D5"/>
    <w:rsid w:val="00615DFC"/>
    <w:rsid w:val="00615EFC"/>
    <w:rsid w:val="006161D9"/>
    <w:rsid w:val="00616FBD"/>
    <w:rsid w:val="006215FB"/>
    <w:rsid w:val="0062188C"/>
    <w:rsid w:val="0062294E"/>
    <w:rsid w:val="00624B7A"/>
    <w:rsid w:val="00624E7E"/>
    <w:rsid w:val="006254D6"/>
    <w:rsid w:val="006260ED"/>
    <w:rsid w:val="00626D24"/>
    <w:rsid w:val="00627824"/>
    <w:rsid w:val="006310D7"/>
    <w:rsid w:val="006315D3"/>
    <w:rsid w:val="00631657"/>
    <w:rsid w:val="00631D28"/>
    <w:rsid w:val="00632CFC"/>
    <w:rsid w:val="00634FB1"/>
    <w:rsid w:val="006366F8"/>
    <w:rsid w:val="00636C03"/>
    <w:rsid w:val="00636E49"/>
    <w:rsid w:val="006378B4"/>
    <w:rsid w:val="006408AA"/>
    <w:rsid w:val="00642A09"/>
    <w:rsid w:val="00643746"/>
    <w:rsid w:val="006443C0"/>
    <w:rsid w:val="006449C0"/>
    <w:rsid w:val="00645914"/>
    <w:rsid w:val="0064592B"/>
    <w:rsid w:val="00645C15"/>
    <w:rsid w:val="006460E4"/>
    <w:rsid w:val="006468E4"/>
    <w:rsid w:val="0064771A"/>
    <w:rsid w:val="00650D96"/>
    <w:rsid w:val="00651544"/>
    <w:rsid w:val="006519D9"/>
    <w:rsid w:val="0065261D"/>
    <w:rsid w:val="00653FD5"/>
    <w:rsid w:val="006542D5"/>
    <w:rsid w:val="00655C89"/>
    <w:rsid w:val="00656147"/>
    <w:rsid w:val="00656AA2"/>
    <w:rsid w:val="00657067"/>
    <w:rsid w:val="00657769"/>
    <w:rsid w:val="00660B03"/>
    <w:rsid w:val="0066100B"/>
    <w:rsid w:val="00661EAD"/>
    <w:rsid w:val="00662894"/>
    <w:rsid w:val="0066353D"/>
    <w:rsid w:val="00663B75"/>
    <w:rsid w:val="006709DE"/>
    <w:rsid w:val="00670CD1"/>
    <w:rsid w:val="00670F1D"/>
    <w:rsid w:val="006721A3"/>
    <w:rsid w:val="00673940"/>
    <w:rsid w:val="006751C7"/>
    <w:rsid w:val="00675382"/>
    <w:rsid w:val="00675D47"/>
    <w:rsid w:val="00676146"/>
    <w:rsid w:val="006774AB"/>
    <w:rsid w:val="006779F5"/>
    <w:rsid w:val="00677A69"/>
    <w:rsid w:val="0068191B"/>
    <w:rsid w:val="00681A81"/>
    <w:rsid w:val="0068324C"/>
    <w:rsid w:val="00683A55"/>
    <w:rsid w:val="00683ED9"/>
    <w:rsid w:val="00684115"/>
    <w:rsid w:val="00684476"/>
    <w:rsid w:val="006846D2"/>
    <w:rsid w:val="00684930"/>
    <w:rsid w:val="00685CDD"/>
    <w:rsid w:val="00686747"/>
    <w:rsid w:val="00686FA7"/>
    <w:rsid w:val="00687808"/>
    <w:rsid w:val="00687AD9"/>
    <w:rsid w:val="006903EC"/>
    <w:rsid w:val="00691B8C"/>
    <w:rsid w:val="00691E83"/>
    <w:rsid w:val="006920F2"/>
    <w:rsid w:val="00692F40"/>
    <w:rsid w:val="006933C2"/>
    <w:rsid w:val="00693507"/>
    <w:rsid w:val="006935D8"/>
    <w:rsid w:val="00693A55"/>
    <w:rsid w:val="00693C07"/>
    <w:rsid w:val="00694E5D"/>
    <w:rsid w:val="0069587C"/>
    <w:rsid w:val="006A01E4"/>
    <w:rsid w:val="006A0C5A"/>
    <w:rsid w:val="006A213C"/>
    <w:rsid w:val="006A2323"/>
    <w:rsid w:val="006A2FC2"/>
    <w:rsid w:val="006A59E5"/>
    <w:rsid w:val="006A5A4A"/>
    <w:rsid w:val="006A6195"/>
    <w:rsid w:val="006A6ED1"/>
    <w:rsid w:val="006A712C"/>
    <w:rsid w:val="006A7753"/>
    <w:rsid w:val="006A787A"/>
    <w:rsid w:val="006A79DB"/>
    <w:rsid w:val="006A7D4F"/>
    <w:rsid w:val="006B0686"/>
    <w:rsid w:val="006B1F7B"/>
    <w:rsid w:val="006B266E"/>
    <w:rsid w:val="006B27A9"/>
    <w:rsid w:val="006B5717"/>
    <w:rsid w:val="006B5A87"/>
    <w:rsid w:val="006B5FBA"/>
    <w:rsid w:val="006B643B"/>
    <w:rsid w:val="006B7920"/>
    <w:rsid w:val="006C0122"/>
    <w:rsid w:val="006C0EC9"/>
    <w:rsid w:val="006C2648"/>
    <w:rsid w:val="006C324F"/>
    <w:rsid w:val="006C32FF"/>
    <w:rsid w:val="006C365E"/>
    <w:rsid w:val="006C3E82"/>
    <w:rsid w:val="006C4385"/>
    <w:rsid w:val="006C530A"/>
    <w:rsid w:val="006C556D"/>
    <w:rsid w:val="006C5BA3"/>
    <w:rsid w:val="006C5FCC"/>
    <w:rsid w:val="006C604B"/>
    <w:rsid w:val="006C6A8F"/>
    <w:rsid w:val="006D35A7"/>
    <w:rsid w:val="006D3EE8"/>
    <w:rsid w:val="006D57EF"/>
    <w:rsid w:val="006D61E2"/>
    <w:rsid w:val="006D6515"/>
    <w:rsid w:val="006D656E"/>
    <w:rsid w:val="006D6A02"/>
    <w:rsid w:val="006D73B4"/>
    <w:rsid w:val="006D7C9C"/>
    <w:rsid w:val="006E04E0"/>
    <w:rsid w:val="006E14A1"/>
    <w:rsid w:val="006E19CB"/>
    <w:rsid w:val="006E1D66"/>
    <w:rsid w:val="006E2B17"/>
    <w:rsid w:val="006E2E5A"/>
    <w:rsid w:val="006E3512"/>
    <w:rsid w:val="006E577D"/>
    <w:rsid w:val="006E5B98"/>
    <w:rsid w:val="006E685E"/>
    <w:rsid w:val="006F0170"/>
    <w:rsid w:val="006F097B"/>
    <w:rsid w:val="006F1487"/>
    <w:rsid w:val="006F1717"/>
    <w:rsid w:val="006F2BA9"/>
    <w:rsid w:val="006F3C0E"/>
    <w:rsid w:val="006F43AA"/>
    <w:rsid w:val="006F4659"/>
    <w:rsid w:val="006F47B0"/>
    <w:rsid w:val="006F51F9"/>
    <w:rsid w:val="006F56B0"/>
    <w:rsid w:val="006F5B6D"/>
    <w:rsid w:val="006F6D2C"/>
    <w:rsid w:val="00700912"/>
    <w:rsid w:val="00703A5D"/>
    <w:rsid w:val="00704A76"/>
    <w:rsid w:val="00704B25"/>
    <w:rsid w:val="0070741D"/>
    <w:rsid w:val="00707695"/>
    <w:rsid w:val="0071151C"/>
    <w:rsid w:val="007128D3"/>
    <w:rsid w:val="00713BE4"/>
    <w:rsid w:val="00714724"/>
    <w:rsid w:val="00714A1B"/>
    <w:rsid w:val="007152E5"/>
    <w:rsid w:val="00715583"/>
    <w:rsid w:val="00715B3D"/>
    <w:rsid w:val="00716E75"/>
    <w:rsid w:val="00717757"/>
    <w:rsid w:val="00722BD3"/>
    <w:rsid w:val="00723FA5"/>
    <w:rsid w:val="00724EE2"/>
    <w:rsid w:val="00726271"/>
    <w:rsid w:val="0073126B"/>
    <w:rsid w:val="0073194B"/>
    <w:rsid w:val="00731F2B"/>
    <w:rsid w:val="0073276A"/>
    <w:rsid w:val="00732983"/>
    <w:rsid w:val="00732FAD"/>
    <w:rsid w:val="007330B0"/>
    <w:rsid w:val="00733591"/>
    <w:rsid w:val="00735A67"/>
    <w:rsid w:val="00736075"/>
    <w:rsid w:val="00736265"/>
    <w:rsid w:val="007362BD"/>
    <w:rsid w:val="00736828"/>
    <w:rsid w:val="0073764D"/>
    <w:rsid w:val="00740210"/>
    <w:rsid w:val="00740754"/>
    <w:rsid w:val="0074127A"/>
    <w:rsid w:val="00741AE8"/>
    <w:rsid w:val="0074208C"/>
    <w:rsid w:val="00742441"/>
    <w:rsid w:val="0074361E"/>
    <w:rsid w:val="00743929"/>
    <w:rsid w:val="00743CE3"/>
    <w:rsid w:val="007446E4"/>
    <w:rsid w:val="00744904"/>
    <w:rsid w:val="00744E17"/>
    <w:rsid w:val="00745755"/>
    <w:rsid w:val="00745811"/>
    <w:rsid w:val="00746ABA"/>
    <w:rsid w:val="007471DB"/>
    <w:rsid w:val="00747216"/>
    <w:rsid w:val="007479EB"/>
    <w:rsid w:val="00747DB1"/>
    <w:rsid w:val="007503EF"/>
    <w:rsid w:val="0075102C"/>
    <w:rsid w:val="00751533"/>
    <w:rsid w:val="00751B5D"/>
    <w:rsid w:val="0075205E"/>
    <w:rsid w:val="007525F1"/>
    <w:rsid w:val="00753453"/>
    <w:rsid w:val="00753A14"/>
    <w:rsid w:val="00753B84"/>
    <w:rsid w:val="00754299"/>
    <w:rsid w:val="0075436E"/>
    <w:rsid w:val="00755F86"/>
    <w:rsid w:val="00756122"/>
    <w:rsid w:val="007561A3"/>
    <w:rsid w:val="00757B21"/>
    <w:rsid w:val="00757E96"/>
    <w:rsid w:val="00762169"/>
    <w:rsid w:val="0076288A"/>
    <w:rsid w:val="007629C5"/>
    <w:rsid w:val="007637CA"/>
    <w:rsid w:val="00764CB5"/>
    <w:rsid w:val="007657AE"/>
    <w:rsid w:val="00765F66"/>
    <w:rsid w:val="00765FA2"/>
    <w:rsid w:val="00766343"/>
    <w:rsid w:val="007666C6"/>
    <w:rsid w:val="007670DF"/>
    <w:rsid w:val="007675F3"/>
    <w:rsid w:val="007679CE"/>
    <w:rsid w:val="00767CE2"/>
    <w:rsid w:val="007702CA"/>
    <w:rsid w:val="00770981"/>
    <w:rsid w:val="00770EA3"/>
    <w:rsid w:val="007726AB"/>
    <w:rsid w:val="007727D9"/>
    <w:rsid w:val="007734E2"/>
    <w:rsid w:val="007748AB"/>
    <w:rsid w:val="00776772"/>
    <w:rsid w:val="00776822"/>
    <w:rsid w:val="00776B58"/>
    <w:rsid w:val="00777384"/>
    <w:rsid w:val="00777842"/>
    <w:rsid w:val="00777FCE"/>
    <w:rsid w:val="007802A5"/>
    <w:rsid w:val="007814A1"/>
    <w:rsid w:val="007815FE"/>
    <w:rsid w:val="00781A7A"/>
    <w:rsid w:val="00782051"/>
    <w:rsid w:val="00783251"/>
    <w:rsid w:val="0078385A"/>
    <w:rsid w:val="007852FE"/>
    <w:rsid w:val="0078673E"/>
    <w:rsid w:val="00787339"/>
    <w:rsid w:val="007905F0"/>
    <w:rsid w:val="00790FD2"/>
    <w:rsid w:val="00791202"/>
    <w:rsid w:val="007942C3"/>
    <w:rsid w:val="007948E4"/>
    <w:rsid w:val="00794F34"/>
    <w:rsid w:val="00795851"/>
    <w:rsid w:val="007958B0"/>
    <w:rsid w:val="00796010"/>
    <w:rsid w:val="00796356"/>
    <w:rsid w:val="0079722A"/>
    <w:rsid w:val="007976F1"/>
    <w:rsid w:val="007976FA"/>
    <w:rsid w:val="00797886"/>
    <w:rsid w:val="00797948"/>
    <w:rsid w:val="00797D3A"/>
    <w:rsid w:val="007A035F"/>
    <w:rsid w:val="007A0C98"/>
    <w:rsid w:val="007A2647"/>
    <w:rsid w:val="007A48E6"/>
    <w:rsid w:val="007A6F1F"/>
    <w:rsid w:val="007A7095"/>
    <w:rsid w:val="007A70E6"/>
    <w:rsid w:val="007B0F8A"/>
    <w:rsid w:val="007B1202"/>
    <w:rsid w:val="007B1B01"/>
    <w:rsid w:val="007B1EFD"/>
    <w:rsid w:val="007B2290"/>
    <w:rsid w:val="007B2587"/>
    <w:rsid w:val="007B2D8B"/>
    <w:rsid w:val="007B363A"/>
    <w:rsid w:val="007B4371"/>
    <w:rsid w:val="007B4E8B"/>
    <w:rsid w:val="007B59F8"/>
    <w:rsid w:val="007B5FE1"/>
    <w:rsid w:val="007B61CE"/>
    <w:rsid w:val="007C2A6D"/>
    <w:rsid w:val="007C438B"/>
    <w:rsid w:val="007C4494"/>
    <w:rsid w:val="007C59F5"/>
    <w:rsid w:val="007D03B3"/>
    <w:rsid w:val="007D052E"/>
    <w:rsid w:val="007D11DD"/>
    <w:rsid w:val="007D15F4"/>
    <w:rsid w:val="007D1CD3"/>
    <w:rsid w:val="007D1E40"/>
    <w:rsid w:val="007D41E2"/>
    <w:rsid w:val="007D4FF9"/>
    <w:rsid w:val="007D590D"/>
    <w:rsid w:val="007D5B08"/>
    <w:rsid w:val="007D6FB9"/>
    <w:rsid w:val="007D7F63"/>
    <w:rsid w:val="007E05BD"/>
    <w:rsid w:val="007E0C92"/>
    <w:rsid w:val="007E2F09"/>
    <w:rsid w:val="007E40C2"/>
    <w:rsid w:val="007E46D7"/>
    <w:rsid w:val="007E53AA"/>
    <w:rsid w:val="007E591E"/>
    <w:rsid w:val="007E70CC"/>
    <w:rsid w:val="007E77F8"/>
    <w:rsid w:val="007E7D40"/>
    <w:rsid w:val="007F0711"/>
    <w:rsid w:val="007F10CB"/>
    <w:rsid w:val="007F1679"/>
    <w:rsid w:val="007F349A"/>
    <w:rsid w:val="007F480D"/>
    <w:rsid w:val="007F4AC8"/>
    <w:rsid w:val="007F4B1B"/>
    <w:rsid w:val="007F4E7F"/>
    <w:rsid w:val="007F6418"/>
    <w:rsid w:val="007F7965"/>
    <w:rsid w:val="007F7E24"/>
    <w:rsid w:val="007F7F36"/>
    <w:rsid w:val="008003AE"/>
    <w:rsid w:val="00800A6E"/>
    <w:rsid w:val="00800F21"/>
    <w:rsid w:val="00801E43"/>
    <w:rsid w:val="00801EDF"/>
    <w:rsid w:val="00803753"/>
    <w:rsid w:val="00804921"/>
    <w:rsid w:val="008052A5"/>
    <w:rsid w:val="008053FB"/>
    <w:rsid w:val="0080560C"/>
    <w:rsid w:val="008058CE"/>
    <w:rsid w:val="00805EB6"/>
    <w:rsid w:val="0080656C"/>
    <w:rsid w:val="008066B6"/>
    <w:rsid w:val="00810E46"/>
    <w:rsid w:val="008111DD"/>
    <w:rsid w:val="008112C9"/>
    <w:rsid w:val="008114CF"/>
    <w:rsid w:val="008114FC"/>
    <w:rsid w:val="00811AE4"/>
    <w:rsid w:val="00812C3F"/>
    <w:rsid w:val="008158F0"/>
    <w:rsid w:val="00817969"/>
    <w:rsid w:val="00820454"/>
    <w:rsid w:val="0082258B"/>
    <w:rsid w:val="00825502"/>
    <w:rsid w:val="008258A6"/>
    <w:rsid w:val="00826365"/>
    <w:rsid w:val="008264BB"/>
    <w:rsid w:val="008268C9"/>
    <w:rsid w:val="00826F13"/>
    <w:rsid w:val="008273F7"/>
    <w:rsid w:val="008276CB"/>
    <w:rsid w:val="00831512"/>
    <w:rsid w:val="008315F3"/>
    <w:rsid w:val="00831E98"/>
    <w:rsid w:val="00833395"/>
    <w:rsid w:val="00833B0A"/>
    <w:rsid w:val="00833B1B"/>
    <w:rsid w:val="00834931"/>
    <w:rsid w:val="00836884"/>
    <w:rsid w:val="00836976"/>
    <w:rsid w:val="00836DBF"/>
    <w:rsid w:val="00837200"/>
    <w:rsid w:val="00841DAB"/>
    <w:rsid w:val="0084364C"/>
    <w:rsid w:val="00843945"/>
    <w:rsid w:val="00843C37"/>
    <w:rsid w:val="00844EC7"/>
    <w:rsid w:val="00845910"/>
    <w:rsid w:val="008465A7"/>
    <w:rsid w:val="00847975"/>
    <w:rsid w:val="00847A04"/>
    <w:rsid w:val="00847DB0"/>
    <w:rsid w:val="00851807"/>
    <w:rsid w:val="00852447"/>
    <w:rsid w:val="008538B8"/>
    <w:rsid w:val="008541E8"/>
    <w:rsid w:val="00854DD4"/>
    <w:rsid w:val="00854ED5"/>
    <w:rsid w:val="0085508A"/>
    <w:rsid w:val="00855549"/>
    <w:rsid w:val="008555FC"/>
    <w:rsid w:val="008556BA"/>
    <w:rsid w:val="00855D58"/>
    <w:rsid w:val="00855D62"/>
    <w:rsid w:val="00857266"/>
    <w:rsid w:val="008616F1"/>
    <w:rsid w:val="00861FDE"/>
    <w:rsid w:val="00862111"/>
    <w:rsid w:val="0086233F"/>
    <w:rsid w:val="0086238F"/>
    <w:rsid w:val="00862DBA"/>
    <w:rsid w:val="00862E36"/>
    <w:rsid w:val="00863D1A"/>
    <w:rsid w:val="00863E22"/>
    <w:rsid w:val="0086412C"/>
    <w:rsid w:val="008641B5"/>
    <w:rsid w:val="008655A5"/>
    <w:rsid w:val="00865ECB"/>
    <w:rsid w:val="00866D97"/>
    <w:rsid w:val="00867538"/>
    <w:rsid w:val="008675BA"/>
    <w:rsid w:val="0086761C"/>
    <w:rsid w:val="008676D8"/>
    <w:rsid w:val="00867BEC"/>
    <w:rsid w:val="00870AC3"/>
    <w:rsid w:val="00870E4A"/>
    <w:rsid w:val="00872E21"/>
    <w:rsid w:val="00873234"/>
    <w:rsid w:val="00873F25"/>
    <w:rsid w:val="00874EBB"/>
    <w:rsid w:val="00875ACE"/>
    <w:rsid w:val="00877644"/>
    <w:rsid w:val="00881100"/>
    <w:rsid w:val="00881A9E"/>
    <w:rsid w:val="00882132"/>
    <w:rsid w:val="008832E6"/>
    <w:rsid w:val="00885A1C"/>
    <w:rsid w:val="00885EC9"/>
    <w:rsid w:val="00890546"/>
    <w:rsid w:val="00890848"/>
    <w:rsid w:val="00892EA9"/>
    <w:rsid w:val="00893C42"/>
    <w:rsid w:val="00893D58"/>
    <w:rsid w:val="00896461"/>
    <w:rsid w:val="008966C5"/>
    <w:rsid w:val="008A1201"/>
    <w:rsid w:val="008A1F8B"/>
    <w:rsid w:val="008A25DB"/>
    <w:rsid w:val="008A4132"/>
    <w:rsid w:val="008A542B"/>
    <w:rsid w:val="008A6868"/>
    <w:rsid w:val="008A6F0E"/>
    <w:rsid w:val="008A6F1B"/>
    <w:rsid w:val="008A7032"/>
    <w:rsid w:val="008A759A"/>
    <w:rsid w:val="008A7994"/>
    <w:rsid w:val="008A7D35"/>
    <w:rsid w:val="008B0EFE"/>
    <w:rsid w:val="008B1460"/>
    <w:rsid w:val="008B16EB"/>
    <w:rsid w:val="008B1DC9"/>
    <w:rsid w:val="008B2A0A"/>
    <w:rsid w:val="008B3153"/>
    <w:rsid w:val="008B3A7F"/>
    <w:rsid w:val="008B403F"/>
    <w:rsid w:val="008B42F9"/>
    <w:rsid w:val="008B45F1"/>
    <w:rsid w:val="008B4991"/>
    <w:rsid w:val="008B50E5"/>
    <w:rsid w:val="008B6734"/>
    <w:rsid w:val="008C010C"/>
    <w:rsid w:val="008C03E8"/>
    <w:rsid w:val="008C0C55"/>
    <w:rsid w:val="008C131A"/>
    <w:rsid w:val="008C335D"/>
    <w:rsid w:val="008C36AA"/>
    <w:rsid w:val="008C3868"/>
    <w:rsid w:val="008C5267"/>
    <w:rsid w:val="008C6FDB"/>
    <w:rsid w:val="008C7495"/>
    <w:rsid w:val="008C7899"/>
    <w:rsid w:val="008D0D42"/>
    <w:rsid w:val="008D0D8B"/>
    <w:rsid w:val="008D0DD0"/>
    <w:rsid w:val="008D0F41"/>
    <w:rsid w:val="008D3B16"/>
    <w:rsid w:val="008D3B60"/>
    <w:rsid w:val="008D3FCE"/>
    <w:rsid w:val="008D467A"/>
    <w:rsid w:val="008D5AB1"/>
    <w:rsid w:val="008D69AD"/>
    <w:rsid w:val="008E0519"/>
    <w:rsid w:val="008E06BA"/>
    <w:rsid w:val="008E2172"/>
    <w:rsid w:val="008E43A9"/>
    <w:rsid w:val="008E43B9"/>
    <w:rsid w:val="008E49F4"/>
    <w:rsid w:val="008E57AC"/>
    <w:rsid w:val="008E5E71"/>
    <w:rsid w:val="008E74FE"/>
    <w:rsid w:val="008F004B"/>
    <w:rsid w:val="008F00D6"/>
    <w:rsid w:val="008F0630"/>
    <w:rsid w:val="008F112A"/>
    <w:rsid w:val="008F165D"/>
    <w:rsid w:val="008F16E1"/>
    <w:rsid w:val="008F2967"/>
    <w:rsid w:val="008F2B1E"/>
    <w:rsid w:val="008F2E9D"/>
    <w:rsid w:val="008F4239"/>
    <w:rsid w:val="008F6D9F"/>
    <w:rsid w:val="008F70C9"/>
    <w:rsid w:val="008F7A0C"/>
    <w:rsid w:val="008F7CEE"/>
    <w:rsid w:val="008F7F12"/>
    <w:rsid w:val="00902D2E"/>
    <w:rsid w:val="00903ABC"/>
    <w:rsid w:val="00903E78"/>
    <w:rsid w:val="00904697"/>
    <w:rsid w:val="009048B2"/>
    <w:rsid w:val="0091041C"/>
    <w:rsid w:val="009118CB"/>
    <w:rsid w:val="00911EC7"/>
    <w:rsid w:val="00912DBA"/>
    <w:rsid w:val="0091354D"/>
    <w:rsid w:val="00913DA4"/>
    <w:rsid w:val="00914279"/>
    <w:rsid w:val="00914376"/>
    <w:rsid w:val="00915DA8"/>
    <w:rsid w:val="00916DD1"/>
    <w:rsid w:val="00917541"/>
    <w:rsid w:val="009175EC"/>
    <w:rsid w:val="009178F6"/>
    <w:rsid w:val="00920356"/>
    <w:rsid w:val="00920F19"/>
    <w:rsid w:val="00921F37"/>
    <w:rsid w:val="009226AA"/>
    <w:rsid w:val="00924B98"/>
    <w:rsid w:val="00926034"/>
    <w:rsid w:val="009301A2"/>
    <w:rsid w:val="00930D6B"/>
    <w:rsid w:val="00931CD4"/>
    <w:rsid w:val="009326DA"/>
    <w:rsid w:val="00932CB0"/>
    <w:rsid w:val="00933F2D"/>
    <w:rsid w:val="00934708"/>
    <w:rsid w:val="00935DD0"/>
    <w:rsid w:val="00935F1A"/>
    <w:rsid w:val="00936207"/>
    <w:rsid w:val="0093622A"/>
    <w:rsid w:val="0093788A"/>
    <w:rsid w:val="009401E1"/>
    <w:rsid w:val="00940364"/>
    <w:rsid w:val="00940D4B"/>
    <w:rsid w:val="00940F8B"/>
    <w:rsid w:val="0094136E"/>
    <w:rsid w:val="00942E8B"/>
    <w:rsid w:val="00942F33"/>
    <w:rsid w:val="00944358"/>
    <w:rsid w:val="0094439B"/>
    <w:rsid w:val="00944492"/>
    <w:rsid w:val="00944A2A"/>
    <w:rsid w:val="00944F42"/>
    <w:rsid w:val="00945793"/>
    <w:rsid w:val="00945E48"/>
    <w:rsid w:val="00946433"/>
    <w:rsid w:val="00947704"/>
    <w:rsid w:val="00951113"/>
    <w:rsid w:val="009516CD"/>
    <w:rsid w:val="0095209A"/>
    <w:rsid w:val="00952354"/>
    <w:rsid w:val="009529E0"/>
    <w:rsid w:val="00953299"/>
    <w:rsid w:val="00953AC2"/>
    <w:rsid w:val="00954E8C"/>
    <w:rsid w:val="00955EC5"/>
    <w:rsid w:val="00956F4F"/>
    <w:rsid w:val="009577D6"/>
    <w:rsid w:val="009606A1"/>
    <w:rsid w:val="00960F13"/>
    <w:rsid w:val="0096131A"/>
    <w:rsid w:val="00961F46"/>
    <w:rsid w:val="00962D68"/>
    <w:rsid w:val="00963118"/>
    <w:rsid w:val="0096694F"/>
    <w:rsid w:val="00966B34"/>
    <w:rsid w:val="00967558"/>
    <w:rsid w:val="00967728"/>
    <w:rsid w:val="00967A60"/>
    <w:rsid w:val="009701D4"/>
    <w:rsid w:val="00970BF5"/>
    <w:rsid w:val="00971B23"/>
    <w:rsid w:val="00971CA7"/>
    <w:rsid w:val="00971D8D"/>
    <w:rsid w:val="0097215B"/>
    <w:rsid w:val="00972C2F"/>
    <w:rsid w:val="009738AE"/>
    <w:rsid w:val="009742F3"/>
    <w:rsid w:val="0097451F"/>
    <w:rsid w:val="009756BE"/>
    <w:rsid w:val="00975CBE"/>
    <w:rsid w:val="009760B5"/>
    <w:rsid w:val="009768CB"/>
    <w:rsid w:val="00976AD9"/>
    <w:rsid w:val="00976D2B"/>
    <w:rsid w:val="00976E9F"/>
    <w:rsid w:val="00977272"/>
    <w:rsid w:val="00977757"/>
    <w:rsid w:val="009779FE"/>
    <w:rsid w:val="009804C4"/>
    <w:rsid w:val="009804E5"/>
    <w:rsid w:val="0098052C"/>
    <w:rsid w:val="009806CA"/>
    <w:rsid w:val="00982065"/>
    <w:rsid w:val="0098231E"/>
    <w:rsid w:val="009832D3"/>
    <w:rsid w:val="009837D4"/>
    <w:rsid w:val="00983E6E"/>
    <w:rsid w:val="009845C6"/>
    <w:rsid w:val="00985163"/>
    <w:rsid w:val="00985E29"/>
    <w:rsid w:val="009865D0"/>
    <w:rsid w:val="00986DD4"/>
    <w:rsid w:val="009872B1"/>
    <w:rsid w:val="0098787B"/>
    <w:rsid w:val="00987B53"/>
    <w:rsid w:val="00987B5D"/>
    <w:rsid w:val="00991615"/>
    <w:rsid w:val="00992199"/>
    <w:rsid w:val="00992686"/>
    <w:rsid w:val="00992C54"/>
    <w:rsid w:val="00993082"/>
    <w:rsid w:val="009934DE"/>
    <w:rsid w:val="00993C06"/>
    <w:rsid w:val="009943F7"/>
    <w:rsid w:val="00994D6D"/>
    <w:rsid w:val="00995087"/>
    <w:rsid w:val="0099557A"/>
    <w:rsid w:val="00995651"/>
    <w:rsid w:val="009957F8"/>
    <w:rsid w:val="009958F1"/>
    <w:rsid w:val="0099656A"/>
    <w:rsid w:val="00996C55"/>
    <w:rsid w:val="00996F05"/>
    <w:rsid w:val="0099775B"/>
    <w:rsid w:val="009A1BE2"/>
    <w:rsid w:val="009A20B0"/>
    <w:rsid w:val="009A261E"/>
    <w:rsid w:val="009A2DD2"/>
    <w:rsid w:val="009A371F"/>
    <w:rsid w:val="009A48AD"/>
    <w:rsid w:val="009A5885"/>
    <w:rsid w:val="009A5A2B"/>
    <w:rsid w:val="009B02C5"/>
    <w:rsid w:val="009B0750"/>
    <w:rsid w:val="009B0DCC"/>
    <w:rsid w:val="009B124B"/>
    <w:rsid w:val="009B143F"/>
    <w:rsid w:val="009B1918"/>
    <w:rsid w:val="009B2131"/>
    <w:rsid w:val="009B4BF4"/>
    <w:rsid w:val="009B6232"/>
    <w:rsid w:val="009B6729"/>
    <w:rsid w:val="009B6D30"/>
    <w:rsid w:val="009B6F8C"/>
    <w:rsid w:val="009B752D"/>
    <w:rsid w:val="009B7D8E"/>
    <w:rsid w:val="009C132E"/>
    <w:rsid w:val="009C13F6"/>
    <w:rsid w:val="009C1432"/>
    <w:rsid w:val="009C1F3E"/>
    <w:rsid w:val="009C200C"/>
    <w:rsid w:val="009C22CF"/>
    <w:rsid w:val="009C2799"/>
    <w:rsid w:val="009C2D93"/>
    <w:rsid w:val="009C464D"/>
    <w:rsid w:val="009C7308"/>
    <w:rsid w:val="009C7533"/>
    <w:rsid w:val="009C7740"/>
    <w:rsid w:val="009D017F"/>
    <w:rsid w:val="009D0286"/>
    <w:rsid w:val="009D1EBB"/>
    <w:rsid w:val="009D2036"/>
    <w:rsid w:val="009D20FD"/>
    <w:rsid w:val="009D23C0"/>
    <w:rsid w:val="009D2F5C"/>
    <w:rsid w:val="009D3684"/>
    <w:rsid w:val="009D4017"/>
    <w:rsid w:val="009D438F"/>
    <w:rsid w:val="009D464F"/>
    <w:rsid w:val="009D532A"/>
    <w:rsid w:val="009D5E12"/>
    <w:rsid w:val="009D68D8"/>
    <w:rsid w:val="009D7BA3"/>
    <w:rsid w:val="009E008D"/>
    <w:rsid w:val="009E09C7"/>
    <w:rsid w:val="009E112B"/>
    <w:rsid w:val="009E1542"/>
    <w:rsid w:val="009E1718"/>
    <w:rsid w:val="009E17E7"/>
    <w:rsid w:val="009E1BE4"/>
    <w:rsid w:val="009E26C3"/>
    <w:rsid w:val="009E346D"/>
    <w:rsid w:val="009E3ABB"/>
    <w:rsid w:val="009E4FEE"/>
    <w:rsid w:val="009E6EBF"/>
    <w:rsid w:val="009E719F"/>
    <w:rsid w:val="009F00FB"/>
    <w:rsid w:val="009F12BE"/>
    <w:rsid w:val="009F2EC2"/>
    <w:rsid w:val="009F4632"/>
    <w:rsid w:val="009F5D6B"/>
    <w:rsid w:val="009F7265"/>
    <w:rsid w:val="009F7833"/>
    <w:rsid w:val="00A0056D"/>
    <w:rsid w:val="00A01022"/>
    <w:rsid w:val="00A012F7"/>
    <w:rsid w:val="00A0299D"/>
    <w:rsid w:val="00A029EE"/>
    <w:rsid w:val="00A036B5"/>
    <w:rsid w:val="00A03CFA"/>
    <w:rsid w:val="00A0537D"/>
    <w:rsid w:val="00A06DB9"/>
    <w:rsid w:val="00A06EBB"/>
    <w:rsid w:val="00A071C6"/>
    <w:rsid w:val="00A07608"/>
    <w:rsid w:val="00A100E7"/>
    <w:rsid w:val="00A100F2"/>
    <w:rsid w:val="00A1094E"/>
    <w:rsid w:val="00A113B9"/>
    <w:rsid w:val="00A1159D"/>
    <w:rsid w:val="00A11604"/>
    <w:rsid w:val="00A117EC"/>
    <w:rsid w:val="00A11AAB"/>
    <w:rsid w:val="00A1206B"/>
    <w:rsid w:val="00A122A0"/>
    <w:rsid w:val="00A14F94"/>
    <w:rsid w:val="00A15506"/>
    <w:rsid w:val="00A156BD"/>
    <w:rsid w:val="00A15909"/>
    <w:rsid w:val="00A15A08"/>
    <w:rsid w:val="00A161E8"/>
    <w:rsid w:val="00A173F0"/>
    <w:rsid w:val="00A17E2B"/>
    <w:rsid w:val="00A20455"/>
    <w:rsid w:val="00A204A1"/>
    <w:rsid w:val="00A216D5"/>
    <w:rsid w:val="00A232D5"/>
    <w:rsid w:val="00A2353C"/>
    <w:rsid w:val="00A2391D"/>
    <w:rsid w:val="00A24B37"/>
    <w:rsid w:val="00A25368"/>
    <w:rsid w:val="00A255D7"/>
    <w:rsid w:val="00A26632"/>
    <w:rsid w:val="00A26C91"/>
    <w:rsid w:val="00A27BF7"/>
    <w:rsid w:val="00A308E3"/>
    <w:rsid w:val="00A319FA"/>
    <w:rsid w:val="00A3380B"/>
    <w:rsid w:val="00A34579"/>
    <w:rsid w:val="00A34608"/>
    <w:rsid w:val="00A35FEC"/>
    <w:rsid w:val="00A37630"/>
    <w:rsid w:val="00A37B45"/>
    <w:rsid w:val="00A37F98"/>
    <w:rsid w:val="00A40636"/>
    <w:rsid w:val="00A40F68"/>
    <w:rsid w:val="00A41A2E"/>
    <w:rsid w:val="00A42403"/>
    <w:rsid w:val="00A431A8"/>
    <w:rsid w:val="00A435F2"/>
    <w:rsid w:val="00A43B15"/>
    <w:rsid w:val="00A43B45"/>
    <w:rsid w:val="00A43BD4"/>
    <w:rsid w:val="00A43F2B"/>
    <w:rsid w:val="00A44B26"/>
    <w:rsid w:val="00A44F0D"/>
    <w:rsid w:val="00A4504E"/>
    <w:rsid w:val="00A45F71"/>
    <w:rsid w:val="00A462AC"/>
    <w:rsid w:val="00A464A5"/>
    <w:rsid w:val="00A47F74"/>
    <w:rsid w:val="00A51148"/>
    <w:rsid w:val="00A51F40"/>
    <w:rsid w:val="00A52A84"/>
    <w:rsid w:val="00A531BB"/>
    <w:rsid w:val="00A5382D"/>
    <w:rsid w:val="00A53E23"/>
    <w:rsid w:val="00A542B8"/>
    <w:rsid w:val="00A5501C"/>
    <w:rsid w:val="00A55BD1"/>
    <w:rsid w:val="00A56CED"/>
    <w:rsid w:val="00A60371"/>
    <w:rsid w:val="00A60746"/>
    <w:rsid w:val="00A608BE"/>
    <w:rsid w:val="00A60A80"/>
    <w:rsid w:val="00A612E6"/>
    <w:rsid w:val="00A61A81"/>
    <w:rsid w:val="00A626FE"/>
    <w:rsid w:val="00A62B14"/>
    <w:rsid w:val="00A63057"/>
    <w:rsid w:val="00A645B1"/>
    <w:rsid w:val="00A645C0"/>
    <w:rsid w:val="00A660B1"/>
    <w:rsid w:val="00A668F9"/>
    <w:rsid w:val="00A67204"/>
    <w:rsid w:val="00A679CB"/>
    <w:rsid w:val="00A737D2"/>
    <w:rsid w:val="00A73F93"/>
    <w:rsid w:val="00A74220"/>
    <w:rsid w:val="00A75CAF"/>
    <w:rsid w:val="00A76ED7"/>
    <w:rsid w:val="00A77182"/>
    <w:rsid w:val="00A77D7E"/>
    <w:rsid w:val="00A77F65"/>
    <w:rsid w:val="00A77F91"/>
    <w:rsid w:val="00A80DD3"/>
    <w:rsid w:val="00A81322"/>
    <w:rsid w:val="00A815E3"/>
    <w:rsid w:val="00A8277E"/>
    <w:rsid w:val="00A82B23"/>
    <w:rsid w:val="00A8314E"/>
    <w:rsid w:val="00A83A56"/>
    <w:rsid w:val="00A84011"/>
    <w:rsid w:val="00A84364"/>
    <w:rsid w:val="00A85BBD"/>
    <w:rsid w:val="00A87DC4"/>
    <w:rsid w:val="00A909E7"/>
    <w:rsid w:val="00A9105E"/>
    <w:rsid w:val="00A91F8D"/>
    <w:rsid w:val="00A924CF"/>
    <w:rsid w:val="00A92E87"/>
    <w:rsid w:val="00A931F0"/>
    <w:rsid w:val="00A9354C"/>
    <w:rsid w:val="00A93B0E"/>
    <w:rsid w:val="00A940DA"/>
    <w:rsid w:val="00A949BC"/>
    <w:rsid w:val="00A94D38"/>
    <w:rsid w:val="00A955AC"/>
    <w:rsid w:val="00A96EFC"/>
    <w:rsid w:val="00A970A5"/>
    <w:rsid w:val="00A97E50"/>
    <w:rsid w:val="00AA0467"/>
    <w:rsid w:val="00AA12F2"/>
    <w:rsid w:val="00AA13D2"/>
    <w:rsid w:val="00AA151D"/>
    <w:rsid w:val="00AA5AE7"/>
    <w:rsid w:val="00AA5BFF"/>
    <w:rsid w:val="00AA5D9F"/>
    <w:rsid w:val="00AA6925"/>
    <w:rsid w:val="00AA7735"/>
    <w:rsid w:val="00AB0B06"/>
    <w:rsid w:val="00AB0F40"/>
    <w:rsid w:val="00AB295F"/>
    <w:rsid w:val="00AB2D2E"/>
    <w:rsid w:val="00AB41EE"/>
    <w:rsid w:val="00AB5B22"/>
    <w:rsid w:val="00AB61F7"/>
    <w:rsid w:val="00AB6CF1"/>
    <w:rsid w:val="00AB7DC8"/>
    <w:rsid w:val="00AC07F2"/>
    <w:rsid w:val="00AC0C08"/>
    <w:rsid w:val="00AC0C56"/>
    <w:rsid w:val="00AC2669"/>
    <w:rsid w:val="00AC26CC"/>
    <w:rsid w:val="00AC3580"/>
    <w:rsid w:val="00AC364E"/>
    <w:rsid w:val="00AC4CCA"/>
    <w:rsid w:val="00AC4DB8"/>
    <w:rsid w:val="00AC5B98"/>
    <w:rsid w:val="00AC5F80"/>
    <w:rsid w:val="00AC5FA5"/>
    <w:rsid w:val="00AC789F"/>
    <w:rsid w:val="00AD037D"/>
    <w:rsid w:val="00AD09CE"/>
    <w:rsid w:val="00AD0C0C"/>
    <w:rsid w:val="00AD157B"/>
    <w:rsid w:val="00AD519D"/>
    <w:rsid w:val="00AD56B3"/>
    <w:rsid w:val="00AD58CE"/>
    <w:rsid w:val="00AD79D6"/>
    <w:rsid w:val="00AD7BBB"/>
    <w:rsid w:val="00AE0353"/>
    <w:rsid w:val="00AE0548"/>
    <w:rsid w:val="00AE128B"/>
    <w:rsid w:val="00AE3FC3"/>
    <w:rsid w:val="00AE4003"/>
    <w:rsid w:val="00AE4952"/>
    <w:rsid w:val="00AE4D6E"/>
    <w:rsid w:val="00AE5E36"/>
    <w:rsid w:val="00AE6F5E"/>
    <w:rsid w:val="00AE726B"/>
    <w:rsid w:val="00AE7FDF"/>
    <w:rsid w:val="00AF1B45"/>
    <w:rsid w:val="00AF1D2C"/>
    <w:rsid w:val="00AF3088"/>
    <w:rsid w:val="00AF3411"/>
    <w:rsid w:val="00AF3EFD"/>
    <w:rsid w:val="00AF4C9B"/>
    <w:rsid w:val="00AF6930"/>
    <w:rsid w:val="00AF71C8"/>
    <w:rsid w:val="00AF7F91"/>
    <w:rsid w:val="00B00914"/>
    <w:rsid w:val="00B00B2F"/>
    <w:rsid w:val="00B01EEC"/>
    <w:rsid w:val="00B03256"/>
    <w:rsid w:val="00B03D34"/>
    <w:rsid w:val="00B042DA"/>
    <w:rsid w:val="00B05B13"/>
    <w:rsid w:val="00B06027"/>
    <w:rsid w:val="00B06245"/>
    <w:rsid w:val="00B071AB"/>
    <w:rsid w:val="00B131AB"/>
    <w:rsid w:val="00B14AB6"/>
    <w:rsid w:val="00B14FCF"/>
    <w:rsid w:val="00B17CD2"/>
    <w:rsid w:val="00B20432"/>
    <w:rsid w:val="00B20CE5"/>
    <w:rsid w:val="00B215C0"/>
    <w:rsid w:val="00B2165C"/>
    <w:rsid w:val="00B21975"/>
    <w:rsid w:val="00B22494"/>
    <w:rsid w:val="00B22BCD"/>
    <w:rsid w:val="00B24B32"/>
    <w:rsid w:val="00B251BF"/>
    <w:rsid w:val="00B25599"/>
    <w:rsid w:val="00B257AD"/>
    <w:rsid w:val="00B260AE"/>
    <w:rsid w:val="00B262DC"/>
    <w:rsid w:val="00B271D4"/>
    <w:rsid w:val="00B27610"/>
    <w:rsid w:val="00B276DE"/>
    <w:rsid w:val="00B27D5C"/>
    <w:rsid w:val="00B343AF"/>
    <w:rsid w:val="00B34467"/>
    <w:rsid w:val="00B36823"/>
    <w:rsid w:val="00B37779"/>
    <w:rsid w:val="00B37CCC"/>
    <w:rsid w:val="00B37E87"/>
    <w:rsid w:val="00B42841"/>
    <w:rsid w:val="00B42F3B"/>
    <w:rsid w:val="00B43B08"/>
    <w:rsid w:val="00B43EED"/>
    <w:rsid w:val="00B44A5B"/>
    <w:rsid w:val="00B45251"/>
    <w:rsid w:val="00B45376"/>
    <w:rsid w:val="00B45BF8"/>
    <w:rsid w:val="00B467BB"/>
    <w:rsid w:val="00B467D7"/>
    <w:rsid w:val="00B5099B"/>
    <w:rsid w:val="00B50DF5"/>
    <w:rsid w:val="00B510A5"/>
    <w:rsid w:val="00B515D5"/>
    <w:rsid w:val="00B53DA6"/>
    <w:rsid w:val="00B54306"/>
    <w:rsid w:val="00B543E7"/>
    <w:rsid w:val="00B5458D"/>
    <w:rsid w:val="00B54C81"/>
    <w:rsid w:val="00B56557"/>
    <w:rsid w:val="00B56AF8"/>
    <w:rsid w:val="00B61A1C"/>
    <w:rsid w:val="00B61CEF"/>
    <w:rsid w:val="00B624B2"/>
    <w:rsid w:val="00B63A5A"/>
    <w:rsid w:val="00B63E44"/>
    <w:rsid w:val="00B64730"/>
    <w:rsid w:val="00B64BB4"/>
    <w:rsid w:val="00B6540B"/>
    <w:rsid w:val="00B66D36"/>
    <w:rsid w:val="00B67497"/>
    <w:rsid w:val="00B6768E"/>
    <w:rsid w:val="00B67699"/>
    <w:rsid w:val="00B67D13"/>
    <w:rsid w:val="00B725D9"/>
    <w:rsid w:val="00B72B5A"/>
    <w:rsid w:val="00B73BB2"/>
    <w:rsid w:val="00B746D7"/>
    <w:rsid w:val="00B74872"/>
    <w:rsid w:val="00B76EA4"/>
    <w:rsid w:val="00B77500"/>
    <w:rsid w:val="00B805A1"/>
    <w:rsid w:val="00B8281A"/>
    <w:rsid w:val="00B8393F"/>
    <w:rsid w:val="00B83E2F"/>
    <w:rsid w:val="00B84EDF"/>
    <w:rsid w:val="00B8733A"/>
    <w:rsid w:val="00B87BA5"/>
    <w:rsid w:val="00B91974"/>
    <w:rsid w:val="00B91C3A"/>
    <w:rsid w:val="00B92362"/>
    <w:rsid w:val="00B926C5"/>
    <w:rsid w:val="00B92EE8"/>
    <w:rsid w:val="00B93728"/>
    <w:rsid w:val="00B94164"/>
    <w:rsid w:val="00B94912"/>
    <w:rsid w:val="00B94A6B"/>
    <w:rsid w:val="00B94AB5"/>
    <w:rsid w:val="00B96FAA"/>
    <w:rsid w:val="00B97E28"/>
    <w:rsid w:val="00BA1C65"/>
    <w:rsid w:val="00BA24D8"/>
    <w:rsid w:val="00BA29E8"/>
    <w:rsid w:val="00BA2A6E"/>
    <w:rsid w:val="00BA3EF6"/>
    <w:rsid w:val="00BA4DFB"/>
    <w:rsid w:val="00BB0DE3"/>
    <w:rsid w:val="00BB0EDD"/>
    <w:rsid w:val="00BB13FD"/>
    <w:rsid w:val="00BB28D0"/>
    <w:rsid w:val="00BB5A6E"/>
    <w:rsid w:val="00BB6C85"/>
    <w:rsid w:val="00BB7514"/>
    <w:rsid w:val="00BB7647"/>
    <w:rsid w:val="00BC0BBA"/>
    <w:rsid w:val="00BC1D17"/>
    <w:rsid w:val="00BC2183"/>
    <w:rsid w:val="00BC2198"/>
    <w:rsid w:val="00BC2EBE"/>
    <w:rsid w:val="00BC358F"/>
    <w:rsid w:val="00BC4118"/>
    <w:rsid w:val="00BC4FCC"/>
    <w:rsid w:val="00BC5D29"/>
    <w:rsid w:val="00BC5F3B"/>
    <w:rsid w:val="00BC667C"/>
    <w:rsid w:val="00BC6C1C"/>
    <w:rsid w:val="00BC758C"/>
    <w:rsid w:val="00BC794E"/>
    <w:rsid w:val="00BD00E0"/>
    <w:rsid w:val="00BD065E"/>
    <w:rsid w:val="00BD07CE"/>
    <w:rsid w:val="00BD0B58"/>
    <w:rsid w:val="00BD3C19"/>
    <w:rsid w:val="00BD6484"/>
    <w:rsid w:val="00BD683B"/>
    <w:rsid w:val="00BD6C2F"/>
    <w:rsid w:val="00BD6DD4"/>
    <w:rsid w:val="00BE0C1E"/>
    <w:rsid w:val="00BE13E6"/>
    <w:rsid w:val="00BE2DB7"/>
    <w:rsid w:val="00BE3440"/>
    <w:rsid w:val="00BE34B1"/>
    <w:rsid w:val="00BE3CBD"/>
    <w:rsid w:val="00BE4A4B"/>
    <w:rsid w:val="00BE4C9C"/>
    <w:rsid w:val="00BE5269"/>
    <w:rsid w:val="00BE5443"/>
    <w:rsid w:val="00BE5662"/>
    <w:rsid w:val="00BE722C"/>
    <w:rsid w:val="00BE75B1"/>
    <w:rsid w:val="00BE7A12"/>
    <w:rsid w:val="00BE7EB0"/>
    <w:rsid w:val="00BF0F25"/>
    <w:rsid w:val="00BF1A2B"/>
    <w:rsid w:val="00BF2542"/>
    <w:rsid w:val="00BF2613"/>
    <w:rsid w:val="00BF4596"/>
    <w:rsid w:val="00BF7405"/>
    <w:rsid w:val="00BF75FE"/>
    <w:rsid w:val="00C0044C"/>
    <w:rsid w:val="00C030A8"/>
    <w:rsid w:val="00C0463E"/>
    <w:rsid w:val="00C0533D"/>
    <w:rsid w:val="00C104D7"/>
    <w:rsid w:val="00C108E4"/>
    <w:rsid w:val="00C133FF"/>
    <w:rsid w:val="00C136D1"/>
    <w:rsid w:val="00C1460C"/>
    <w:rsid w:val="00C1524D"/>
    <w:rsid w:val="00C16428"/>
    <w:rsid w:val="00C167CC"/>
    <w:rsid w:val="00C16A4A"/>
    <w:rsid w:val="00C178B5"/>
    <w:rsid w:val="00C218DB"/>
    <w:rsid w:val="00C224AC"/>
    <w:rsid w:val="00C23121"/>
    <w:rsid w:val="00C2439A"/>
    <w:rsid w:val="00C25234"/>
    <w:rsid w:val="00C2540C"/>
    <w:rsid w:val="00C265B0"/>
    <w:rsid w:val="00C270C5"/>
    <w:rsid w:val="00C27542"/>
    <w:rsid w:val="00C300C0"/>
    <w:rsid w:val="00C3079E"/>
    <w:rsid w:val="00C3081F"/>
    <w:rsid w:val="00C30CC8"/>
    <w:rsid w:val="00C31681"/>
    <w:rsid w:val="00C32873"/>
    <w:rsid w:val="00C35B0D"/>
    <w:rsid w:val="00C361B9"/>
    <w:rsid w:val="00C36371"/>
    <w:rsid w:val="00C36D32"/>
    <w:rsid w:val="00C37255"/>
    <w:rsid w:val="00C3751F"/>
    <w:rsid w:val="00C405EF"/>
    <w:rsid w:val="00C40859"/>
    <w:rsid w:val="00C41ED8"/>
    <w:rsid w:val="00C420DA"/>
    <w:rsid w:val="00C421CD"/>
    <w:rsid w:val="00C42F34"/>
    <w:rsid w:val="00C43AC8"/>
    <w:rsid w:val="00C45138"/>
    <w:rsid w:val="00C4538F"/>
    <w:rsid w:val="00C45E79"/>
    <w:rsid w:val="00C46E8A"/>
    <w:rsid w:val="00C4734D"/>
    <w:rsid w:val="00C47B7F"/>
    <w:rsid w:val="00C50218"/>
    <w:rsid w:val="00C50589"/>
    <w:rsid w:val="00C50A76"/>
    <w:rsid w:val="00C50AA7"/>
    <w:rsid w:val="00C50D1B"/>
    <w:rsid w:val="00C55D4F"/>
    <w:rsid w:val="00C563E1"/>
    <w:rsid w:val="00C57A34"/>
    <w:rsid w:val="00C60576"/>
    <w:rsid w:val="00C611BC"/>
    <w:rsid w:val="00C61251"/>
    <w:rsid w:val="00C62687"/>
    <w:rsid w:val="00C629DC"/>
    <w:rsid w:val="00C62F08"/>
    <w:rsid w:val="00C63F8B"/>
    <w:rsid w:val="00C643D3"/>
    <w:rsid w:val="00C65E53"/>
    <w:rsid w:val="00C66016"/>
    <w:rsid w:val="00C66463"/>
    <w:rsid w:val="00C667A2"/>
    <w:rsid w:val="00C66FC6"/>
    <w:rsid w:val="00C71186"/>
    <w:rsid w:val="00C723DD"/>
    <w:rsid w:val="00C72D40"/>
    <w:rsid w:val="00C7333E"/>
    <w:rsid w:val="00C73F65"/>
    <w:rsid w:val="00C741C4"/>
    <w:rsid w:val="00C746E6"/>
    <w:rsid w:val="00C754A5"/>
    <w:rsid w:val="00C7558F"/>
    <w:rsid w:val="00C77D9A"/>
    <w:rsid w:val="00C80952"/>
    <w:rsid w:val="00C80F36"/>
    <w:rsid w:val="00C83EF9"/>
    <w:rsid w:val="00C841EC"/>
    <w:rsid w:val="00C8427D"/>
    <w:rsid w:val="00C84933"/>
    <w:rsid w:val="00C85080"/>
    <w:rsid w:val="00C85513"/>
    <w:rsid w:val="00C85BF8"/>
    <w:rsid w:val="00C86378"/>
    <w:rsid w:val="00C867C0"/>
    <w:rsid w:val="00C868BE"/>
    <w:rsid w:val="00C877FA"/>
    <w:rsid w:val="00C87AC5"/>
    <w:rsid w:val="00C87C85"/>
    <w:rsid w:val="00C90D0D"/>
    <w:rsid w:val="00C9119A"/>
    <w:rsid w:val="00C911B8"/>
    <w:rsid w:val="00C91CD4"/>
    <w:rsid w:val="00C92A72"/>
    <w:rsid w:val="00C92C66"/>
    <w:rsid w:val="00C93074"/>
    <w:rsid w:val="00C93C6A"/>
    <w:rsid w:val="00C95841"/>
    <w:rsid w:val="00C97867"/>
    <w:rsid w:val="00CA126D"/>
    <w:rsid w:val="00CA1B78"/>
    <w:rsid w:val="00CA21C0"/>
    <w:rsid w:val="00CA2264"/>
    <w:rsid w:val="00CA3962"/>
    <w:rsid w:val="00CA50EF"/>
    <w:rsid w:val="00CA5266"/>
    <w:rsid w:val="00CA6C3D"/>
    <w:rsid w:val="00CB0056"/>
    <w:rsid w:val="00CB25E7"/>
    <w:rsid w:val="00CB2799"/>
    <w:rsid w:val="00CB2916"/>
    <w:rsid w:val="00CB4429"/>
    <w:rsid w:val="00CB560A"/>
    <w:rsid w:val="00CB6BB3"/>
    <w:rsid w:val="00CC08A4"/>
    <w:rsid w:val="00CC0C34"/>
    <w:rsid w:val="00CC13AB"/>
    <w:rsid w:val="00CC1AE6"/>
    <w:rsid w:val="00CC2562"/>
    <w:rsid w:val="00CC4AD9"/>
    <w:rsid w:val="00CC4E30"/>
    <w:rsid w:val="00CC52BC"/>
    <w:rsid w:val="00CC5F40"/>
    <w:rsid w:val="00CC605E"/>
    <w:rsid w:val="00CC72C8"/>
    <w:rsid w:val="00CC7D0A"/>
    <w:rsid w:val="00CC7E85"/>
    <w:rsid w:val="00CD007E"/>
    <w:rsid w:val="00CD0225"/>
    <w:rsid w:val="00CD0AEE"/>
    <w:rsid w:val="00CD10CC"/>
    <w:rsid w:val="00CD14E3"/>
    <w:rsid w:val="00CD46DE"/>
    <w:rsid w:val="00CD5163"/>
    <w:rsid w:val="00CD7C60"/>
    <w:rsid w:val="00CE09BA"/>
    <w:rsid w:val="00CE209B"/>
    <w:rsid w:val="00CE26AB"/>
    <w:rsid w:val="00CE3F55"/>
    <w:rsid w:val="00CE4BCD"/>
    <w:rsid w:val="00CE6A4A"/>
    <w:rsid w:val="00CE6B85"/>
    <w:rsid w:val="00CE736A"/>
    <w:rsid w:val="00CF0137"/>
    <w:rsid w:val="00CF0D02"/>
    <w:rsid w:val="00CF1F63"/>
    <w:rsid w:val="00CF2984"/>
    <w:rsid w:val="00CF4080"/>
    <w:rsid w:val="00CF46BC"/>
    <w:rsid w:val="00CF4FB5"/>
    <w:rsid w:val="00CF6042"/>
    <w:rsid w:val="00CF699C"/>
    <w:rsid w:val="00CF6E9D"/>
    <w:rsid w:val="00CF704D"/>
    <w:rsid w:val="00CF70CC"/>
    <w:rsid w:val="00CF7B7F"/>
    <w:rsid w:val="00D01128"/>
    <w:rsid w:val="00D02196"/>
    <w:rsid w:val="00D02BD8"/>
    <w:rsid w:val="00D04116"/>
    <w:rsid w:val="00D04E5F"/>
    <w:rsid w:val="00D059B2"/>
    <w:rsid w:val="00D0600C"/>
    <w:rsid w:val="00D06033"/>
    <w:rsid w:val="00D0628D"/>
    <w:rsid w:val="00D0653F"/>
    <w:rsid w:val="00D06FF8"/>
    <w:rsid w:val="00D074DF"/>
    <w:rsid w:val="00D0760D"/>
    <w:rsid w:val="00D07B7F"/>
    <w:rsid w:val="00D11482"/>
    <w:rsid w:val="00D1270D"/>
    <w:rsid w:val="00D14043"/>
    <w:rsid w:val="00D149AC"/>
    <w:rsid w:val="00D157B0"/>
    <w:rsid w:val="00D15999"/>
    <w:rsid w:val="00D15EEC"/>
    <w:rsid w:val="00D165C9"/>
    <w:rsid w:val="00D17A75"/>
    <w:rsid w:val="00D17FB9"/>
    <w:rsid w:val="00D2039D"/>
    <w:rsid w:val="00D20A32"/>
    <w:rsid w:val="00D210DE"/>
    <w:rsid w:val="00D21CB2"/>
    <w:rsid w:val="00D223C8"/>
    <w:rsid w:val="00D228A9"/>
    <w:rsid w:val="00D23868"/>
    <w:rsid w:val="00D23FB0"/>
    <w:rsid w:val="00D2613F"/>
    <w:rsid w:val="00D26E38"/>
    <w:rsid w:val="00D271AB"/>
    <w:rsid w:val="00D2721E"/>
    <w:rsid w:val="00D27319"/>
    <w:rsid w:val="00D27DA3"/>
    <w:rsid w:val="00D30051"/>
    <w:rsid w:val="00D310FB"/>
    <w:rsid w:val="00D31791"/>
    <w:rsid w:val="00D326E1"/>
    <w:rsid w:val="00D333F6"/>
    <w:rsid w:val="00D34A4E"/>
    <w:rsid w:val="00D34F1C"/>
    <w:rsid w:val="00D35064"/>
    <w:rsid w:val="00D35915"/>
    <w:rsid w:val="00D3668F"/>
    <w:rsid w:val="00D36C01"/>
    <w:rsid w:val="00D378C7"/>
    <w:rsid w:val="00D37D34"/>
    <w:rsid w:val="00D41373"/>
    <w:rsid w:val="00D41B16"/>
    <w:rsid w:val="00D42E13"/>
    <w:rsid w:val="00D42E3C"/>
    <w:rsid w:val="00D44212"/>
    <w:rsid w:val="00D44699"/>
    <w:rsid w:val="00D44B41"/>
    <w:rsid w:val="00D44D0C"/>
    <w:rsid w:val="00D44DF8"/>
    <w:rsid w:val="00D450D2"/>
    <w:rsid w:val="00D45DCF"/>
    <w:rsid w:val="00D46794"/>
    <w:rsid w:val="00D46B35"/>
    <w:rsid w:val="00D46E34"/>
    <w:rsid w:val="00D508BD"/>
    <w:rsid w:val="00D50C1B"/>
    <w:rsid w:val="00D51231"/>
    <w:rsid w:val="00D512B5"/>
    <w:rsid w:val="00D51615"/>
    <w:rsid w:val="00D517AB"/>
    <w:rsid w:val="00D520DF"/>
    <w:rsid w:val="00D5216F"/>
    <w:rsid w:val="00D52F67"/>
    <w:rsid w:val="00D536A2"/>
    <w:rsid w:val="00D54440"/>
    <w:rsid w:val="00D544B0"/>
    <w:rsid w:val="00D557A3"/>
    <w:rsid w:val="00D55E3A"/>
    <w:rsid w:val="00D56614"/>
    <w:rsid w:val="00D57053"/>
    <w:rsid w:val="00D57649"/>
    <w:rsid w:val="00D5784F"/>
    <w:rsid w:val="00D60A6D"/>
    <w:rsid w:val="00D60C6A"/>
    <w:rsid w:val="00D60F5B"/>
    <w:rsid w:val="00D637FA"/>
    <w:rsid w:val="00D64FAE"/>
    <w:rsid w:val="00D64FBD"/>
    <w:rsid w:val="00D659CF"/>
    <w:rsid w:val="00D65BD2"/>
    <w:rsid w:val="00D65FA9"/>
    <w:rsid w:val="00D6782F"/>
    <w:rsid w:val="00D678EB"/>
    <w:rsid w:val="00D70184"/>
    <w:rsid w:val="00D710FC"/>
    <w:rsid w:val="00D71525"/>
    <w:rsid w:val="00D715EB"/>
    <w:rsid w:val="00D71A6C"/>
    <w:rsid w:val="00D74D08"/>
    <w:rsid w:val="00D75F7C"/>
    <w:rsid w:val="00D764B5"/>
    <w:rsid w:val="00D77132"/>
    <w:rsid w:val="00D8144E"/>
    <w:rsid w:val="00D815A9"/>
    <w:rsid w:val="00D8209D"/>
    <w:rsid w:val="00D824E5"/>
    <w:rsid w:val="00D827E9"/>
    <w:rsid w:val="00D83CFA"/>
    <w:rsid w:val="00D83D69"/>
    <w:rsid w:val="00D842CD"/>
    <w:rsid w:val="00D856C1"/>
    <w:rsid w:val="00D86DE3"/>
    <w:rsid w:val="00D87A85"/>
    <w:rsid w:val="00D909F9"/>
    <w:rsid w:val="00D90BCC"/>
    <w:rsid w:val="00D90F6D"/>
    <w:rsid w:val="00D91613"/>
    <w:rsid w:val="00D91CB6"/>
    <w:rsid w:val="00D92260"/>
    <w:rsid w:val="00D939B9"/>
    <w:rsid w:val="00D93F31"/>
    <w:rsid w:val="00D960E3"/>
    <w:rsid w:val="00D96FF0"/>
    <w:rsid w:val="00D977E2"/>
    <w:rsid w:val="00D978F0"/>
    <w:rsid w:val="00DA0679"/>
    <w:rsid w:val="00DA082A"/>
    <w:rsid w:val="00DA0CB5"/>
    <w:rsid w:val="00DA21B0"/>
    <w:rsid w:val="00DA2359"/>
    <w:rsid w:val="00DA2847"/>
    <w:rsid w:val="00DA2B50"/>
    <w:rsid w:val="00DA3433"/>
    <w:rsid w:val="00DA38C7"/>
    <w:rsid w:val="00DA4695"/>
    <w:rsid w:val="00DA6B61"/>
    <w:rsid w:val="00DA7499"/>
    <w:rsid w:val="00DA7D99"/>
    <w:rsid w:val="00DA7F59"/>
    <w:rsid w:val="00DB0CE8"/>
    <w:rsid w:val="00DB0EDA"/>
    <w:rsid w:val="00DB0F65"/>
    <w:rsid w:val="00DB0FAF"/>
    <w:rsid w:val="00DB2C43"/>
    <w:rsid w:val="00DB343F"/>
    <w:rsid w:val="00DB369A"/>
    <w:rsid w:val="00DB3B2B"/>
    <w:rsid w:val="00DB4E18"/>
    <w:rsid w:val="00DB52FF"/>
    <w:rsid w:val="00DB6612"/>
    <w:rsid w:val="00DB6977"/>
    <w:rsid w:val="00DB6DBD"/>
    <w:rsid w:val="00DB6DE3"/>
    <w:rsid w:val="00DB7135"/>
    <w:rsid w:val="00DB743B"/>
    <w:rsid w:val="00DB76AC"/>
    <w:rsid w:val="00DB7D54"/>
    <w:rsid w:val="00DC09C0"/>
    <w:rsid w:val="00DC0A9F"/>
    <w:rsid w:val="00DC2503"/>
    <w:rsid w:val="00DC262D"/>
    <w:rsid w:val="00DC3279"/>
    <w:rsid w:val="00DC3E33"/>
    <w:rsid w:val="00DC3E3C"/>
    <w:rsid w:val="00DC3E7A"/>
    <w:rsid w:val="00DC4892"/>
    <w:rsid w:val="00DC49F4"/>
    <w:rsid w:val="00DC5245"/>
    <w:rsid w:val="00DC5436"/>
    <w:rsid w:val="00DC6511"/>
    <w:rsid w:val="00DC69B3"/>
    <w:rsid w:val="00DD046F"/>
    <w:rsid w:val="00DD080B"/>
    <w:rsid w:val="00DD0993"/>
    <w:rsid w:val="00DD16C5"/>
    <w:rsid w:val="00DD18E5"/>
    <w:rsid w:val="00DD2418"/>
    <w:rsid w:val="00DD3F7F"/>
    <w:rsid w:val="00DD4FEA"/>
    <w:rsid w:val="00DD5075"/>
    <w:rsid w:val="00DD69AF"/>
    <w:rsid w:val="00DE09F0"/>
    <w:rsid w:val="00DE0F57"/>
    <w:rsid w:val="00DE2626"/>
    <w:rsid w:val="00DE2C6C"/>
    <w:rsid w:val="00DE4BA8"/>
    <w:rsid w:val="00DE4F0B"/>
    <w:rsid w:val="00DE57DD"/>
    <w:rsid w:val="00DE6AB7"/>
    <w:rsid w:val="00DF009E"/>
    <w:rsid w:val="00DF4678"/>
    <w:rsid w:val="00DF4A21"/>
    <w:rsid w:val="00DF623E"/>
    <w:rsid w:val="00DF7386"/>
    <w:rsid w:val="00DF7527"/>
    <w:rsid w:val="00E0123B"/>
    <w:rsid w:val="00E01F7E"/>
    <w:rsid w:val="00E02C5D"/>
    <w:rsid w:val="00E03385"/>
    <w:rsid w:val="00E0376E"/>
    <w:rsid w:val="00E03B31"/>
    <w:rsid w:val="00E03C22"/>
    <w:rsid w:val="00E045D5"/>
    <w:rsid w:val="00E04738"/>
    <w:rsid w:val="00E04AC1"/>
    <w:rsid w:val="00E06ADA"/>
    <w:rsid w:val="00E06CE1"/>
    <w:rsid w:val="00E06FB5"/>
    <w:rsid w:val="00E073F9"/>
    <w:rsid w:val="00E07932"/>
    <w:rsid w:val="00E07D08"/>
    <w:rsid w:val="00E10032"/>
    <w:rsid w:val="00E10838"/>
    <w:rsid w:val="00E12932"/>
    <w:rsid w:val="00E1297B"/>
    <w:rsid w:val="00E13EE2"/>
    <w:rsid w:val="00E16B12"/>
    <w:rsid w:val="00E16F28"/>
    <w:rsid w:val="00E17861"/>
    <w:rsid w:val="00E202FA"/>
    <w:rsid w:val="00E20589"/>
    <w:rsid w:val="00E20774"/>
    <w:rsid w:val="00E22B87"/>
    <w:rsid w:val="00E235E7"/>
    <w:rsid w:val="00E23AF9"/>
    <w:rsid w:val="00E23C55"/>
    <w:rsid w:val="00E240C5"/>
    <w:rsid w:val="00E242D4"/>
    <w:rsid w:val="00E24C80"/>
    <w:rsid w:val="00E2786D"/>
    <w:rsid w:val="00E27DB3"/>
    <w:rsid w:val="00E27EF0"/>
    <w:rsid w:val="00E3204D"/>
    <w:rsid w:val="00E339D1"/>
    <w:rsid w:val="00E37C0E"/>
    <w:rsid w:val="00E37EE1"/>
    <w:rsid w:val="00E4011F"/>
    <w:rsid w:val="00E4137E"/>
    <w:rsid w:val="00E43332"/>
    <w:rsid w:val="00E43843"/>
    <w:rsid w:val="00E4394C"/>
    <w:rsid w:val="00E445CB"/>
    <w:rsid w:val="00E44627"/>
    <w:rsid w:val="00E44B83"/>
    <w:rsid w:val="00E45900"/>
    <w:rsid w:val="00E501AC"/>
    <w:rsid w:val="00E5057B"/>
    <w:rsid w:val="00E510BD"/>
    <w:rsid w:val="00E52C84"/>
    <w:rsid w:val="00E52EC5"/>
    <w:rsid w:val="00E55071"/>
    <w:rsid w:val="00E55459"/>
    <w:rsid w:val="00E55C22"/>
    <w:rsid w:val="00E568AB"/>
    <w:rsid w:val="00E569B1"/>
    <w:rsid w:val="00E601D8"/>
    <w:rsid w:val="00E60333"/>
    <w:rsid w:val="00E609A8"/>
    <w:rsid w:val="00E60B04"/>
    <w:rsid w:val="00E617C1"/>
    <w:rsid w:val="00E63D65"/>
    <w:rsid w:val="00E64B8D"/>
    <w:rsid w:val="00E651D2"/>
    <w:rsid w:val="00E65C09"/>
    <w:rsid w:val="00E66F5C"/>
    <w:rsid w:val="00E66FB4"/>
    <w:rsid w:val="00E70089"/>
    <w:rsid w:val="00E701F9"/>
    <w:rsid w:val="00E706B1"/>
    <w:rsid w:val="00E71859"/>
    <w:rsid w:val="00E71B80"/>
    <w:rsid w:val="00E71E89"/>
    <w:rsid w:val="00E723F9"/>
    <w:rsid w:val="00E74F0B"/>
    <w:rsid w:val="00E75331"/>
    <w:rsid w:val="00E77D9A"/>
    <w:rsid w:val="00E80E1D"/>
    <w:rsid w:val="00E81376"/>
    <w:rsid w:val="00E81875"/>
    <w:rsid w:val="00E818A9"/>
    <w:rsid w:val="00E821F3"/>
    <w:rsid w:val="00E82405"/>
    <w:rsid w:val="00E82D89"/>
    <w:rsid w:val="00E83B17"/>
    <w:rsid w:val="00E84313"/>
    <w:rsid w:val="00E84F4F"/>
    <w:rsid w:val="00E85660"/>
    <w:rsid w:val="00E85750"/>
    <w:rsid w:val="00E87A36"/>
    <w:rsid w:val="00E925B3"/>
    <w:rsid w:val="00E94915"/>
    <w:rsid w:val="00E959FB"/>
    <w:rsid w:val="00E967A2"/>
    <w:rsid w:val="00E9680E"/>
    <w:rsid w:val="00E974B3"/>
    <w:rsid w:val="00EA05AB"/>
    <w:rsid w:val="00EA1A26"/>
    <w:rsid w:val="00EA24E4"/>
    <w:rsid w:val="00EA29F2"/>
    <w:rsid w:val="00EA406C"/>
    <w:rsid w:val="00EA6284"/>
    <w:rsid w:val="00EA6B5B"/>
    <w:rsid w:val="00EA6C1F"/>
    <w:rsid w:val="00EA70CE"/>
    <w:rsid w:val="00EA75A5"/>
    <w:rsid w:val="00EA78B9"/>
    <w:rsid w:val="00EA7907"/>
    <w:rsid w:val="00EB0D55"/>
    <w:rsid w:val="00EB20B6"/>
    <w:rsid w:val="00EB2FEF"/>
    <w:rsid w:val="00EB3307"/>
    <w:rsid w:val="00EB6990"/>
    <w:rsid w:val="00EB73FB"/>
    <w:rsid w:val="00EC20AE"/>
    <w:rsid w:val="00EC21FD"/>
    <w:rsid w:val="00EC2897"/>
    <w:rsid w:val="00EC2C1F"/>
    <w:rsid w:val="00EC2C74"/>
    <w:rsid w:val="00EC3578"/>
    <w:rsid w:val="00EC37F3"/>
    <w:rsid w:val="00EC542E"/>
    <w:rsid w:val="00EC5F1E"/>
    <w:rsid w:val="00EC5F41"/>
    <w:rsid w:val="00EC6677"/>
    <w:rsid w:val="00EC7623"/>
    <w:rsid w:val="00EC7763"/>
    <w:rsid w:val="00ED11DC"/>
    <w:rsid w:val="00ED30A3"/>
    <w:rsid w:val="00ED59CF"/>
    <w:rsid w:val="00ED61DB"/>
    <w:rsid w:val="00ED62BA"/>
    <w:rsid w:val="00EE0AB4"/>
    <w:rsid w:val="00EE0B98"/>
    <w:rsid w:val="00EE114C"/>
    <w:rsid w:val="00EE18F5"/>
    <w:rsid w:val="00EE1945"/>
    <w:rsid w:val="00EE1BC5"/>
    <w:rsid w:val="00EE3E56"/>
    <w:rsid w:val="00EE4210"/>
    <w:rsid w:val="00EE43D7"/>
    <w:rsid w:val="00EE44BC"/>
    <w:rsid w:val="00EE5008"/>
    <w:rsid w:val="00EE5360"/>
    <w:rsid w:val="00EE54C6"/>
    <w:rsid w:val="00EE5DAE"/>
    <w:rsid w:val="00EE6150"/>
    <w:rsid w:val="00EE69E3"/>
    <w:rsid w:val="00EE7A3B"/>
    <w:rsid w:val="00EF0615"/>
    <w:rsid w:val="00EF0EDA"/>
    <w:rsid w:val="00EF13FA"/>
    <w:rsid w:val="00EF1D59"/>
    <w:rsid w:val="00EF27C9"/>
    <w:rsid w:val="00EF5A1A"/>
    <w:rsid w:val="00EF5BA7"/>
    <w:rsid w:val="00EF5CAB"/>
    <w:rsid w:val="00EF6971"/>
    <w:rsid w:val="00EF6C5F"/>
    <w:rsid w:val="00EF715E"/>
    <w:rsid w:val="00EF7CB9"/>
    <w:rsid w:val="00F004BF"/>
    <w:rsid w:val="00F00F45"/>
    <w:rsid w:val="00F01ECE"/>
    <w:rsid w:val="00F0204A"/>
    <w:rsid w:val="00F0215E"/>
    <w:rsid w:val="00F02764"/>
    <w:rsid w:val="00F0291C"/>
    <w:rsid w:val="00F03268"/>
    <w:rsid w:val="00F04C69"/>
    <w:rsid w:val="00F07207"/>
    <w:rsid w:val="00F07602"/>
    <w:rsid w:val="00F10C66"/>
    <w:rsid w:val="00F10E23"/>
    <w:rsid w:val="00F10F5B"/>
    <w:rsid w:val="00F1155C"/>
    <w:rsid w:val="00F11A6D"/>
    <w:rsid w:val="00F120C5"/>
    <w:rsid w:val="00F122A6"/>
    <w:rsid w:val="00F12DA6"/>
    <w:rsid w:val="00F1410D"/>
    <w:rsid w:val="00F1480A"/>
    <w:rsid w:val="00F14A44"/>
    <w:rsid w:val="00F1523A"/>
    <w:rsid w:val="00F170BC"/>
    <w:rsid w:val="00F17835"/>
    <w:rsid w:val="00F20E46"/>
    <w:rsid w:val="00F21325"/>
    <w:rsid w:val="00F21352"/>
    <w:rsid w:val="00F21BE2"/>
    <w:rsid w:val="00F227F2"/>
    <w:rsid w:val="00F22B25"/>
    <w:rsid w:val="00F22CED"/>
    <w:rsid w:val="00F23425"/>
    <w:rsid w:val="00F23707"/>
    <w:rsid w:val="00F2374A"/>
    <w:rsid w:val="00F24450"/>
    <w:rsid w:val="00F250BE"/>
    <w:rsid w:val="00F26286"/>
    <w:rsid w:val="00F26AFF"/>
    <w:rsid w:val="00F27C42"/>
    <w:rsid w:val="00F31514"/>
    <w:rsid w:val="00F31A72"/>
    <w:rsid w:val="00F31A85"/>
    <w:rsid w:val="00F31E4F"/>
    <w:rsid w:val="00F31FE5"/>
    <w:rsid w:val="00F3318B"/>
    <w:rsid w:val="00F33E16"/>
    <w:rsid w:val="00F34C31"/>
    <w:rsid w:val="00F36679"/>
    <w:rsid w:val="00F37CA8"/>
    <w:rsid w:val="00F4069F"/>
    <w:rsid w:val="00F407DC"/>
    <w:rsid w:val="00F41699"/>
    <w:rsid w:val="00F41747"/>
    <w:rsid w:val="00F4174B"/>
    <w:rsid w:val="00F42110"/>
    <w:rsid w:val="00F424ED"/>
    <w:rsid w:val="00F4312A"/>
    <w:rsid w:val="00F433B9"/>
    <w:rsid w:val="00F43E6D"/>
    <w:rsid w:val="00F44869"/>
    <w:rsid w:val="00F44B0D"/>
    <w:rsid w:val="00F456A4"/>
    <w:rsid w:val="00F456BE"/>
    <w:rsid w:val="00F47000"/>
    <w:rsid w:val="00F47A3A"/>
    <w:rsid w:val="00F47ADA"/>
    <w:rsid w:val="00F501BB"/>
    <w:rsid w:val="00F5132D"/>
    <w:rsid w:val="00F513D8"/>
    <w:rsid w:val="00F51887"/>
    <w:rsid w:val="00F52528"/>
    <w:rsid w:val="00F5267D"/>
    <w:rsid w:val="00F53097"/>
    <w:rsid w:val="00F535FF"/>
    <w:rsid w:val="00F54528"/>
    <w:rsid w:val="00F5453F"/>
    <w:rsid w:val="00F546E9"/>
    <w:rsid w:val="00F547DD"/>
    <w:rsid w:val="00F54B6A"/>
    <w:rsid w:val="00F56229"/>
    <w:rsid w:val="00F56424"/>
    <w:rsid w:val="00F568E4"/>
    <w:rsid w:val="00F571FD"/>
    <w:rsid w:val="00F57255"/>
    <w:rsid w:val="00F57E94"/>
    <w:rsid w:val="00F6013D"/>
    <w:rsid w:val="00F602AA"/>
    <w:rsid w:val="00F60C16"/>
    <w:rsid w:val="00F615E8"/>
    <w:rsid w:val="00F61863"/>
    <w:rsid w:val="00F61BD6"/>
    <w:rsid w:val="00F61BE0"/>
    <w:rsid w:val="00F626CA"/>
    <w:rsid w:val="00F62E07"/>
    <w:rsid w:val="00F63581"/>
    <w:rsid w:val="00F64679"/>
    <w:rsid w:val="00F646D4"/>
    <w:rsid w:val="00F6543B"/>
    <w:rsid w:val="00F65FD2"/>
    <w:rsid w:val="00F6666C"/>
    <w:rsid w:val="00F669FF"/>
    <w:rsid w:val="00F67BB7"/>
    <w:rsid w:val="00F70E9C"/>
    <w:rsid w:val="00F71E9A"/>
    <w:rsid w:val="00F72211"/>
    <w:rsid w:val="00F7322F"/>
    <w:rsid w:val="00F73DEE"/>
    <w:rsid w:val="00F73F7C"/>
    <w:rsid w:val="00F740D9"/>
    <w:rsid w:val="00F7415F"/>
    <w:rsid w:val="00F80B59"/>
    <w:rsid w:val="00F80F2D"/>
    <w:rsid w:val="00F80FAD"/>
    <w:rsid w:val="00F82042"/>
    <w:rsid w:val="00F82C2C"/>
    <w:rsid w:val="00F82CCC"/>
    <w:rsid w:val="00F83C43"/>
    <w:rsid w:val="00F8451D"/>
    <w:rsid w:val="00F85426"/>
    <w:rsid w:val="00F856D8"/>
    <w:rsid w:val="00F85785"/>
    <w:rsid w:val="00F8592D"/>
    <w:rsid w:val="00F85F23"/>
    <w:rsid w:val="00F868E3"/>
    <w:rsid w:val="00F90DCF"/>
    <w:rsid w:val="00F91032"/>
    <w:rsid w:val="00F91BCC"/>
    <w:rsid w:val="00F91DBA"/>
    <w:rsid w:val="00F91EB7"/>
    <w:rsid w:val="00F94FD4"/>
    <w:rsid w:val="00F95582"/>
    <w:rsid w:val="00F96254"/>
    <w:rsid w:val="00F96733"/>
    <w:rsid w:val="00F96B50"/>
    <w:rsid w:val="00FA2CA6"/>
    <w:rsid w:val="00FA307D"/>
    <w:rsid w:val="00FA31BB"/>
    <w:rsid w:val="00FA3BBE"/>
    <w:rsid w:val="00FA3F94"/>
    <w:rsid w:val="00FA6219"/>
    <w:rsid w:val="00FB07A0"/>
    <w:rsid w:val="00FB2C40"/>
    <w:rsid w:val="00FB4052"/>
    <w:rsid w:val="00FB4486"/>
    <w:rsid w:val="00FB48CA"/>
    <w:rsid w:val="00FB5BC0"/>
    <w:rsid w:val="00FB6660"/>
    <w:rsid w:val="00FB7FD6"/>
    <w:rsid w:val="00FC109D"/>
    <w:rsid w:val="00FC277F"/>
    <w:rsid w:val="00FC2FBC"/>
    <w:rsid w:val="00FC32E1"/>
    <w:rsid w:val="00FC445C"/>
    <w:rsid w:val="00FC44FE"/>
    <w:rsid w:val="00FC46A3"/>
    <w:rsid w:val="00FC48FA"/>
    <w:rsid w:val="00FC57DC"/>
    <w:rsid w:val="00FC598C"/>
    <w:rsid w:val="00FC6325"/>
    <w:rsid w:val="00FC6E21"/>
    <w:rsid w:val="00FC7154"/>
    <w:rsid w:val="00FC7BC3"/>
    <w:rsid w:val="00FD0C1F"/>
    <w:rsid w:val="00FD1D87"/>
    <w:rsid w:val="00FD236D"/>
    <w:rsid w:val="00FD358B"/>
    <w:rsid w:val="00FD39A6"/>
    <w:rsid w:val="00FD3C2C"/>
    <w:rsid w:val="00FD447F"/>
    <w:rsid w:val="00FD45CE"/>
    <w:rsid w:val="00FD51C1"/>
    <w:rsid w:val="00FD6A1C"/>
    <w:rsid w:val="00FD74BA"/>
    <w:rsid w:val="00FD751F"/>
    <w:rsid w:val="00FD79C6"/>
    <w:rsid w:val="00FD7D20"/>
    <w:rsid w:val="00FE0FB5"/>
    <w:rsid w:val="00FE2235"/>
    <w:rsid w:val="00FE3C4D"/>
    <w:rsid w:val="00FE4F8B"/>
    <w:rsid w:val="00FE53C4"/>
    <w:rsid w:val="00FF15E4"/>
    <w:rsid w:val="00FF1F91"/>
    <w:rsid w:val="00FF28E9"/>
    <w:rsid w:val="00FF2F48"/>
    <w:rsid w:val="00FF4229"/>
    <w:rsid w:val="00FF6770"/>
    <w:rsid w:val="00FF6A19"/>
    <w:rsid w:val="00FF6C86"/>
    <w:rsid w:val="00FF6F0F"/>
    <w:rsid w:val="00FF74B2"/>
    <w:rsid w:val="00FF7BFB"/>
  </w:rsids>
  <m:mathPr>
    <m:mathFont m:val="Cambria Math"/>
    <m:brkBin m:val="before"/>
    <m:brkBinSub m:val="--"/>
    <m:smallFrac m:val="0"/>
    <m:dispDef/>
    <m:lMargin m:val="0"/>
    <m:rMargin m:val="0"/>
    <m:defJc m:val="left"/>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E5"/>
    <w:pPr>
      <w:widowControl w:val="0"/>
      <w:suppressLineNumbers/>
      <w:spacing w:before="120"/>
      <w:jc w:val="both"/>
    </w:pPr>
    <w:rPr>
      <w:sz w:val="24"/>
      <w:szCs w:val="24"/>
    </w:rPr>
  </w:style>
  <w:style w:type="paragraph" w:styleId="Overskrift1">
    <w:name w:val="heading 1"/>
    <w:aliases w:val="quae1,Heading 1 Char,Part,Part1,Part Title"/>
    <w:basedOn w:val="Normal"/>
    <w:next w:val="Normal"/>
    <w:qFormat/>
    <w:rsid w:val="007152E5"/>
    <w:pPr>
      <w:keepNext/>
      <w:numPr>
        <w:numId w:val="1"/>
      </w:numPr>
      <w:spacing w:before="200"/>
      <w:jc w:val="left"/>
      <w:outlineLvl w:val="0"/>
    </w:pPr>
    <w:rPr>
      <w:rFonts w:cs="Arial"/>
      <w:b/>
      <w:bCs/>
      <w:sz w:val="28"/>
      <w:szCs w:val="32"/>
    </w:rPr>
  </w:style>
  <w:style w:type="paragraph" w:styleId="Overskrift2">
    <w:name w:val="heading 2"/>
    <w:aliases w:val="quae 2,Chapter Title"/>
    <w:basedOn w:val="Normal"/>
    <w:next w:val="Normal"/>
    <w:qFormat/>
    <w:rsid w:val="007152E5"/>
    <w:pPr>
      <w:keepNext/>
      <w:numPr>
        <w:ilvl w:val="1"/>
        <w:numId w:val="1"/>
      </w:numPr>
      <w:spacing w:before="200"/>
      <w:jc w:val="left"/>
      <w:outlineLvl w:val="1"/>
    </w:pPr>
    <w:rPr>
      <w:rFonts w:cs="Arial"/>
      <w:b/>
      <w:bCs/>
      <w:iCs/>
      <w:szCs w:val="28"/>
    </w:rPr>
  </w:style>
  <w:style w:type="paragraph" w:styleId="Overskrift3">
    <w:name w:val="heading 3"/>
    <w:aliases w:val="quae3"/>
    <w:basedOn w:val="Normal"/>
    <w:next w:val="Normal"/>
    <w:qFormat/>
    <w:rsid w:val="007152E5"/>
    <w:pPr>
      <w:keepNext/>
      <w:numPr>
        <w:ilvl w:val="2"/>
        <w:numId w:val="1"/>
      </w:numPr>
      <w:spacing w:before="200"/>
      <w:jc w:val="left"/>
      <w:outlineLvl w:val="2"/>
    </w:pPr>
    <w:rPr>
      <w:rFonts w:cs="Arial"/>
      <w:b/>
      <w:bCs/>
      <w:i/>
      <w:szCs w:val="26"/>
    </w:rPr>
  </w:style>
  <w:style w:type="paragraph" w:styleId="Overskrift4">
    <w:name w:val="heading 4"/>
    <w:aliases w:val="quae4"/>
    <w:basedOn w:val="Normal"/>
    <w:next w:val="Normal"/>
    <w:qFormat/>
    <w:rsid w:val="007152E5"/>
    <w:pPr>
      <w:keepNext/>
      <w:numPr>
        <w:ilvl w:val="3"/>
        <w:numId w:val="1"/>
      </w:numPr>
      <w:spacing w:before="200"/>
      <w:jc w:val="left"/>
      <w:outlineLvl w:val="3"/>
    </w:pPr>
    <w:rPr>
      <w:bCs/>
      <w:i/>
      <w:szCs w:val="28"/>
    </w:rPr>
  </w:style>
  <w:style w:type="paragraph" w:styleId="Overskrift5">
    <w:name w:val="heading 5"/>
    <w:basedOn w:val="Normal"/>
    <w:next w:val="Normal"/>
    <w:link w:val="Overskrift5Tegn"/>
    <w:qFormat/>
    <w:rsid w:val="007152E5"/>
    <w:pPr>
      <w:keepNext/>
      <w:spacing w:line="480" w:lineRule="auto"/>
      <w:outlineLvl w:val="4"/>
    </w:pPr>
    <w:rPr>
      <w:b/>
      <w:bCs/>
      <w:lang w:val="en-NZ"/>
    </w:rPr>
  </w:style>
  <w:style w:type="paragraph" w:styleId="Overskrift6">
    <w:name w:val="heading 6"/>
    <w:basedOn w:val="Normal"/>
    <w:next w:val="Normal"/>
    <w:link w:val="Overskrift6Tegn"/>
    <w:qFormat/>
    <w:rsid w:val="007152E5"/>
    <w:pPr>
      <w:keepNext/>
      <w:spacing w:line="480" w:lineRule="auto"/>
      <w:outlineLvl w:val="5"/>
    </w:pPr>
    <w:rPr>
      <w:b/>
      <w:bCs/>
      <w:sz w:val="28"/>
      <w:lang w:val="en-NZ"/>
    </w:rPr>
  </w:style>
  <w:style w:type="paragraph" w:styleId="Overskrift7">
    <w:name w:val="heading 7"/>
    <w:basedOn w:val="Normal"/>
    <w:next w:val="Normal"/>
    <w:qFormat/>
    <w:rsid w:val="007152E5"/>
    <w:pPr>
      <w:keepNext/>
      <w:spacing w:line="480" w:lineRule="auto"/>
      <w:outlineLvl w:val="6"/>
    </w:pPr>
    <w:rPr>
      <w:i/>
      <w:iCs/>
      <w:lang w:val="en-US"/>
    </w:rPr>
  </w:style>
  <w:style w:type="paragraph" w:styleId="Overskrift8">
    <w:name w:val="heading 8"/>
    <w:basedOn w:val="Normal"/>
    <w:next w:val="Normal"/>
    <w:qFormat/>
    <w:rsid w:val="007152E5"/>
    <w:pPr>
      <w:keepNext/>
      <w:spacing w:line="480" w:lineRule="auto"/>
      <w:outlineLvl w:val="7"/>
    </w:pPr>
    <w:rPr>
      <w:b/>
      <w:bCs/>
      <w:color w:val="FF0000"/>
      <w:lang w:val="en-NZ"/>
    </w:rPr>
  </w:style>
  <w:style w:type="paragraph" w:styleId="Overskrift9">
    <w:name w:val="heading 9"/>
    <w:basedOn w:val="Normal"/>
    <w:next w:val="Normal"/>
    <w:link w:val="Overskrift9Tegn"/>
    <w:qFormat/>
    <w:rsid w:val="007152E5"/>
    <w:pPr>
      <w:keepNext/>
      <w:spacing w:line="480" w:lineRule="auto"/>
      <w:outlineLvl w:val="8"/>
    </w:pPr>
    <w:rPr>
      <w:i/>
      <w:iCs/>
      <w:sz w:val="20"/>
      <w:lang w:val="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quaepigraphe">
    <w:name w:val="quae_épigraphe"/>
    <w:basedOn w:val="Normal"/>
    <w:rsid w:val="007152E5"/>
    <w:pPr>
      <w:spacing w:after="240"/>
      <w:jc w:val="right"/>
    </w:pPr>
    <w:rPr>
      <w:i/>
      <w:iCs/>
    </w:rPr>
  </w:style>
  <w:style w:type="paragraph" w:customStyle="1" w:styleId="quaetitredivers">
    <w:name w:val="quae_titre divers"/>
    <w:basedOn w:val="Normal"/>
    <w:next w:val="Normal"/>
    <w:rsid w:val="007152E5"/>
    <w:pPr>
      <w:spacing w:after="480"/>
      <w:jc w:val="left"/>
    </w:pPr>
    <w:rPr>
      <w:b/>
      <w:sz w:val="32"/>
    </w:rPr>
  </w:style>
  <w:style w:type="character" w:styleId="Sidetal">
    <w:name w:val="page number"/>
    <w:basedOn w:val="Standardskrifttypeiafsnit"/>
    <w:semiHidden/>
    <w:rsid w:val="007152E5"/>
  </w:style>
  <w:style w:type="paragraph" w:customStyle="1" w:styleId="quaeencadr">
    <w:name w:val="quae_encadré"/>
    <w:basedOn w:val="Normal"/>
    <w:rsid w:val="007152E5"/>
    <w:pPr>
      <w:shd w:val="clear" w:color="auto" w:fill="CCCCCC"/>
    </w:pPr>
    <w:rPr>
      <w:sz w:val="20"/>
      <w:lang w:eastAsia="ar-SA"/>
    </w:rPr>
  </w:style>
  <w:style w:type="paragraph" w:customStyle="1" w:styleId="quaetitreencadr">
    <w:name w:val="quae_titre_encadré"/>
    <w:basedOn w:val="quaeencadr"/>
    <w:rsid w:val="007152E5"/>
    <w:rPr>
      <w:b/>
      <w:bCs/>
    </w:rPr>
  </w:style>
  <w:style w:type="paragraph" w:styleId="Sidefod">
    <w:name w:val="footer"/>
    <w:basedOn w:val="Normal"/>
    <w:link w:val="SidefodTegn"/>
    <w:rsid w:val="007152E5"/>
    <w:pPr>
      <w:tabs>
        <w:tab w:val="center" w:pos="4536"/>
        <w:tab w:val="right" w:pos="9072"/>
      </w:tabs>
    </w:pPr>
  </w:style>
  <w:style w:type="paragraph" w:customStyle="1" w:styleId="quaeauteurs">
    <w:name w:val="quae_auteurs"/>
    <w:basedOn w:val="Normal"/>
    <w:rsid w:val="007152E5"/>
    <w:pPr>
      <w:spacing w:after="600"/>
      <w:jc w:val="left"/>
    </w:pPr>
    <w:rPr>
      <w:i/>
    </w:rPr>
  </w:style>
  <w:style w:type="paragraph" w:customStyle="1" w:styleId="quaetitretableau">
    <w:name w:val="quae_titre_tableau"/>
    <w:basedOn w:val="Normal"/>
    <w:rsid w:val="007152E5"/>
    <w:pPr>
      <w:spacing w:before="240"/>
      <w:jc w:val="left"/>
    </w:pPr>
    <w:rPr>
      <w:sz w:val="20"/>
    </w:rPr>
  </w:style>
  <w:style w:type="paragraph" w:customStyle="1" w:styleId="quaetitrechapitre">
    <w:name w:val="quae_titre chapitre"/>
    <w:basedOn w:val="quaetitredivers"/>
    <w:next w:val="Normal"/>
    <w:rsid w:val="007152E5"/>
    <w:rPr>
      <w:sz w:val="36"/>
    </w:rPr>
  </w:style>
  <w:style w:type="paragraph" w:customStyle="1" w:styleId="quaetitrepartie">
    <w:name w:val="quae_titre partie"/>
    <w:basedOn w:val="quaetitredivers"/>
    <w:next w:val="Normal"/>
    <w:rsid w:val="007152E5"/>
    <w:rPr>
      <w:sz w:val="40"/>
    </w:rPr>
  </w:style>
  <w:style w:type="paragraph" w:customStyle="1" w:styleId="quaetitrefigure">
    <w:name w:val="quae_titre_figure"/>
    <w:basedOn w:val="quaetitretableau"/>
    <w:next w:val="Normal"/>
    <w:rsid w:val="007152E5"/>
    <w:pPr>
      <w:spacing w:before="120" w:after="240"/>
    </w:pPr>
  </w:style>
  <w:style w:type="paragraph" w:customStyle="1" w:styleId="quaenotefigure">
    <w:name w:val="quae_note_figure"/>
    <w:basedOn w:val="quaetitrefigure"/>
    <w:next w:val="Normal"/>
    <w:rsid w:val="007152E5"/>
    <w:pPr>
      <w:spacing w:before="0"/>
    </w:pPr>
  </w:style>
  <w:style w:type="paragraph" w:customStyle="1" w:styleId="quaenotetableau">
    <w:name w:val="quae_note_tableau"/>
    <w:basedOn w:val="quaetitretableau"/>
    <w:rsid w:val="007152E5"/>
    <w:pPr>
      <w:spacing w:before="120" w:after="240"/>
    </w:pPr>
  </w:style>
  <w:style w:type="paragraph" w:customStyle="1" w:styleId="quaenumration">
    <w:name w:val="quae_énumération"/>
    <w:basedOn w:val="Normal"/>
    <w:rsid w:val="007152E5"/>
    <w:pPr>
      <w:tabs>
        <w:tab w:val="num" w:pos="360"/>
      </w:tabs>
      <w:spacing w:before="0"/>
      <w:ind w:left="284" w:hanging="284"/>
    </w:pPr>
  </w:style>
  <w:style w:type="paragraph" w:customStyle="1" w:styleId="quaebiblio">
    <w:name w:val="quae_biblio"/>
    <w:basedOn w:val="Normal"/>
    <w:rsid w:val="007152E5"/>
  </w:style>
  <w:style w:type="character" w:styleId="Fodnotehenvisning">
    <w:name w:val="footnote reference"/>
    <w:aliases w:val="appel note de bas de p."/>
    <w:semiHidden/>
    <w:rsid w:val="007152E5"/>
    <w:rPr>
      <w:vertAlign w:val="superscript"/>
    </w:rPr>
  </w:style>
  <w:style w:type="paragraph" w:styleId="Fodnotetekst">
    <w:name w:val="footnote text"/>
    <w:aliases w:val="fn,footnote text"/>
    <w:basedOn w:val="Normal"/>
    <w:link w:val="FodnotetekstTegn"/>
    <w:uiPriority w:val="99"/>
    <w:semiHidden/>
    <w:rsid w:val="007152E5"/>
    <w:pPr>
      <w:widowControl/>
      <w:suppressLineNumbers w:val="0"/>
      <w:overflowPunct w:val="0"/>
      <w:autoSpaceDE w:val="0"/>
      <w:autoSpaceDN w:val="0"/>
      <w:adjustRightInd w:val="0"/>
      <w:spacing w:before="0"/>
      <w:textAlignment w:val="baseline"/>
    </w:pPr>
    <w:rPr>
      <w:sz w:val="20"/>
      <w:szCs w:val="20"/>
      <w:lang w:val="da-DK" w:eastAsia="da-DK"/>
    </w:rPr>
  </w:style>
  <w:style w:type="paragraph" w:customStyle="1" w:styleId="Textodeglobo">
    <w:name w:val="Texto de globo"/>
    <w:basedOn w:val="Normal"/>
    <w:semiHidden/>
    <w:rsid w:val="007152E5"/>
    <w:pPr>
      <w:widowControl/>
      <w:suppressLineNumbers w:val="0"/>
      <w:spacing w:before="0"/>
      <w:jc w:val="left"/>
    </w:pPr>
    <w:rPr>
      <w:rFonts w:ascii="Tahoma" w:hAnsi="Tahoma" w:cs="Tahoma"/>
      <w:sz w:val="16"/>
      <w:szCs w:val="16"/>
    </w:rPr>
  </w:style>
  <w:style w:type="paragraph" w:customStyle="1" w:styleId="BalloonText1">
    <w:name w:val="Balloon Text1"/>
    <w:basedOn w:val="Normal"/>
    <w:semiHidden/>
    <w:rsid w:val="007152E5"/>
    <w:pPr>
      <w:widowControl/>
      <w:suppressLineNumbers w:val="0"/>
      <w:spacing w:before="0"/>
      <w:jc w:val="left"/>
    </w:pPr>
    <w:rPr>
      <w:rFonts w:ascii="Tahoma" w:hAnsi="Tahoma" w:cs="Tahoma"/>
      <w:sz w:val="16"/>
      <w:szCs w:val="16"/>
    </w:rPr>
  </w:style>
  <w:style w:type="paragraph" w:customStyle="1" w:styleId="CommentSubject1">
    <w:name w:val="Comment Subject1"/>
    <w:basedOn w:val="Kommentartekst"/>
    <w:next w:val="Kommentartekst"/>
    <w:semiHidden/>
    <w:rsid w:val="007152E5"/>
    <w:rPr>
      <w:b/>
      <w:bCs/>
    </w:rPr>
  </w:style>
  <w:style w:type="paragraph" w:styleId="Kommentartekst">
    <w:name w:val="annotation text"/>
    <w:basedOn w:val="Normal"/>
    <w:link w:val="KommentartekstTegn"/>
    <w:rsid w:val="007152E5"/>
    <w:pPr>
      <w:widowControl/>
      <w:suppressLineNumbers w:val="0"/>
      <w:spacing w:before="0"/>
      <w:jc w:val="left"/>
    </w:pPr>
    <w:rPr>
      <w:sz w:val="20"/>
      <w:szCs w:val="20"/>
    </w:rPr>
  </w:style>
  <w:style w:type="character" w:styleId="Kommentarhenvisning">
    <w:name w:val="annotation reference"/>
    <w:uiPriority w:val="99"/>
    <w:semiHidden/>
    <w:rsid w:val="007152E5"/>
    <w:rPr>
      <w:sz w:val="16"/>
      <w:szCs w:val="16"/>
    </w:rPr>
  </w:style>
  <w:style w:type="character" w:styleId="Hyperlink">
    <w:name w:val="Hyperlink"/>
    <w:semiHidden/>
    <w:rsid w:val="007152E5"/>
    <w:rPr>
      <w:color w:val="0000FF"/>
      <w:u w:val="single"/>
    </w:rPr>
  </w:style>
  <w:style w:type="paragraph" w:styleId="Brdtekst">
    <w:name w:val="Body Text"/>
    <w:basedOn w:val="Normal"/>
    <w:semiHidden/>
    <w:rsid w:val="007152E5"/>
    <w:pPr>
      <w:widowControl/>
      <w:suppressLineNumbers w:val="0"/>
      <w:spacing w:before="0"/>
    </w:pPr>
    <w:rPr>
      <w:i/>
      <w:iCs/>
      <w:lang w:val="en-US"/>
    </w:rPr>
  </w:style>
  <w:style w:type="paragraph" w:styleId="Brdtekst3">
    <w:name w:val="Body Text 3"/>
    <w:basedOn w:val="Normal"/>
    <w:link w:val="Brdtekst3Tegn"/>
    <w:semiHidden/>
    <w:rsid w:val="007152E5"/>
    <w:pPr>
      <w:widowControl/>
      <w:suppressLineNumbers w:val="0"/>
      <w:spacing w:before="0"/>
    </w:pPr>
    <w:rPr>
      <w:lang w:val="en-US"/>
    </w:rPr>
  </w:style>
  <w:style w:type="character" w:styleId="Strk">
    <w:name w:val="Strong"/>
    <w:qFormat/>
    <w:rsid w:val="007152E5"/>
    <w:rPr>
      <w:b/>
      <w:bCs/>
    </w:rPr>
  </w:style>
  <w:style w:type="paragraph" w:styleId="FormateretHTML">
    <w:name w:val="HTML Preformatted"/>
    <w:basedOn w:val="Normal"/>
    <w:link w:val="FormateretHTMLTegn"/>
    <w:uiPriority w:val="99"/>
    <w:semiHidden/>
    <w:rsid w:val="007152E5"/>
    <w:pPr>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sz w:val="20"/>
      <w:szCs w:val="20"/>
    </w:rPr>
  </w:style>
  <w:style w:type="paragraph" w:styleId="Bloktekst">
    <w:name w:val="Block Text"/>
    <w:basedOn w:val="Normal"/>
    <w:semiHidden/>
    <w:rsid w:val="007152E5"/>
    <w:pPr>
      <w:widowControl/>
      <w:suppressLineNumbers w:val="0"/>
      <w:spacing w:before="0"/>
      <w:ind w:left="720" w:right="-244" w:hanging="720"/>
    </w:pPr>
    <w:rPr>
      <w:szCs w:val="20"/>
      <w:lang w:val="en-GB" w:eastAsia="en-US"/>
    </w:rPr>
  </w:style>
  <w:style w:type="paragraph" w:styleId="Billedtekst">
    <w:name w:val="caption"/>
    <w:basedOn w:val="Normal"/>
    <w:next w:val="Normal"/>
    <w:qFormat/>
    <w:rsid w:val="007152E5"/>
    <w:pPr>
      <w:widowControl/>
      <w:suppressLineNumbers w:val="0"/>
      <w:spacing w:before="0"/>
    </w:pPr>
    <w:rPr>
      <w:rFonts w:ascii="CG Times (W1)" w:hAnsi="CG Times (W1)"/>
      <w:i/>
      <w:szCs w:val="20"/>
      <w:lang w:val="en-GB" w:eastAsia="en-US"/>
    </w:rPr>
  </w:style>
  <w:style w:type="paragraph" w:styleId="Brdtekstindrykning">
    <w:name w:val="Body Text Indent"/>
    <w:basedOn w:val="Normal"/>
    <w:link w:val="BrdtekstindrykningTegn"/>
    <w:semiHidden/>
    <w:rsid w:val="007152E5"/>
    <w:pPr>
      <w:spacing w:line="480" w:lineRule="auto"/>
      <w:ind w:left="709" w:hanging="709"/>
    </w:pPr>
    <w:rPr>
      <w:lang w:val="en-NZ"/>
    </w:rPr>
  </w:style>
  <w:style w:type="character" w:styleId="Linjenummer">
    <w:name w:val="line number"/>
    <w:basedOn w:val="Standardskrifttypeiafsnit"/>
    <w:semiHidden/>
    <w:rsid w:val="007152E5"/>
  </w:style>
  <w:style w:type="paragraph" w:styleId="Brdtekst2">
    <w:name w:val="Body Text 2"/>
    <w:basedOn w:val="Normal"/>
    <w:semiHidden/>
    <w:rsid w:val="007152E5"/>
    <w:pPr>
      <w:spacing w:line="480" w:lineRule="auto"/>
    </w:pPr>
    <w:rPr>
      <w:color w:val="FF0000"/>
      <w:lang w:val="en-NZ"/>
    </w:rPr>
  </w:style>
  <w:style w:type="paragraph" w:customStyle="1" w:styleId="Default">
    <w:name w:val="Default"/>
    <w:rsid w:val="007152E5"/>
    <w:pPr>
      <w:autoSpaceDE w:val="0"/>
      <w:autoSpaceDN w:val="0"/>
      <w:adjustRightInd w:val="0"/>
    </w:pPr>
    <w:rPr>
      <w:rFonts w:ascii="Palatino Linotype" w:hAnsi="Palatino Linotype"/>
      <w:color w:val="000000"/>
      <w:sz w:val="24"/>
      <w:szCs w:val="24"/>
    </w:rPr>
  </w:style>
  <w:style w:type="character" w:styleId="BesgtHyperlink">
    <w:name w:val="FollowedHyperlink"/>
    <w:semiHidden/>
    <w:rsid w:val="007152E5"/>
    <w:rPr>
      <w:color w:val="800080"/>
      <w:u w:val="single"/>
    </w:rPr>
  </w:style>
  <w:style w:type="character" w:customStyle="1" w:styleId="StyleTitre2GrasCar">
    <w:name w:val="Style Titre 2 + Gras Car"/>
    <w:rsid w:val="007152E5"/>
    <w:rPr>
      <w:rFonts w:cs="Arial"/>
      <w:b/>
      <w:bCs/>
      <w:iCs/>
      <w:sz w:val="24"/>
      <w:szCs w:val="28"/>
      <w:lang w:val="fr-FR" w:eastAsia="fr-FR" w:bidi="ar-SA"/>
    </w:rPr>
  </w:style>
  <w:style w:type="paragraph" w:customStyle="1" w:styleId="StyleTitre3ComplexeGras">
    <w:name w:val="Style Titre 3 + (Complexe) Gras"/>
    <w:basedOn w:val="Overskrift3"/>
    <w:rsid w:val="007152E5"/>
    <w:pPr>
      <w:widowControl/>
      <w:numPr>
        <w:numId w:val="0"/>
      </w:numPr>
      <w:suppressLineNumbers w:val="0"/>
      <w:tabs>
        <w:tab w:val="num" w:pos="720"/>
      </w:tabs>
      <w:overflowPunct w:val="0"/>
      <w:autoSpaceDE w:val="0"/>
      <w:autoSpaceDN w:val="0"/>
      <w:adjustRightInd w:val="0"/>
      <w:spacing w:before="0" w:after="120"/>
      <w:ind w:left="720" w:hanging="720"/>
      <w:jc w:val="both"/>
      <w:textAlignment w:val="baseline"/>
    </w:pPr>
    <w:rPr>
      <w:rFonts w:ascii="Arial" w:hAnsi="Arial"/>
      <w:bCs w:val="0"/>
      <w:i w:val="0"/>
      <w:color w:val="000000"/>
      <w:sz w:val="18"/>
      <w:szCs w:val="20"/>
      <w:lang w:eastAsia="ja-JP"/>
    </w:rPr>
  </w:style>
  <w:style w:type="character" w:customStyle="1" w:styleId="StyleTitre3ComplexeGrasCar">
    <w:name w:val="Style Titre 3 + (Complexe) Gras Car"/>
    <w:rsid w:val="007152E5"/>
    <w:rPr>
      <w:rFonts w:ascii="Arial" w:hAnsi="Arial" w:cs="Arial"/>
      <w:b/>
      <w:color w:val="000000"/>
      <w:sz w:val="18"/>
      <w:lang w:val="fr-FR" w:eastAsia="ja-JP" w:bidi="ar-SA"/>
    </w:rPr>
  </w:style>
  <w:style w:type="paragraph" w:customStyle="1" w:styleId="Titre16">
    <w:name w:val="Titre 16"/>
    <w:basedOn w:val="Overskrift3"/>
    <w:rsid w:val="007152E5"/>
    <w:pPr>
      <w:widowControl/>
      <w:numPr>
        <w:numId w:val="0"/>
      </w:numPr>
      <w:suppressLineNumbers w:val="0"/>
      <w:tabs>
        <w:tab w:val="num" w:pos="720"/>
      </w:tabs>
      <w:overflowPunct w:val="0"/>
      <w:autoSpaceDE w:val="0"/>
      <w:autoSpaceDN w:val="0"/>
      <w:adjustRightInd w:val="0"/>
      <w:spacing w:before="0" w:after="120"/>
      <w:ind w:left="720" w:hanging="720"/>
      <w:jc w:val="both"/>
      <w:textAlignment w:val="baseline"/>
    </w:pPr>
    <w:rPr>
      <w:rFonts w:ascii="Arial" w:hAnsi="Arial"/>
      <w:b w:val="0"/>
      <w:bCs w:val="0"/>
      <w:i w:val="0"/>
      <w:color w:val="000000"/>
      <w:sz w:val="18"/>
      <w:szCs w:val="20"/>
      <w:lang w:val="en-GB" w:eastAsia="ja-JP"/>
    </w:rPr>
  </w:style>
  <w:style w:type="paragraph" w:customStyle="1" w:styleId="Textedebulles1">
    <w:name w:val="Texte de bulles1"/>
    <w:basedOn w:val="Normal"/>
    <w:semiHidden/>
    <w:unhideWhenUsed/>
    <w:rsid w:val="007152E5"/>
    <w:pPr>
      <w:spacing w:before="0"/>
    </w:pPr>
    <w:rPr>
      <w:rFonts w:ascii="Tahoma" w:hAnsi="Tahoma" w:cs="Tahoma"/>
      <w:sz w:val="16"/>
      <w:szCs w:val="16"/>
    </w:rPr>
  </w:style>
  <w:style w:type="character" w:customStyle="1" w:styleId="CharChar">
    <w:name w:val="Char Char"/>
    <w:semiHidden/>
    <w:rsid w:val="007152E5"/>
    <w:rPr>
      <w:rFonts w:ascii="Tahoma" w:hAnsi="Tahoma" w:cs="Tahoma"/>
      <w:sz w:val="16"/>
      <w:szCs w:val="16"/>
    </w:rPr>
  </w:style>
  <w:style w:type="paragraph" w:customStyle="1" w:styleId="CommentSubject2">
    <w:name w:val="Comment Subject2"/>
    <w:basedOn w:val="Kommentartekst"/>
    <w:next w:val="Kommentartekst"/>
    <w:semiHidden/>
    <w:unhideWhenUsed/>
    <w:rsid w:val="007152E5"/>
    <w:pPr>
      <w:widowControl w:val="0"/>
      <w:suppressLineNumbers/>
      <w:spacing w:before="120"/>
      <w:jc w:val="both"/>
    </w:pPr>
    <w:rPr>
      <w:b/>
      <w:bCs/>
    </w:rPr>
  </w:style>
  <w:style w:type="character" w:customStyle="1" w:styleId="CharChar1">
    <w:name w:val="Char Char1"/>
    <w:basedOn w:val="Standardskrifttypeiafsnit"/>
    <w:semiHidden/>
    <w:rsid w:val="007152E5"/>
  </w:style>
  <w:style w:type="character" w:customStyle="1" w:styleId="ObjetducommentaireCar">
    <w:name w:val="Objet du commentaire Car"/>
    <w:basedOn w:val="CharChar1"/>
    <w:rsid w:val="007152E5"/>
  </w:style>
  <w:style w:type="paragraph" w:styleId="Brdtekstindrykning2">
    <w:name w:val="Body Text Indent 2"/>
    <w:basedOn w:val="Normal"/>
    <w:semiHidden/>
    <w:rsid w:val="007152E5"/>
    <w:pPr>
      <w:spacing w:line="480" w:lineRule="auto"/>
      <w:ind w:left="357" w:hanging="357"/>
    </w:pPr>
    <w:rPr>
      <w:iCs/>
      <w:lang w:val="en-NZ"/>
    </w:rPr>
  </w:style>
  <w:style w:type="character" w:customStyle="1" w:styleId="BodyTextIndentChar">
    <w:name w:val="Body Text Indent Char"/>
    <w:rsid w:val="007152E5"/>
    <w:rPr>
      <w:sz w:val="24"/>
      <w:szCs w:val="24"/>
      <w:lang w:val="fr-FR" w:eastAsia="fr-FR"/>
    </w:rPr>
  </w:style>
  <w:style w:type="paragraph" w:styleId="Sidehoved">
    <w:name w:val="header"/>
    <w:basedOn w:val="Normal"/>
    <w:link w:val="SidehovedTegn"/>
    <w:uiPriority w:val="99"/>
    <w:rsid w:val="007152E5"/>
    <w:pPr>
      <w:widowControl/>
      <w:suppressLineNumbers w:val="0"/>
      <w:tabs>
        <w:tab w:val="center" w:pos="4513"/>
        <w:tab w:val="right" w:pos="9026"/>
      </w:tabs>
      <w:spacing w:before="0"/>
      <w:jc w:val="left"/>
    </w:pPr>
  </w:style>
  <w:style w:type="character" w:customStyle="1" w:styleId="HeaderChar">
    <w:name w:val="Header Char"/>
    <w:rsid w:val="007152E5"/>
    <w:rPr>
      <w:sz w:val="24"/>
      <w:szCs w:val="24"/>
      <w:lang w:val="fr-FR" w:eastAsia="fr-FR"/>
    </w:rPr>
  </w:style>
  <w:style w:type="character" w:customStyle="1" w:styleId="articletitle">
    <w:name w:val="articletitle"/>
    <w:basedOn w:val="Standardskrifttypeiafsnit"/>
    <w:rsid w:val="007152E5"/>
  </w:style>
  <w:style w:type="character" w:customStyle="1" w:styleId="Overskrift6Tegn">
    <w:name w:val="Overskrift 6 Tegn"/>
    <w:link w:val="Overskrift6"/>
    <w:rsid w:val="00872E21"/>
    <w:rPr>
      <w:b/>
      <w:bCs/>
      <w:sz w:val="28"/>
      <w:szCs w:val="24"/>
      <w:lang w:val="en-NZ"/>
    </w:rPr>
  </w:style>
  <w:style w:type="character" w:customStyle="1" w:styleId="Overskrift9Tegn">
    <w:name w:val="Overskrift 9 Tegn"/>
    <w:link w:val="Overskrift9"/>
    <w:rsid w:val="00872E21"/>
    <w:rPr>
      <w:i/>
      <w:iCs/>
      <w:szCs w:val="24"/>
      <w:lang w:val="nl-NL"/>
    </w:rPr>
  </w:style>
  <w:style w:type="character" w:customStyle="1" w:styleId="SidefodTegn">
    <w:name w:val="Sidefod Tegn"/>
    <w:link w:val="Sidefod"/>
    <w:rsid w:val="00872E21"/>
    <w:rPr>
      <w:sz w:val="24"/>
      <w:szCs w:val="24"/>
    </w:rPr>
  </w:style>
  <w:style w:type="character" w:customStyle="1" w:styleId="FodnotetekstTegn">
    <w:name w:val="Fodnotetekst Tegn"/>
    <w:aliases w:val="fn Tegn,footnote text Tegn"/>
    <w:link w:val="Fodnotetekst"/>
    <w:uiPriority w:val="99"/>
    <w:semiHidden/>
    <w:rsid w:val="00872E21"/>
    <w:rPr>
      <w:lang w:val="da-DK" w:eastAsia="da-DK"/>
    </w:rPr>
  </w:style>
  <w:style w:type="character" w:customStyle="1" w:styleId="Brdtekst3Tegn">
    <w:name w:val="Brødtekst 3 Tegn"/>
    <w:link w:val="Brdtekst3"/>
    <w:semiHidden/>
    <w:rsid w:val="00872E21"/>
    <w:rPr>
      <w:sz w:val="24"/>
      <w:szCs w:val="24"/>
      <w:lang w:val="en-US"/>
    </w:rPr>
  </w:style>
  <w:style w:type="character" w:customStyle="1" w:styleId="BrdtekstindrykningTegn">
    <w:name w:val="Brødtekstindrykning Tegn"/>
    <w:link w:val="Brdtekstindrykning"/>
    <w:semiHidden/>
    <w:rsid w:val="00872E21"/>
    <w:rPr>
      <w:sz w:val="24"/>
      <w:szCs w:val="24"/>
      <w:lang w:val="en-NZ"/>
    </w:rPr>
  </w:style>
  <w:style w:type="character" w:styleId="Pladsholdertekst">
    <w:name w:val="Placeholder Text"/>
    <w:basedOn w:val="Standardskrifttypeiafsnit"/>
    <w:uiPriority w:val="99"/>
    <w:semiHidden/>
    <w:rsid w:val="00DB743B"/>
    <w:rPr>
      <w:color w:val="808080"/>
    </w:rPr>
  </w:style>
  <w:style w:type="paragraph" w:styleId="Markeringsbobletekst">
    <w:name w:val="Balloon Text"/>
    <w:basedOn w:val="Normal"/>
    <w:link w:val="MarkeringsbobletekstTegn"/>
    <w:uiPriority w:val="99"/>
    <w:semiHidden/>
    <w:unhideWhenUsed/>
    <w:rsid w:val="00DB743B"/>
    <w:pPr>
      <w:spacing w:before="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43B"/>
    <w:rPr>
      <w:rFonts w:ascii="Tahoma" w:hAnsi="Tahoma" w:cs="Tahoma"/>
      <w:sz w:val="16"/>
      <w:szCs w:val="16"/>
    </w:rPr>
  </w:style>
  <w:style w:type="character" w:customStyle="1" w:styleId="KommentartekstTegn">
    <w:name w:val="Kommentartekst Tegn"/>
    <w:basedOn w:val="Standardskrifttypeiafsnit"/>
    <w:link w:val="Kommentartekst"/>
    <w:locked/>
    <w:rsid w:val="009E008D"/>
  </w:style>
  <w:style w:type="character" w:customStyle="1" w:styleId="Overskrift5Tegn">
    <w:name w:val="Overskrift 5 Tegn"/>
    <w:basedOn w:val="Standardskrifttypeiafsnit"/>
    <w:link w:val="Overskrift5"/>
    <w:rsid w:val="007F6418"/>
    <w:rPr>
      <w:b/>
      <w:bCs/>
      <w:sz w:val="24"/>
      <w:szCs w:val="24"/>
      <w:lang w:val="en-NZ"/>
    </w:rPr>
  </w:style>
  <w:style w:type="table" w:styleId="Tabel-Gitter">
    <w:name w:val="Table Grid"/>
    <w:basedOn w:val="Tabel-Normal"/>
    <w:uiPriority w:val="59"/>
    <w:rsid w:val="00F4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27319"/>
    <w:pPr>
      <w:widowControl w:val="0"/>
      <w:suppressLineNumbers/>
      <w:spacing w:before="120"/>
      <w:jc w:val="both"/>
    </w:pPr>
    <w:rPr>
      <w:b/>
      <w:bCs/>
    </w:rPr>
  </w:style>
  <w:style w:type="character" w:customStyle="1" w:styleId="KommentaremneTegn">
    <w:name w:val="Kommentaremne Tegn"/>
    <w:basedOn w:val="KommentartekstTegn"/>
    <w:link w:val="Kommentaremne"/>
    <w:uiPriority w:val="99"/>
    <w:semiHidden/>
    <w:rsid w:val="00D27319"/>
    <w:rPr>
      <w:b/>
      <w:bCs/>
    </w:rPr>
  </w:style>
  <w:style w:type="character" w:styleId="Fremhv">
    <w:name w:val="Emphasis"/>
    <w:basedOn w:val="Standardskrifttypeiafsnit"/>
    <w:uiPriority w:val="20"/>
    <w:qFormat/>
    <w:rsid w:val="00DD16C5"/>
    <w:rPr>
      <w:i/>
      <w:iCs/>
    </w:rPr>
  </w:style>
  <w:style w:type="character" w:customStyle="1" w:styleId="def2">
    <w:name w:val="def2"/>
    <w:basedOn w:val="Standardskrifttypeiafsnit"/>
    <w:rsid w:val="004551C9"/>
  </w:style>
  <w:style w:type="paragraph" w:customStyle="1" w:styleId="a3520normal">
    <w:name w:val="a___35__20_normal"/>
    <w:basedOn w:val="Normal"/>
    <w:rsid w:val="000170F2"/>
    <w:pPr>
      <w:widowControl/>
      <w:suppressLineNumbers w:val="0"/>
      <w:spacing w:before="0" w:after="120"/>
    </w:pPr>
    <w:rPr>
      <w:lang w:val="it-IT" w:eastAsia="it-IT"/>
    </w:rPr>
  </w:style>
  <w:style w:type="character" w:customStyle="1" w:styleId="at11">
    <w:name w:val="a__t11"/>
    <w:rsid w:val="000170F2"/>
    <w:rPr>
      <w:color w:val="FF0000"/>
    </w:rPr>
  </w:style>
  <w:style w:type="paragraph" w:customStyle="1" w:styleId="Paragrafoelenco">
    <w:name w:val="Paragrafo elenco"/>
    <w:basedOn w:val="Normal"/>
    <w:qFormat/>
    <w:rsid w:val="00DB343F"/>
    <w:pPr>
      <w:widowControl/>
      <w:suppressLineNumbers w:val="0"/>
      <w:spacing w:before="0"/>
      <w:ind w:left="720"/>
    </w:pPr>
    <w:rPr>
      <w:lang w:val="en-GB" w:eastAsia="en-US"/>
    </w:rPr>
  </w:style>
  <w:style w:type="paragraph" w:styleId="Listeafsnit">
    <w:name w:val="List Paragraph"/>
    <w:basedOn w:val="Normal"/>
    <w:uiPriority w:val="34"/>
    <w:qFormat/>
    <w:rsid w:val="00572E90"/>
    <w:pPr>
      <w:ind w:left="720"/>
      <w:contextualSpacing/>
    </w:pPr>
  </w:style>
  <w:style w:type="paragraph" w:customStyle="1" w:styleId="xl28">
    <w:name w:val="xl28"/>
    <w:basedOn w:val="Normal"/>
    <w:rsid w:val="00E706B1"/>
    <w:pPr>
      <w:widowControl/>
      <w:suppressLineNumbers w:val="0"/>
      <w:pBdr>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styleId="Titel">
    <w:name w:val="Title"/>
    <w:basedOn w:val="Normal"/>
    <w:link w:val="TitelTegn"/>
    <w:qFormat/>
    <w:rsid w:val="00FD45CE"/>
    <w:pPr>
      <w:widowControl/>
      <w:suppressLineNumbers w:val="0"/>
      <w:spacing w:before="0"/>
      <w:jc w:val="center"/>
    </w:pPr>
    <w:rPr>
      <w:szCs w:val="20"/>
      <w:lang w:val="en-US" w:eastAsia="en-US"/>
    </w:rPr>
  </w:style>
  <w:style w:type="character" w:customStyle="1" w:styleId="TitelTegn">
    <w:name w:val="Titel Tegn"/>
    <w:basedOn w:val="Standardskrifttypeiafsnit"/>
    <w:link w:val="Titel"/>
    <w:rsid w:val="00FD45CE"/>
    <w:rPr>
      <w:sz w:val="24"/>
      <w:lang w:val="en-US" w:eastAsia="en-US"/>
    </w:rPr>
  </w:style>
  <w:style w:type="character" w:customStyle="1" w:styleId="A11">
    <w:name w:val="A11"/>
    <w:uiPriority w:val="99"/>
    <w:rsid w:val="000C21FF"/>
    <w:rPr>
      <w:rFonts w:cs="Helvetica 45 Light"/>
      <w:color w:val="000000"/>
      <w:sz w:val="11"/>
      <w:szCs w:val="11"/>
    </w:rPr>
  </w:style>
  <w:style w:type="character" w:customStyle="1" w:styleId="SidehovedTegn">
    <w:name w:val="Sidehoved Tegn"/>
    <w:basedOn w:val="Standardskrifttypeiafsnit"/>
    <w:link w:val="Sidehoved"/>
    <w:uiPriority w:val="99"/>
    <w:rsid w:val="00467706"/>
    <w:rPr>
      <w:sz w:val="24"/>
      <w:szCs w:val="24"/>
    </w:rPr>
  </w:style>
  <w:style w:type="character" w:customStyle="1" w:styleId="addr">
    <w:name w:val="addr"/>
    <w:basedOn w:val="Standardskrifttypeiafsnit"/>
    <w:rsid w:val="00EE114C"/>
  </w:style>
  <w:style w:type="character" w:customStyle="1" w:styleId="FormateretHTMLTegn">
    <w:name w:val="Formateret HTML Tegn"/>
    <w:basedOn w:val="Standardskrifttypeiafsnit"/>
    <w:link w:val="FormateretHTML"/>
    <w:uiPriority w:val="99"/>
    <w:semiHidden/>
    <w:rsid w:val="00396E5E"/>
    <w:rPr>
      <w:rFonts w:ascii="Arial Unicode MS" w:eastAsia="Arial Unicode MS" w:hAnsi="Arial Unicode MS"/>
    </w:rPr>
  </w:style>
  <w:style w:type="character" w:customStyle="1" w:styleId="cit-article-title">
    <w:name w:val="cit-article-title"/>
    <w:basedOn w:val="Standardskrifttypeiafsnit"/>
    <w:rsid w:val="003E1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E5"/>
    <w:pPr>
      <w:widowControl w:val="0"/>
      <w:suppressLineNumbers/>
      <w:spacing w:before="120"/>
      <w:jc w:val="both"/>
    </w:pPr>
    <w:rPr>
      <w:sz w:val="24"/>
      <w:szCs w:val="24"/>
    </w:rPr>
  </w:style>
  <w:style w:type="paragraph" w:styleId="Overskrift1">
    <w:name w:val="heading 1"/>
    <w:aliases w:val="quae1,Heading 1 Char,Part,Part1,Part Title"/>
    <w:basedOn w:val="Normal"/>
    <w:next w:val="Normal"/>
    <w:qFormat/>
    <w:rsid w:val="007152E5"/>
    <w:pPr>
      <w:keepNext/>
      <w:numPr>
        <w:numId w:val="1"/>
      </w:numPr>
      <w:spacing w:before="200"/>
      <w:jc w:val="left"/>
      <w:outlineLvl w:val="0"/>
    </w:pPr>
    <w:rPr>
      <w:rFonts w:cs="Arial"/>
      <w:b/>
      <w:bCs/>
      <w:sz w:val="28"/>
      <w:szCs w:val="32"/>
    </w:rPr>
  </w:style>
  <w:style w:type="paragraph" w:styleId="Overskrift2">
    <w:name w:val="heading 2"/>
    <w:aliases w:val="quae 2,Chapter Title"/>
    <w:basedOn w:val="Normal"/>
    <w:next w:val="Normal"/>
    <w:qFormat/>
    <w:rsid w:val="007152E5"/>
    <w:pPr>
      <w:keepNext/>
      <w:numPr>
        <w:ilvl w:val="1"/>
        <w:numId w:val="1"/>
      </w:numPr>
      <w:spacing w:before="200"/>
      <w:jc w:val="left"/>
      <w:outlineLvl w:val="1"/>
    </w:pPr>
    <w:rPr>
      <w:rFonts w:cs="Arial"/>
      <w:b/>
      <w:bCs/>
      <w:iCs/>
      <w:szCs w:val="28"/>
    </w:rPr>
  </w:style>
  <w:style w:type="paragraph" w:styleId="Overskrift3">
    <w:name w:val="heading 3"/>
    <w:aliases w:val="quae3"/>
    <w:basedOn w:val="Normal"/>
    <w:next w:val="Normal"/>
    <w:qFormat/>
    <w:rsid w:val="007152E5"/>
    <w:pPr>
      <w:keepNext/>
      <w:numPr>
        <w:ilvl w:val="2"/>
        <w:numId w:val="1"/>
      </w:numPr>
      <w:spacing w:before="200"/>
      <w:jc w:val="left"/>
      <w:outlineLvl w:val="2"/>
    </w:pPr>
    <w:rPr>
      <w:rFonts w:cs="Arial"/>
      <w:b/>
      <w:bCs/>
      <w:i/>
      <w:szCs w:val="26"/>
    </w:rPr>
  </w:style>
  <w:style w:type="paragraph" w:styleId="Overskrift4">
    <w:name w:val="heading 4"/>
    <w:aliases w:val="quae4"/>
    <w:basedOn w:val="Normal"/>
    <w:next w:val="Normal"/>
    <w:qFormat/>
    <w:rsid w:val="007152E5"/>
    <w:pPr>
      <w:keepNext/>
      <w:numPr>
        <w:ilvl w:val="3"/>
        <w:numId w:val="1"/>
      </w:numPr>
      <w:spacing w:before="200"/>
      <w:jc w:val="left"/>
      <w:outlineLvl w:val="3"/>
    </w:pPr>
    <w:rPr>
      <w:bCs/>
      <w:i/>
      <w:szCs w:val="28"/>
    </w:rPr>
  </w:style>
  <w:style w:type="paragraph" w:styleId="Overskrift5">
    <w:name w:val="heading 5"/>
    <w:basedOn w:val="Normal"/>
    <w:next w:val="Normal"/>
    <w:link w:val="Overskrift5Tegn"/>
    <w:qFormat/>
    <w:rsid w:val="007152E5"/>
    <w:pPr>
      <w:keepNext/>
      <w:spacing w:line="480" w:lineRule="auto"/>
      <w:outlineLvl w:val="4"/>
    </w:pPr>
    <w:rPr>
      <w:b/>
      <w:bCs/>
      <w:lang w:val="en-NZ"/>
    </w:rPr>
  </w:style>
  <w:style w:type="paragraph" w:styleId="Overskrift6">
    <w:name w:val="heading 6"/>
    <w:basedOn w:val="Normal"/>
    <w:next w:val="Normal"/>
    <w:link w:val="Overskrift6Tegn"/>
    <w:qFormat/>
    <w:rsid w:val="007152E5"/>
    <w:pPr>
      <w:keepNext/>
      <w:spacing w:line="480" w:lineRule="auto"/>
      <w:outlineLvl w:val="5"/>
    </w:pPr>
    <w:rPr>
      <w:b/>
      <w:bCs/>
      <w:sz w:val="28"/>
      <w:lang w:val="en-NZ"/>
    </w:rPr>
  </w:style>
  <w:style w:type="paragraph" w:styleId="Overskrift7">
    <w:name w:val="heading 7"/>
    <w:basedOn w:val="Normal"/>
    <w:next w:val="Normal"/>
    <w:qFormat/>
    <w:rsid w:val="007152E5"/>
    <w:pPr>
      <w:keepNext/>
      <w:spacing w:line="480" w:lineRule="auto"/>
      <w:outlineLvl w:val="6"/>
    </w:pPr>
    <w:rPr>
      <w:i/>
      <w:iCs/>
      <w:lang w:val="en-US"/>
    </w:rPr>
  </w:style>
  <w:style w:type="paragraph" w:styleId="Overskrift8">
    <w:name w:val="heading 8"/>
    <w:basedOn w:val="Normal"/>
    <w:next w:val="Normal"/>
    <w:qFormat/>
    <w:rsid w:val="007152E5"/>
    <w:pPr>
      <w:keepNext/>
      <w:spacing w:line="480" w:lineRule="auto"/>
      <w:outlineLvl w:val="7"/>
    </w:pPr>
    <w:rPr>
      <w:b/>
      <w:bCs/>
      <w:color w:val="FF0000"/>
      <w:lang w:val="en-NZ"/>
    </w:rPr>
  </w:style>
  <w:style w:type="paragraph" w:styleId="Overskrift9">
    <w:name w:val="heading 9"/>
    <w:basedOn w:val="Normal"/>
    <w:next w:val="Normal"/>
    <w:link w:val="Overskrift9Tegn"/>
    <w:qFormat/>
    <w:rsid w:val="007152E5"/>
    <w:pPr>
      <w:keepNext/>
      <w:spacing w:line="480" w:lineRule="auto"/>
      <w:outlineLvl w:val="8"/>
    </w:pPr>
    <w:rPr>
      <w:i/>
      <w:iCs/>
      <w:sz w:val="20"/>
      <w:lang w:val="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quaepigraphe">
    <w:name w:val="quae_épigraphe"/>
    <w:basedOn w:val="Normal"/>
    <w:rsid w:val="007152E5"/>
    <w:pPr>
      <w:spacing w:after="240"/>
      <w:jc w:val="right"/>
    </w:pPr>
    <w:rPr>
      <w:i/>
      <w:iCs/>
    </w:rPr>
  </w:style>
  <w:style w:type="paragraph" w:customStyle="1" w:styleId="quaetitredivers">
    <w:name w:val="quae_titre divers"/>
    <w:basedOn w:val="Normal"/>
    <w:next w:val="Normal"/>
    <w:rsid w:val="007152E5"/>
    <w:pPr>
      <w:spacing w:after="480"/>
      <w:jc w:val="left"/>
    </w:pPr>
    <w:rPr>
      <w:b/>
      <w:sz w:val="32"/>
    </w:rPr>
  </w:style>
  <w:style w:type="character" w:styleId="Sidetal">
    <w:name w:val="page number"/>
    <w:basedOn w:val="Standardskrifttypeiafsnit"/>
    <w:semiHidden/>
    <w:rsid w:val="007152E5"/>
  </w:style>
  <w:style w:type="paragraph" w:customStyle="1" w:styleId="quaeencadr">
    <w:name w:val="quae_encadré"/>
    <w:basedOn w:val="Normal"/>
    <w:rsid w:val="007152E5"/>
    <w:pPr>
      <w:shd w:val="clear" w:color="auto" w:fill="CCCCCC"/>
    </w:pPr>
    <w:rPr>
      <w:sz w:val="20"/>
      <w:lang w:eastAsia="ar-SA"/>
    </w:rPr>
  </w:style>
  <w:style w:type="paragraph" w:customStyle="1" w:styleId="quaetitreencadr">
    <w:name w:val="quae_titre_encadré"/>
    <w:basedOn w:val="quaeencadr"/>
    <w:rsid w:val="007152E5"/>
    <w:rPr>
      <w:b/>
      <w:bCs/>
    </w:rPr>
  </w:style>
  <w:style w:type="paragraph" w:styleId="Sidefod">
    <w:name w:val="footer"/>
    <w:basedOn w:val="Normal"/>
    <w:link w:val="SidefodTegn"/>
    <w:rsid w:val="007152E5"/>
    <w:pPr>
      <w:tabs>
        <w:tab w:val="center" w:pos="4536"/>
        <w:tab w:val="right" w:pos="9072"/>
      </w:tabs>
    </w:pPr>
  </w:style>
  <w:style w:type="paragraph" w:customStyle="1" w:styleId="quaeauteurs">
    <w:name w:val="quae_auteurs"/>
    <w:basedOn w:val="Normal"/>
    <w:rsid w:val="007152E5"/>
    <w:pPr>
      <w:spacing w:after="600"/>
      <w:jc w:val="left"/>
    </w:pPr>
    <w:rPr>
      <w:i/>
    </w:rPr>
  </w:style>
  <w:style w:type="paragraph" w:customStyle="1" w:styleId="quaetitretableau">
    <w:name w:val="quae_titre_tableau"/>
    <w:basedOn w:val="Normal"/>
    <w:rsid w:val="007152E5"/>
    <w:pPr>
      <w:spacing w:before="240"/>
      <w:jc w:val="left"/>
    </w:pPr>
    <w:rPr>
      <w:sz w:val="20"/>
    </w:rPr>
  </w:style>
  <w:style w:type="paragraph" w:customStyle="1" w:styleId="quaetitrechapitre">
    <w:name w:val="quae_titre chapitre"/>
    <w:basedOn w:val="quaetitredivers"/>
    <w:next w:val="Normal"/>
    <w:rsid w:val="007152E5"/>
    <w:rPr>
      <w:sz w:val="36"/>
    </w:rPr>
  </w:style>
  <w:style w:type="paragraph" w:customStyle="1" w:styleId="quaetitrepartie">
    <w:name w:val="quae_titre partie"/>
    <w:basedOn w:val="quaetitredivers"/>
    <w:next w:val="Normal"/>
    <w:rsid w:val="007152E5"/>
    <w:rPr>
      <w:sz w:val="40"/>
    </w:rPr>
  </w:style>
  <w:style w:type="paragraph" w:customStyle="1" w:styleId="quaetitrefigure">
    <w:name w:val="quae_titre_figure"/>
    <w:basedOn w:val="quaetitretableau"/>
    <w:next w:val="Normal"/>
    <w:rsid w:val="007152E5"/>
    <w:pPr>
      <w:spacing w:before="120" w:after="240"/>
    </w:pPr>
  </w:style>
  <w:style w:type="paragraph" w:customStyle="1" w:styleId="quaenotefigure">
    <w:name w:val="quae_note_figure"/>
    <w:basedOn w:val="quaetitrefigure"/>
    <w:next w:val="Normal"/>
    <w:rsid w:val="007152E5"/>
    <w:pPr>
      <w:spacing w:before="0"/>
    </w:pPr>
  </w:style>
  <w:style w:type="paragraph" w:customStyle="1" w:styleId="quaenotetableau">
    <w:name w:val="quae_note_tableau"/>
    <w:basedOn w:val="quaetitretableau"/>
    <w:rsid w:val="007152E5"/>
    <w:pPr>
      <w:spacing w:before="120" w:after="240"/>
    </w:pPr>
  </w:style>
  <w:style w:type="paragraph" w:customStyle="1" w:styleId="quaenumration">
    <w:name w:val="quae_énumération"/>
    <w:basedOn w:val="Normal"/>
    <w:rsid w:val="007152E5"/>
    <w:pPr>
      <w:tabs>
        <w:tab w:val="num" w:pos="360"/>
      </w:tabs>
      <w:spacing w:before="0"/>
      <w:ind w:left="284" w:hanging="284"/>
    </w:pPr>
  </w:style>
  <w:style w:type="paragraph" w:customStyle="1" w:styleId="quaebiblio">
    <w:name w:val="quae_biblio"/>
    <w:basedOn w:val="Normal"/>
    <w:rsid w:val="007152E5"/>
  </w:style>
  <w:style w:type="character" w:styleId="Fodnotehenvisning">
    <w:name w:val="footnote reference"/>
    <w:aliases w:val="appel note de bas de p."/>
    <w:semiHidden/>
    <w:rsid w:val="007152E5"/>
    <w:rPr>
      <w:vertAlign w:val="superscript"/>
    </w:rPr>
  </w:style>
  <w:style w:type="paragraph" w:styleId="Fodnotetekst">
    <w:name w:val="footnote text"/>
    <w:aliases w:val="fn,footnote text"/>
    <w:basedOn w:val="Normal"/>
    <w:link w:val="FodnotetekstTegn"/>
    <w:uiPriority w:val="99"/>
    <w:semiHidden/>
    <w:rsid w:val="007152E5"/>
    <w:pPr>
      <w:widowControl/>
      <w:suppressLineNumbers w:val="0"/>
      <w:overflowPunct w:val="0"/>
      <w:autoSpaceDE w:val="0"/>
      <w:autoSpaceDN w:val="0"/>
      <w:adjustRightInd w:val="0"/>
      <w:spacing w:before="0"/>
      <w:textAlignment w:val="baseline"/>
    </w:pPr>
    <w:rPr>
      <w:sz w:val="20"/>
      <w:szCs w:val="20"/>
      <w:lang w:val="da-DK" w:eastAsia="da-DK"/>
    </w:rPr>
  </w:style>
  <w:style w:type="paragraph" w:customStyle="1" w:styleId="Textodeglobo">
    <w:name w:val="Texto de globo"/>
    <w:basedOn w:val="Normal"/>
    <w:semiHidden/>
    <w:rsid w:val="007152E5"/>
    <w:pPr>
      <w:widowControl/>
      <w:suppressLineNumbers w:val="0"/>
      <w:spacing w:before="0"/>
      <w:jc w:val="left"/>
    </w:pPr>
    <w:rPr>
      <w:rFonts w:ascii="Tahoma" w:hAnsi="Tahoma" w:cs="Tahoma"/>
      <w:sz w:val="16"/>
      <w:szCs w:val="16"/>
    </w:rPr>
  </w:style>
  <w:style w:type="paragraph" w:customStyle="1" w:styleId="BalloonText1">
    <w:name w:val="Balloon Text1"/>
    <w:basedOn w:val="Normal"/>
    <w:semiHidden/>
    <w:rsid w:val="007152E5"/>
    <w:pPr>
      <w:widowControl/>
      <w:suppressLineNumbers w:val="0"/>
      <w:spacing w:before="0"/>
      <w:jc w:val="left"/>
    </w:pPr>
    <w:rPr>
      <w:rFonts w:ascii="Tahoma" w:hAnsi="Tahoma" w:cs="Tahoma"/>
      <w:sz w:val="16"/>
      <w:szCs w:val="16"/>
    </w:rPr>
  </w:style>
  <w:style w:type="paragraph" w:customStyle="1" w:styleId="CommentSubject1">
    <w:name w:val="Comment Subject1"/>
    <w:basedOn w:val="Kommentartekst"/>
    <w:next w:val="Kommentartekst"/>
    <w:semiHidden/>
    <w:rsid w:val="007152E5"/>
    <w:rPr>
      <w:b/>
      <w:bCs/>
    </w:rPr>
  </w:style>
  <w:style w:type="paragraph" w:styleId="Kommentartekst">
    <w:name w:val="annotation text"/>
    <w:basedOn w:val="Normal"/>
    <w:link w:val="KommentartekstTegn"/>
    <w:rsid w:val="007152E5"/>
    <w:pPr>
      <w:widowControl/>
      <w:suppressLineNumbers w:val="0"/>
      <w:spacing w:before="0"/>
      <w:jc w:val="left"/>
    </w:pPr>
    <w:rPr>
      <w:sz w:val="20"/>
      <w:szCs w:val="20"/>
    </w:rPr>
  </w:style>
  <w:style w:type="character" w:styleId="Kommentarhenvisning">
    <w:name w:val="annotation reference"/>
    <w:uiPriority w:val="99"/>
    <w:semiHidden/>
    <w:rsid w:val="007152E5"/>
    <w:rPr>
      <w:sz w:val="16"/>
      <w:szCs w:val="16"/>
    </w:rPr>
  </w:style>
  <w:style w:type="character" w:styleId="Hyperlink">
    <w:name w:val="Hyperlink"/>
    <w:semiHidden/>
    <w:rsid w:val="007152E5"/>
    <w:rPr>
      <w:color w:val="0000FF"/>
      <w:u w:val="single"/>
    </w:rPr>
  </w:style>
  <w:style w:type="paragraph" w:styleId="Brdtekst">
    <w:name w:val="Body Text"/>
    <w:basedOn w:val="Normal"/>
    <w:semiHidden/>
    <w:rsid w:val="007152E5"/>
    <w:pPr>
      <w:widowControl/>
      <w:suppressLineNumbers w:val="0"/>
      <w:spacing w:before="0"/>
    </w:pPr>
    <w:rPr>
      <w:i/>
      <w:iCs/>
      <w:lang w:val="en-US"/>
    </w:rPr>
  </w:style>
  <w:style w:type="paragraph" w:styleId="Brdtekst3">
    <w:name w:val="Body Text 3"/>
    <w:basedOn w:val="Normal"/>
    <w:link w:val="Brdtekst3Tegn"/>
    <w:semiHidden/>
    <w:rsid w:val="007152E5"/>
    <w:pPr>
      <w:widowControl/>
      <w:suppressLineNumbers w:val="0"/>
      <w:spacing w:before="0"/>
    </w:pPr>
    <w:rPr>
      <w:lang w:val="en-US"/>
    </w:rPr>
  </w:style>
  <w:style w:type="character" w:styleId="Strk">
    <w:name w:val="Strong"/>
    <w:qFormat/>
    <w:rsid w:val="007152E5"/>
    <w:rPr>
      <w:b/>
      <w:bCs/>
    </w:rPr>
  </w:style>
  <w:style w:type="paragraph" w:styleId="FormateretHTML">
    <w:name w:val="HTML Preformatted"/>
    <w:basedOn w:val="Normal"/>
    <w:link w:val="FormateretHTMLTegn"/>
    <w:uiPriority w:val="99"/>
    <w:semiHidden/>
    <w:rsid w:val="007152E5"/>
    <w:pPr>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sz w:val="20"/>
      <w:szCs w:val="20"/>
    </w:rPr>
  </w:style>
  <w:style w:type="paragraph" w:styleId="Bloktekst">
    <w:name w:val="Block Text"/>
    <w:basedOn w:val="Normal"/>
    <w:semiHidden/>
    <w:rsid w:val="007152E5"/>
    <w:pPr>
      <w:widowControl/>
      <w:suppressLineNumbers w:val="0"/>
      <w:spacing w:before="0"/>
      <w:ind w:left="720" w:right="-244" w:hanging="720"/>
    </w:pPr>
    <w:rPr>
      <w:szCs w:val="20"/>
      <w:lang w:val="en-GB" w:eastAsia="en-US"/>
    </w:rPr>
  </w:style>
  <w:style w:type="paragraph" w:styleId="Billedtekst">
    <w:name w:val="caption"/>
    <w:basedOn w:val="Normal"/>
    <w:next w:val="Normal"/>
    <w:qFormat/>
    <w:rsid w:val="007152E5"/>
    <w:pPr>
      <w:widowControl/>
      <w:suppressLineNumbers w:val="0"/>
      <w:spacing w:before="0"/>
    </w:pPr>
    <w:rPr>
      <w:rFonts w:ascii="CG Times (W1)" w:hAnsi="CG Times (W1)"/>
      <w:i/>
      <w:szCs w:val="20"/>
      <w:lang w:val="en-GB" w:eastAsia="en-US"/>
    </w:rPr>
  </w:style>
  <w:style w:type="paragraph" w:styleId="Brdtekstindrykning">
    <w:name w:val="Body Text Indent"/>
    <w:basedOn w:val="Normal"/>
    <w:link w:val="BrdtekstindrykningTegn"/>
    <w:semiHidden/>
    <w:rsid w:val="007152E5"/>
    <w:pPr>
      <w:spacing w:line="480" w:lineRule="auto"/>
      <w:ind w:left="709" w:hanging="709"/>
    </w:pPr>
    <w:rPr>
      <w:lang w:val="en-NZ"/>
    </w:rPr>
  </w:style>
  <w:style w:type="character" w:styleId="Linjenummer">
    <w:name w:val="line number"/>
    <w:basedOn w:val="Standardskrifttypeiafsnit"/>
    <w:semiHidden/>
    <w:rsid w:val="007152E5"/>
  </w:style>
  <w:style w:type="paragraph" w:styleId="Brdtekst2">
    <w:name w:val="Body Text 2"/>
    <w:basedOn w:val="Normal"/>
    <w:semiHidden/>
    <w:rsid w:val="007152E5"/>
    <w:pPr>
      <w:spacing w:line="480" w:lineRule="auto"/>
    </w:pPr>
    <w:rPr>
      <w:color w:val="FF0000"/>
      <w:lang w:val="en-NZ"/>
    </w:rPr>
  </w:style>
  <w:style w:type="paragraph" w:customStyle="1" w:styleId="Default">
    <w:name w:val="Default"/>
    <w:rsid w:val="007152E5"/>
    <w:pPr>
      <w:autoSpaceDE w:val="0"/>
      <w:autoSpaceDN w:val="0"/>
      <w:adjustRightInd w:val="0"/>
    </w:pPr>
    <w:rPr>
      <w:rFonts w:ascii="Palatino Linotype" w:hAnsi="Palatino Linotype"/>
      <w:color w:val="000000"/>
      <w:sz w:val="24"/>
      <w:szCs w:val="24"/>
    </w:rPr>
  </w:style>
  <w:style w:type="character" w:styleId="BesgtHyperlink">
    <w:name w:val="FollowedHyperlink"/>
    <w:semiHidden/>
    <w:rsid w:val="007152E5"/>
    <w:rPr>
      <w:color w:val="800080"/>
      <w:u w:val="single"/>
    </w:rPr>
  </w:style>
  <w:style w:type="character" w:customStyle="1" w:styleId="StyleTitre2GrasCar">
    <w:name w:val="Style Titre 2 + Gras Car"/>
    <w:rsid w:val="007152E5"/>
    <w:rPr>
      <w:rFonts w:cs="Arial"/>
      <w:b/>
      <w:bCs/>
      <w:iCs/>
      <w:sz w:val="24"/>
      <w:szCs w:val="28"/>
      <w:lang w:val="fr-FR" w:eastAsia="fr-FR" w:bidi="ar-SA"/>
    </w:rPr>
  </w:style>
  <w:style w:type="paragraph" w:customStyle="1" w:styleId="StyleTitre3ComplexeGras">
    <w:name w:val="Style Titre 3 + (Complexe) Gras"/>
    <w:basedOn w:val="Overskrift3"/>
    <w:rsid w:val="007152E5"/>
    <w:pPr>
      <w:widowControl/>
      <w:numPr>
        <w:numId w:val="0"/>
      </w:numPr>
      <w:suppressLineNumbers w:val="0"/>
      <w:tabs>
        <w:tab w:val="num" w:pos="720"/>
      </w:tabs>
      <w:overflowPunct w:val="0"/>
      <w:autoSpaceDE w:val="0"/>
      <w:autoSpaceDN w:val="0"/>
      <w:adjustRightInd w:val="0"/>
      <w:spacing w:before="0" w:after="120"/>
      <w:ind w:left="720" w:hanging="720"/>
      <w:jc w:val="both"/>
      <w:textAlignment w:val="baseline"/>
    </w:pPr>
    <w:rPr>
      <w:rFonts w:ascii="Arial" w:hAnsi="Arial"/>
      <w:bCs w:val="0"/>
      <w:i w:val="0"/>
      <w:color w:val="000000"/>
      <w:sz w:val="18"/>
      <w:szCs w:val="20"/>
      <w:lang w:eastAsia="ja-JP"/>
    </w:rPr>
  </w:style>
  <w:style w:type="character" w:customStyle="1" w:styleId="StyleTitre3ComplexeGrasCar">
    <w:name w:val="Style Titre 3 + (Complexe) Gras Car"/>
    <w:rsid w:val="007152E5"/>
    <w:rPr>
      <w:rFonts w:ascii="Arial" w:hAnsi="Arial" w:cs="Arial"/>
      <w:b/>
      <w:color w:val="000000"/>
      <w:sz w:val="18"/>
      <w:lang w:val="fr-FR" w:eastAsia="ja-JP" w:bidi="ar-SA"/>
    </w:rPr>
  </w:style>
  <w:style w:type="paragraph" w:customStyle="1" w:styleId="Titre16">
    <w:name w:val="Titre 16"/>
    <w:basedOn w:val="Overskrift3"/>
    <w:rsid w:val="007152E5"/>
    <w:pPr>
      <w:widowControl/>
      <w:numPr>
        <w:numId w:val="0"/>
      </w:numPr>
      <w:suppressLineNumbers w:val="0"/>
      <w:tabs>
        <w:tab w:val="num" w:pos="720"/>
      </w:tabs>
      <w:overflowPunct w:val="0"/>
      <w:autoSpaceDE w:val="0"/>
      <w:autoSpaceDN w:val="0"/>
      <w:adjustRightInd w:val="0"/>
      <w:spacing w:before="0" w:after="120"/>
      <w:ind w:left="720" w:hanging="720"/>
      <w:jc w:val="both"/>
      <w:textAlignment w:val="baseline"/>
    </w:pPr>
    <w:rPr>
      <w:rFonts w:ascii="Arial" w:hAnsi="Arial"/>
      <w:b w:val="0"/>
      <w:bCs w:val="0"/>
      <w:i w:val="0"/>
      <w:color w:val="000000"/>
      <w:sz w:val="18"/>
      <w:szCs w:val="20"/>
      <w:lang w:val="en-GB" w:eastAsia="ja-JP"/>
    </w:rPr>
  </w:style>
  <w:style w:type="paragraph" w:customStyle="1" w:styleId="Textedebulles1">
    <w:name w:val="Texte de bulles1"/>
    <w:basedOn w:val="Normal"/>
    <w:semiHidden/>
    <w:unhideWhenUsed/>
    <w:rsid w:val="007152E5"/>
    <w:pPr>
      <w:spacing w:before="0"/>
    </w:pPr>
    <w:rPr>
      <w:rFonts w:ascii="Tahoma" w:hAnsi="Tahoma" w:cs="Tahoma"/>
      <w:sz w:val="16"/>
      <w:szCs w:val="16"/>
    </w:rPr>
  </w:style>
  <w:style w:type="character" w:customStyle="1" w:styleId="CharChar">
    <w:name w:val="Char Char"/>
    <w:semiHidden/>
    <w:rsid w:val="007152E5"/>
    <w:rPr>
      <w:rFonts w:ascii="Tahoma" w:hAnsi="Tahoma" w:cs="Tahoma"/>
      <w:sz w:val="16"/>
      <w:szCs w:val="16"/>
    </w:rPr>
  </w:style>
  <w:style w:type="paragraph" w:customStyle="1" w:styleId="CommentSubject2">
    <w:name w:val="Comment Subject2"/>
    <w:basedOn w:val="Kommentartekst"/>
    <w:next w:val="Kommentartekst"/>
    <w:semiHidden/>
    <w:unhideWhenUsed/>
    <w:rsid w:val="007152E5"/>
    <w:pPr>
      <w:widowControl w:val="0"/>
      <w:suppressLineNumbers/>
      <w:spacing w:before="120"/>
      <w:jc w:val="both"/>
    </w:pPr>
    <w:rPr>
      <w:b/>
      <w:bCs/>
    </w:rPr>
  </w:style>
  <w:style w:type="character" w:customStyle="1" w:styleId="CharChar1">
    <w:name w:val="Char Char1"/>
    <w:basedOn w:val="Standardskrifttypeiafsnit"/>
    <w:semiHidden/>
    <w:rsid w:val="007152E5"/>
  </w:style>
  <w:style w:type="character" w:customStyle="1" w:styleId="ObjetducommentaireCar">
    <w:name w:val="Objet du commentaire Car"/>
    <w:basedOn w:val="CharChar1"/>
    <w:rsid w:val="007152E5"/>
  </w:style>
  <w:style w:type="paragraph" w:styleId="Brdtekstindrykning2">
    <w:name w:val="Body Text Indent 2"/>
    <w:basedOn w:val="Normal"/>
    <w:semiHidden/>
    <w:rsid w:val="007152E5"/>
    <w:pPr>
      <w:spacing w:line="480" w:lineRule="auto"/>
      <w:ind w:left="357" w:hanging="357"/>
    </w:pPr>
    <w:rPr>
      <w:iCs/>
      <w:lang w:val="en-NZ"/>
    </w:rPr>
  </w:style>
  <w:style w:type="character" w:customStyle="1" w:styleId="BodyTextIndentChar">
    <w:name w:val="Body Text Indent Char"/>
    <w:rsid w:val="007152E5"/>
    <w:rPr>
      <w:sz w:val="24"/>
      <w:szCs w:val="24"/>
      <w:lang w:val="fr-FR" w:eastAsia="fr-FR"/>
    </w:rPr>
  </w:style>
  <w:style w:type="paragraph" w:styleId="Sidehoved">
    <w:name w:val="header"/>
    <w:basedOn w:val="Normal"/>
    <w:link w:val="SidehovedTegn"/>
    <w:uiPriority w:val="99"/>
    <w:rsid w:val="007152E5"/>
    <w:pPr>
      <w:widowControl/>
      <w:suppressLineNumbers w:val="0"/>
      <w:tabs>
        <w:tab w:val="center" w:pos="4513"/>
        <w:tab w:val="right" w:pos="9026"/>
      </w:tabs>
      <w:spacing w:before="0"/>
      <w:jc w:val="left"/>
    </w:pPr>
  </w:style>
  <w:style w:type="character" w:customStyle="1" w:styleId="HeaderChar">
    <w:name w:val="Header Char"/>
    <w:rsid w:val="007152E5"/>
    <w:rPr>
      <w:sz w:val="24"/>
      <w:szCs w:val="24"/>
      <w:lang w:val="fr-FR" w:eastAsia="fr-FR"/>
    </w:rPr>
  </w:style>
  <w:style w:type="character" w:customStyle="1" w:styleId="articletitle">
    <w:name w:val="articletitle"/>
    <w:basedOn w:val="Standardskrifttypeiafsnit"/>
    <w:rsid w:val="007152E5"/>
  </w:style>
  <w:style w:type="character" w:customStyle="1" w:styleId="Overskrift6Tegn">
    <w:name w:val="Overskrift 6 Tegn"/>
    <w:link w:val="Overskrift6"/>
    <w:rsid w:val="00872E21"/>
    <w:rPr>
      <w:b/>
      <w:bCs/>
      <w:sz w:val="28"/>
      <w:szCs w:val="24"/>
      <w:lang w:val="en-NZ"/>
    </w:rPr>
  </w:style>
  <w:style w:type="character" w:customStyle="1" w:styleId="Overskrift9Tegn">
    <w:name w:val="Overskrift 9 Tegn"/>
    <w:link w:val="Overskrift9"/>
    <w:rsid w:val="00872E21"/>
    <w:rPr>
      <w:i/>
      <w:iCs/>
      <w:szCs w:val="24"/>
      <w:lang w:val="nl-NL"/>
    </w:rPr>
  </w:style>
  <w:style w:type="character" w:customStyle="1" w:styleId="SidefodTegn">
    <w:name w:val="Sidefod Tegn"/>
    <w:link w:val="Sidefod"/>
    <w:rsid w:val="00872E21"/>
    <w:rPr>
      <w:sz w:val="24"/>
      <w:szCs w:val="24"/>
    </w:rPr>
  </w:style>
  <w:style w:type="character" w:customStyle="1" w:styleId="FodnotetekstTegn">
    <w:name w:val="Fodnotetekst Tegn"/>
    <w:aliases w:val="fn Tegn,footnote text Tegn"/>
    <w:link w:val="Fodnotetekst"/>
    <w:uiPriority w:val="99"/>
    <w:semiHidden/>
    <w:rsid w:val="00872E21"/>
    <w:rPr>
      <w:lang w:val="da-DK" w:eastAsia="da-DK"/>
    </w:rPr>
  </w:style>
  <w:style w:type="character" w:customStyle="1" w:styleId="Brdtekst3Tegn">
    <w:name w:val="Brødtekst 3 Tegn"/>
    <w:link w:val="Brdtekst3"/>
    <w:semiHidden/>
    <w:rsid w:val="00872E21"/>
    <w:rPr>
      <w:sz w:val="24"/>
      <w:szCs w:val="24"/>
      <w:lang w:val="en-US"/>
    </w:rPr>
  </w:style>
  <w:style w:type="character" w:customStyle="1" w:styleId="BrdtekstindrykningTegn">
    <w:name w:val="Brødtekstindrykning Tegn"/>
    <w:link w:val="Brdtekstindrykning"/>
    <w:semiHidden/>
    <w:rsid w:val="00872E21"/>
    <w:rPr>
      <w:sz w:val="24"/>
      <w:szCs w:val="24"/>
      <w:lang w:val="en-NZ"/>
    </w:rPr>
  </w:style>
  <w:style w:type="character" w:styleId="Pladsholdertekst">
    <w:name w:val="Placeholder Text"/>
    <w:basedOn w:val="Standardskrifttypeiafsnit"/>
    <w:uiPriority w:val="99"/>
    <w:semiHidden/>
    <w:rsid w:val="00DB743B"/>
    <w:rPr>
      <w:color w:val="808080"/>
    </w:rPr>
  </w:style>
  <w:style w:type="paragraph" w:styleId="Markeringsbobletekst">
    <w:name w:val="Balloon Text"/>
    <w:basedOn w:val="Normal"/>
    <w:link w:val="MarkeringsbobletekstTegn"/>
    <w:uiPriority w:val="99"/>
    <w:semiHidden/>
    <w:unhideWhenUsed/>
    <w:rsid w:val="00DB743B"/>
    <w:pPr>
      <w:spacing w:before="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43B"/>
    <w:rPr>
      <w:rFonts w:ascii="Tahoma" w:hAnsi="Tahoma" w:cs="Tahoma"/>
      <w:sz w:val="16"/>
      <w:szCs w:val="16"/>
    </w:rPr>
  </w:style>
  <w:style w:type="character" w:customStyle="1" w:styleId="KommentartekstTegn">
    <w:name w:val="Kommentartekst Tegn"/>
    <w:basedOn w:val="Standardskrifttypeiafsnit"/>
    <w:link w:val="Kommentartekst"/>
    <w:locked/>
    <w:rsid w:val="009E008D"/>
  </w:style>
  <w:style w:type="character" w:customStyle="1" w:styleId="Overskrift5Tegn">
    <w:name w:val="Overskrift 5 Tegn"/>
    <w:basedOn w:val="Standardskrifttypeiafsnit"/>
    <w:link w:val="Overskrift5"/>
    <w:rsid w:val="007F6418"/>
    <w:rPr>
      <w:b/>
      <w:bCs/>
      <w:sz w:val="24"/>
      <w:szCs w:val="24"/>
      <w:lang w:val="en-NZ"/>
    </w:rPr>
  </w:style>
  <w:style w:type="table" w:styleId="Tabel-Gitter">
    <w:name w:val="Table Grid"/>
    <w:basedOn w:val="Tabel-Normal"/>
    <w:uiPriority w:val="59"/>
    <w:rsid w:val="00F4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D27319"/>
    <w:pPr>
      <w:widowControl w:val="0"/>
      <w:suppressLineNumbers/>
      <w:spacing w:before="120"/>
      <w:jc w:val="both"/>
    </w:pPr>
    <w:rPr>
      <w:b/>
      <w:bCs/>
    </w:rPr>
  </w:style>
  <w:style w:type="character" w:customStyle="1" w:styleId="KommentaremneTegn">
    <w:name w:val="Kommentaremne Tegn"/>
    <w:basedOn w:val="KommentartekstTegn"/>
    <w:link w:val="Kommentaremne"/>
    <w:uiPriority w:val="99"/>
    <w:semiHidden/>
    <w:rsid w:val="00D27319"/>
    <w:rPr>
      <w:b/>
      <w:bCs/>
    </w:rPr>
  </w:style>
  <w:style w:type="character" w:styleId="Fremhv">
    <w:name w:val="Emphasis"/>
    <w:basedOn w:val="Standardskrifttypeiafsnit"/>
    <w:uiPriority w:val="20"/>
    <w:qFormat/>
    <w:rsid w:val="00DD16C5"/>
    <w:rPr>
      <w:i/>
      <w:iCs/>
    </w:rPr>
  </w:style>
  <w:style w:type="character" w:customStyle="1" w:styleId="def2">
    <w:name w:val="def2"/>
    <w:basedOn w:val="Standardskrifttypeiafsnit"/>
    <w:rsid w:val="004551C9"/>
  </w:style>
  <w:style w:type="paragraph" w:customStyle="1" w:styleId="a3520normal">
    <w:name w:val="a___35__20_normal"/>
    <w:basedOn w:val="Normal"/>
    <w:rsid w:val="000170F2"/>
    <w:pPr>
      <w:widowControl/>
      <w:suppressLineNumbers w:val="0"/>
      <w:spacing w:before="0" w:after="120"/>
    </w:pPr>
    <w:rPr>
      <w:lang w:val="it-IT" w:eastAsia="it-IT"/>
    </w:rPr>
  </w:style>
  <w:style w:type="character" w:customStyle="1" w:styleId="at11">
    <w:name w:val="a__t11"/>
    <w:rsid w:val="000170F2"/>
    <w:rPr>
      <w:color w:val="FF0000"/>
    </w:rPr>
  </w:style>
  <w:style w:type="paragraph" w:customStyle="1" w:styleId="Paragrafoelenco">
    <w:name w:val="Paragrafo elenco"/>
    <w:basedOn w:val="Normal"/>
    <w:qFormat/>
    <w:rsid w:val="00DB343F"/>
    <w:pPr>
      <w:widowControl/>
      <w:suppressLineNumbers w:val="0"/>
      <w:spacing w:before="0"/>
      <w:ind w:left="720"/>
    </w:pPr>
    <w:rPr>
      <w:lang w:val="en-GB" w:eastAsia="en-US"/>
    </w:rPr>
  </w:style>
  <w:style w:type="paragraph" w:styleId="Listeafsnit">
    <w:name w:val="List Paragraph"/>
    <w:basedOn w:val="Normal"/>
    <w:uiPriority w:val="34"/>
    <w:qFormat/>
    <w:rsid w:val="00572E90"/>
    <w:pPr>
      <w:ind w:left="720"/>
      <w:contextualSpacing/>
    </w:pPr>
  </w:style>
  <w:style w:type="paragraph" w:customStyle="1" w:styleId="xl28">
    <w:name w:val="xl28"/>
    <w:basedOn w:val="Normal"/>
    <w:rsid w:val="00E706B1"/>
    <w:pPr>
      <w:widowControl/>
      <w:suppressLineNumbers w:val="0"/>
      <w:pBdr>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styleId="Titel">
    <w:name w:val="Title"/>
    <w:basedOn w:val="Normal"/>
    <w:link w:val="TitelTegn"/>
    <w:qFormat/>
    <w:rsid w:val="00FD45CE"/>
    <w:pPr>
      <w:widowControl/>
      <w:suppressLineNumbers w:val="0"/>
      <w:spacing w:before="0"/>
      <w:jc w:val="center"/>
    </w:pPr>
    <w:rPr>
      <w:szCs w:val="20"/>
      <w:lang w:val="en-US" w:eastAsia="en-US"/>
    </w:rPr>
  </w:style>
  <w:style w:type="character" w:customStyle="1" w:styleId="TitelTegn">
    <w:name w:val="Titel Tegn"/>
    <w:basedOn w:val="Standardskrifttypeiafsnit"/>
    <w:link w:val="Titel"/>
    <w:rsid w:val="00FD45CE"/>
    <w:rPr>
      <w:sz w:val="24"/>
      <w:lang w:val="en-US" w:eastAsia="en-US"/>
    </w:rPr>
  </w:style>
  <w:style w:type="character" w:customStyle="1" w:styleId="A11">
    <w:name w:val="A11"/>
    <w:uiPriority w:val="99"/>
    <w:rsid w:val="000C21FF"/>
    <w:rPr>
      <w:rFonts w:cs="Helvetica 45 Light"/>
      <w:color w:val="000000"/>
      <w:sz w:val="11"/>
      <w:szCs w:val="11"/>
    </w:rPr>
  </w:style>
  <w:style w:type="character" w:customStyle="1" w:styleId="SidehovedTegn">
    <w:name w:val="Sidehoved Tegn"/>
    <w:basedOn w:val="Standardskrifttypeiafsnit"/>
    <w:link w:val="Sidehoved"/>
    <w:uiPriority w:val="99"/>
    <w:rsid w:val="00467706"/>
    <w:rPr>
      <w:sz w:val="24"/>
      <w:szCs w:val="24"/>
    </w:rPr>
  </w:style>
  <w:style w:type="character" w:customStyle="1" w:styleId="addr">
    <w:name w:val="addr"/>
    <w:basedOn w:val="Standardskrifttypeiafsnit"/>
    <w:rsid w:val="00EE114C"/>
  </w:style>
  <w:style w:type="character" w:customStyle="1" w:styleId="FormateretHTMLTegn">
    <w:name w:val="Formateret HTML Tegn"/>
    <w:basedOn w:val="Standardskrifttypeiafsnit"/>
    <w:link w:val="FormateretHTML"/>
    <w:uiPriority w:val="99"/>
    <w:semiHidden/>
    <w:rsid w:val="00396E5E"/>
    <w:rPr>
      <w:rFonts w:ascii="Arial Unicode MS" w:eastAsia="Arial Unicode MS" w:hAnsi="Arial Unicode MS"/>
    </w:rPr>
  </w:style>
  <w:style w:type="character" w:customStyle="1" w:styleId="cit-article-title">
    <w:name w:val="cit-article-title"/>
    <w:basedOn w:val="Standardskrifttypeiafsnit"/>
    <w:rsid w:val="003E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5274">
      <w:bodyDiv w:val="1"/>
      <w:marLeft w:val="0"/>
      <w:marRight w:val="0"/>
      <w:marTop w:val="0"/>
      <w:marBottom w:val="0"/>
      <w:divBdr>
        <w:top w:val="none" w:sz="0" w:space="0" w:color="auto"/>
        <w:left w:val="none" w:sz="0" w:space="0" w:color="auto"/>
        <w:bottom w:val="none" w:sz="0" w:space="0" w:color="auto"/>
        <w:right w:val="none" w:sz="0" w:space="0" w:color="auto"/>
      </w:divBdr>
    </w:div>
    <w:div w:id="171796110">
      <w:bodyDiv w:val="1"/>
      <w:marLeft w:val="0"/>
      <w:marRight w:val="0"/>
      <w:marTop w:val="0"/>
      <w:marBottom w:val="0"/>
      <w:divBdr>
        <w:top w:val="none" w:sz="0" w:space="0" w:color="auto"/>
        <w:left w:val="none" w:sz="0" w:space="0" w:color="auto"/>
        <w:bottom w:val="none" w:sz="0" w:space="0" w:color="auto"/>
        <w:right w:val="none" w:sz="0" w:space="0" w:color="auto"/>
      </w:divBdr>
      <w:divsChild>
        <w:div w:id="86773576">
          <w:marLeft w:val="0"/>
          <w:marRight w:val="0"/>
          <w:marTop w:val="67"/>
          <w:marBottom w:val="0"/>
          <w:divBdr>
            <w:top w:val="none" w:sz="0" w:space="0" w:color="auto"/>
            <w:left w:val="none" w:sz="0" w:space="0" w:color="auto"/>
            <w:bottom w:val="none" w:sz="0" w:space="0" w:color="auto"/>
            <w:right w:val="none" w:sz="0" w:space="0" w:color="auto"/>
          </w:divBdr>
        </w:div>
        <w:div w:id="1637686096">
          <w:marLeft w:val="0"/>
          <w:marRight w:val="0"/>
          <w:marTop w:val="67"/>
          <w:marBottom w:val="0"/>
          <w:divBdr>
            <w:top w:val="none" w:sz="0" w:space="0" w:color="auto"/>
            <w:left w:val="none" w:sz="0" w:space="0" w:color="auto"/>
            <w:bottom w:val="none" w:sz="0" w:space="0" w:color="auto"/>
            <w:right w:val="none" w:sz="0" w:space="0" w:color="auto"/>
          </w:divBdr>
        </w:div>
        <w:div w:id="2050493064">
          <w:marLeft w:val="0"/>
          <w:marRight w:val="0"/>
          <w:marTop w:val="67"/>
          <w:marBottom w:val="0"/>
          <w:divBdr>
            <w:top w:val="none" w:sz="0" w:space="0" w:color="auto"/>
            <w:left w:val="none" w:sz="0" w:space="0" w:color="auto"/>
            <w:bottom w:val="none" w:sz="0" w:space="0" w:color="auto"/>
            <w:right w:val="none" w:sz="0" w:space="0" w:color="auto"/>
          </w:divBdr>
        </w:div>
      </w:divsChild>
    </w:div>
    <w:div w:id="316105557">
      <w:bodyDiv w:val="1"/>
      <w:marLeft w:val="0"/>
      <w:marRight w:val="0"/>
      <w:marTop w:val="0"/>
      <w:marBottom w:val="0"/>
      <w:divBdr>
        <w:top w:val="none" w:sz="0" w:space="0" w:color="auto"/>
        <w:left w:val="none" w:sz="0" w:space="0" w:color="auto"/>
        <w:bottom w:val="none" w:sz="0" w:space="0" w:color="auto"/>
        <w:right w:val="none" w:sz="0" w:space="0" w:color="auto"/>
      </w:divBdr>
    </w:div>
    <w:div w:id="329523307">
      <w:bodyDiv w:val="1"/>
      <w:marLeft w:val="0"/>
      <w:marRight w:val="0"/>
      <w:marTop w:val="0"/>
      <w:marBottom w:val="0"/>
      <w:divBdr>
        <w:top w:val="none" w:sz="0" w:space="0" w:color="auto"/>
        <w:left w:val="none" w:sz="0" w:space="0" w:color="auto"/>
        <w:bottom w:val="none" w:sz="0" w:space="0" w:color="auto"/>
        <w:right w:val="none" w:sz="0" w:space="0" w:color="auto"/>
      </w:divBdr>
    </w:div>
    <w:div w:id="430517630">
      <w:bodyDiv w:val="1"/>
      <w:marLeft w:val="0"/>
      <w:marRight w:val="0"/>
      <w:marTop w:val="0"/>
      <w:marBottom w:val="0"/>
      <w:divBdr>
        <w:top w:val="none" w:sz="0" w:space="0" w:color="auto"/>
        <w:left w:val="none" w:sz="0" w:space="0" w:color="auto"/>
        <w:bottom w:val="none" w:sz="0" w:space="0" w:color="auto"/>
        <w:right w:val="none" w:sz="0" w:space="0" w:color="auto"/>
      </w:divBdr>
      <w:divsChild>
        <w:div w:id="1717468189">
          <w:marLeft w:val="0"/>
          <w:marRight w:val="0"/>
          <w:marTop w:val="0"/>
          <w:marBottom w:val="0"/>
          <w:divBdr>
            <w:top w:val="none" w:sz="0" w:space="0" w:color="auto"/>
            <w:left w:val="none" w:sz="0" w:space="0" w:color="auto"/>
            <w:bottom w:val="none" w:sz="0" w:space="0" w:color="auto"/>
            <w:right w:val="none" w:sz="0" w:space="0" w:color="auto"/>
          </w:divBdr>
        </w:div>
        <w:div w:id="8677571">
          <w:marLeft w:val="0"/>
          <w:marRight w:val="0"/>
          <w:marTop w:val="0"/>
          <w:marBottom w:val="0"/>
          <w:divBdr>
            <w:top w:val="none" w:sz="0" w:space="0" w:color="auto"/>
            <w:left w:val="none" w:sz="0" w:space="0" w:color="auto"/>
            <w:bottom w:val="none" w:sz="0" w:space="0" w:color="auto"/>
            <w:right w:val="none" w:sz="0" w:space="0" w:color="auto"/>
          </w:divBdr>
        </w:div>
      </w:divsChild>
    </w:div>
    <w:div w:id="441925716">
      <w:bodyDiv w:val="1"/>
      <w:marLeft w:val="0"/>
      <w:marRight w:val="0"/>
      <w:marTop w:val="0"/>
      <w:marBottom w:val="0"/>
      <w:divBdr>
        <w:top w:val="none" w:sz="0" w:space="0" w:color="auto"/>
        <w:left w:val="none" w:sz="0" w:space="0" w:color="auto"/>
        <w:bottom w:val="none" w:sz="0" w:space="0" w:color="auto"/>
        <w:right w:val="none" w:sz="0" w:space="0" w:color="auto"/>
      </w:divBdr>
    </w:div>
    <w:div w:id="454371464">
      <w:bodyDiv w:val="1"/>
      <w:marLeft w:val="0"/>
      <w:marRight w:val="0"/>
      <w:marTop w:val="0"/>
      <w:marBottom w:val="0"/>
      <w:divBdr>
        <w:top w:val="none" w:sz="0" w:space="0" w:color="auto"/>
        <w:left w:val="none" w:sz="0" w:space="0" w:color="auto"/>
        <w:bottom w:val="none" w:sz="0" w:space="0" w:color="auto"/>
        <w:right w:val="none" w:sz="0" w:space="0" w:color="auto"/>
      </w:divBdr>
      <w:divsChild>
        <w:div w:id="1766458795">
          <w:marLeft w:val="0"/>
          <w:marRight w:val="0"/>
          <w:marTop w:val="0"/>
          <w:marBottom w:val="0"/>
          <w:divBdr>
            <w:top w:val="none" w:sz="0" w:space="0" w:color="auto"/>
            <w:left w:val="none" w:sz="0" w:space="0" w:color="auto"/>
            <w:bottom w:val="none" w:sz="0" w:space="0" w:color="auto"/>
            <w:right w:val="none" w:sz="0" w:space="0" w:color="auto"/>
          </w:divBdr>
        </w:div>
        <w:div w:id="1927574934">
          <w:marLeft w:val="0"/>
          <w:marRight w:val="0"/>
          <w:marTop w:val="0"/>
          <w:marBottom w:val="0"/>
          <w:divBdr>
            <w:top w:val="none" w:sz="0" w:space="0" w:color="auto"/>
            <w:left w:val="none" w:sz="0" w:space="0" w:color="auto"/>
            <w:bottom w:val="none" w:sz="0" w:space="0" w:color="auto"/>
            <w:right w:val="none" w:sz="0" w:space="0" w:color="auto"/>
          </w:divBdr>
        </w:div>
      </w:divsChild>
    </w:div>
    <w:div w:id="514807481">
      <w:bodyDiv w:val="1"/>
      <w:marLeft w:val="0"/>
      <w:marRight w:val="0"/>
      <w:marTop w:val="0"/>
      <w:marBottom w:val="0"/>
      <w:divBdr>
        <w:top w:val="none" w:sz="0" w:space="0" w:color="auto"/>
        <w:left w:val="none" w:sz="0" w:space="0" w:color="auto"/>
        <w:bottom w:val="none" w:sz="0" w:space="0" w:color="auto"/>
        <w:right w:val="none" w:sz="0" w:space="0" w:color="auto"/>
      </w:divBdr>
      <w:divsChild>
        <w:div w:id="443113494">
          <w:marLeft w:val="0"/>
          <w:marRight w:val="0"/>
          <w:marTop w:val="0"/>
          <w:marBottom w:val="0"/>
          <w:divBdr>
            <w:top w:val="none" w:sz="0" w:space="0" w:color="auto"/>
            <w:left w:val="none" w:sz="0" w:space="0" w:color="auto"/>
            <w:bottom w:val="none" w:sz="0" w:space="0" w:color="auto"/>
            <w:right w:val="none" w:sz="0" w:space="0" w:color="auto"/>
          </w:divBdr>
        </w:div>
        <w:div w:id="1131097470">
          <w:marLeft w:val="0"/>
          <w:marRight w:val="0"/>
          <w:marTop w:val="0"/>
          <w:marBottom w:val="0"/>
          <w:divBdr>
            <w:top w:val="none" w:sz="0" w:space="0" w:color="auto"/>
            <w:left w:val="none" w:sz="0" w:space="0" w:color="auto"/>
            <w:bottom w:val="none" w:sz="0" w:space="0" w:color="auto"/>
            <w:right w:val="none" w:sz="0" w:space="0" w:color="auto"/>
          </w:divBdr>
        </w:div>
        <w:div w:id="1479303325">
          <w:marLeft w:val="0"/>
          <w:marRight w:val="0"/>
          <w:marTop w:val="0"/>
          <w:marBottom w:val="0"/>
          <w:divBdr>
            <w:top w:val="none" w:sz="0" w:space="0" w:color="auto"/>
            <w:left w:val="none" w:sz="0" w:space="0" w:color="auto"/>
            <w:bottom w:val="none" w:sz="0" w:space="0" w:color="auto"/>
            <w:right w:val="none" w:sz="0" w:space="0" w:color="auto"/>
          </w:divBdr>
        </w:div>
        <w:div w:id="439842601">
          <w:marLeft w:val="0"/>
          <w:marRight w:val="0"/>
          <w:marTop w:val="0"/>
          <w:marBottom w:val="0"/>
          <w:divBdr>
            <w:top w:val="none" w:sz="0" w:space="0" w:color="auto"/>
            <w:left w:val="none" w:sz="0" w:space="0" w:color="auto"/>
            <w:bottom w:val="none" w:sz="0" w:space="0" w:color="auto"/>
            <w:right w:val="none" w:sz="0" w:space="0" w:color="auto"/>
          </w:divBdr>
        </w:div>
        <w:div w:id="336276717">
          <w:marLeft w:val="0"/>
          <w:marRight w:val="0"/>
          <w:marTop w:val="0"/>
          <w:marBottom w:val="0"/>
          <w:divBdr>
            <w:top w:val="none" w:sz="0" w:space="0" w:color="auto"/>
            <w:left w:val="none" w:sz="0" w:space="0" w:color="auto"/>
            <w:bottom w:val="none" w:sz="0" w:space="0" w:color="auto"/>
            <w:right w:val="none" w:sz="0" w:space="0" w:color="auto"/>
          </w:divBdr>
        </w:div>
        <w:div w:id="165289138">
          <w:marLeft w:val="0"/>
          <w:marRight w:val="0"/>
          <w:marTop w:val="0"/>
          <w:marBottom w:val="0"/>
          <w:divBdr>
            <w:top w:val="none" w:sz="0" w:space="0" w:color="auto"/>
            <w:left w:val="none" w:sz="0" w:space="0" w:color="auto"/>
            <w:bottom w:val="none" w:sz="0" w:space="0" w:color="auto"/>
            <w:right w:val="none" w:sz="0" w:space="0" w:color="auto"/>
          </w:divBdr>
        </w:div>
        <w:div w:id="1883440443">
          <w:marLeft w:val="0"/>
          <w:marRight w:val="0"/>
          <w:marTop w:val="0"/>
          <w:marBottom w:val="0"/>
          <w:divBdr>
            <w:top w:val="none" w:sz="0" w:space="0" w:color="auto"/>
            <w:left w:val="none" w:sz="0" w:space="0" w:color="auto"/>
            <w:bottom w:val="none" w:sz="0" w:space="0" w:color="auto"/>
            <w:right w:val="none" w:sz="0" w:space="0" w:color="auto"/>
          </w:divBdr>
        </w:div>
        <w:div w:id="723794366">
          <w:marLeft w:val="0"/>
          <w:marRight w:val="0"/>
          <w:marTop w:val="0"/>
          <w:marBottom w:val="0"/>
          <w:divBdr>
            <w:top w:val="none" w:sz="0" w:space="0" w:color="auto"/>
            <w:left w:val="none" w:sz="0" w:space="0" w:color="auto"/>
            <w:bottom w:val="none" w:sz="0" w:space="0" w:color="auto"/>
            <w:right w:val="none" w:sz="0" w:space="0" w:color="auto"/>
          </w:divBdr>
        </w:div>
        <w:div w:id="948195126">
          <w:marLeft w:val="0"/>
          <w:marRight w:val="0"/>
          <w:marTop w:val="0"/>
          <w:marBottom w:val="0"/>
          <w:divBdr>
            <w:top w:val="none" w:sz="0" w:space="0" w:color="auto"/>
            <w:left w:val="none" w:sz="0" w:space="0" w:color="auto"/>
            <w:bottom w:val="none" w:sz="0" w:space="0" w:color="auto"/>
            <w:right w:val="none" w:sz="0" w:space="0" w:color="auto"/>
          </w:divBdr>
        </w:div>
        <w:div w:id="1511220892">
          <w:marLeft w:val="0"/>
          <w:marRight w:val="0"/>
          <w:marTop w:val="0"/>
          <w:marBottom w:val="0"/>
          <w:divBdr>
            <w:top w:val="none" w:sz="0" w:space="0" w:color="auto"/>
            <w:left w:val="none" w:sz="0" w:space="0" w:color="auto"/>
            <w:bottom w:val="none" w:sz="0" w:space="0" w:color="auto"/>
            <w:right w:val="none" w:sz="0" w:space="0" w:color="auto"/>
          </w:divBdr>
        </w:div>
        <w:div w:id="618757499">
          <w:marLeft w:val="0"/>
          <w:marRight w:val="0"/>
          <w:marTop w:val="0"/>
          <w:marBottom w:val="0"/>
          <w:divBdr>
            <w:top w:val="none" w:sz="0" w:space="0" w:color="auto"/>
            <w:left w:val="none" w:sz="0" w:space="0" w:color="auto"/>
            <w:bottom w:val="none" w:sz="0" w:space="0" w:color="auto"/>
            <w:right w:val="none" w:sz="0" w:space="0" w:color="auto"/>
          </w:divBdr>
        </w:div>
        <w:div w:id="81529705">
          <w:marLeft w:val="0"/>
          <w:marRight w:val="0"/>
          <w:marTop w:val="0"/>
          <w:marBottom w:val="0"/>
          <w:divBdr>
            <w:top w:val="none" w:sz="0" w:space="0" w:color="auto"/>
            <w:left w:val="none" w:sz="0" w:space="0" w:color="auto"/>
            <w:bottom w:val="none" w:sz="0" w:space="0" w:color="auto"/>
            <w:right w:val="none" w:sz="0" w:space="0" w:color="auto"/>
          </w:divBdr>
        </w:div>
        <w:div w:id="1153447930">
          <w:marLeft w:val="0"/>
          <w:marRight w:val="0"/>
          <w:marTop w:val="0"/>
          <w:marBottom w:val="0"/>
          <w:divBdr>
            <w:top w:val="none" w:sz="0" w:space="0" w:color="auto"/>
            <w:left w:val="none" w:sz="0" w:space="0" w:color="auto"/>
            <w:bottom w:val="none" w:sz="0" w:space="0" w:color="auto"/>
            <w:right w:val="none" w:sz="0" w:space="0" w:color="auto"/>
          </w:divBdr>
        </w:div>
        <w:div w:id="344866994">
          <w:marLeft w:val="0"/>
          <w:marRight w:val="0"/>
          <w:marTop w:val="0"/>
          <w:marBottom w:val="0"/>
          <w:divBdr>
            <w:top w:val="none" w:sz="0" w:space="0" w:color="auto"/>
            <w:left w:val="none" w:sz="0" w:space="0" w:color="auto"/>
            <w:bottom w:val="none" w:sz="0" w:space="0" w:color="auto"/>
            <w:right w:val="none" w:sz="0" w:space="0" w:color="auto"/>
          </w:divBdr>
        </w:div>
        <w:div w:id="150484096">
          <w:marLeft w:val="0"/>
          <w:marRight w:val="0"/>
          <w:marTop w:val="0"/>
          <w:marBottom w:val="0"/>
          <w:divBdr>
            <w:top w:val="none" w:sz="0" w:space="0" w:color="auto"/>
            <w:left w:val="none" w:sz="0" w:space="0" w:color="auto"/>
            <w:bottom w:val="none" w:sz="0" w:space="0" w:color="auto"/>
            <w:right w:val="none" w:sz="0" w:space="0" w:color="auto"/>
          </w:divBdr>
        </w:div>
      </w:divsChild>
    </w:div>
    <w:div w:id="734086649">
      <w:bodyDiv w:val="1"/>
      <w:marLeft w:val="0"/>
      <w:marRight w:val="0"/>
      <w:marTop w:val="0"/>
      <w:marBottom w:val="0"/>
      <w:divBdr>
        <w:top w:val="none" w:sz="0" w:space="0" w:color="auto"/>
        <w:left w:val="none" w:sz="0" w:space="0" w:color="auto"/>
        <w:bottom w:val="none" w:sz="0" w:space="0" w:color="auto"/>
        <w:right w:val="none" w:sz="0" w:space="0" w:color="auto"/>
      </w:divBdr>
    </w:div>
    <w:div w:id="880437734">
      <w:bodyDiv w:val="1"/>
      <w:marLeft w:val="0"/>
      <w:marRight w:val="0"/>
      <w:marTop w:val="0"/>
      <w:marBottom w:val="0"/>
      <w:divBdr>
        <w:top w:val="none" w:sz="0" w:space="0" w:color="auto"/>
        <w:left w:val="none" w:sz="0" w:space="0" w:color="auto"/>
        <w:bottom w:val="none" w:sz="0" w:space="0" w:color="auto"/>
        <w:right w:val="none" w:sz="0" w:space="0" w:color="auto"/>
      </w:divBdr>
      <w:divsChild>
        <w:div w:id="1079786395">
          <w:marLeft w:val="0"/>
          <w:marRight w:val="0"/>
          <w:marTop w:val="0"/>
          <w:marBottom w:val="0"/>
          <w:divBdr>
            <w:top w:val="none" w:sz="0" w:space="0" w:color="auto"/>
            <w:left w:val="none" w:sz="0" w:space="0" w:color="auto"/>
            <w:bottom w:val="none" w:sz="0" w:space="0" w:color="auto"/>
            <w:right w:val="none" w:sz="0" w:space="0" w:color="auto"/>
          </w:divBdr>
        </w:div>
        <w:div w:id="828716486">
          <w:marLeft w:val="0"/>
          <w:marRight w:val="0"/>
          <w:marTop w:val="0"/>
          <w:marBottom w:val="0"/>
          <w:divBdr>
            <w:top w:val="none" w:sz="0" w:space="0" w:color="auto"/>
            <w:left w:val="none" w:sz="0" w:space="0" w:color="auto"/>
            <w:bottom w:val="none" w:sz="0" w:space="0" w:color="auto"/>
            <w:right w:val="none" w:sz="0" w:space="0" w:color="auto"/>
          </w:divBdr>
        </w:div>
        <w:div w:id="139736984">
          <w:marLeft w:val="0"/>
          <w:marRight w:val="0"/>
          <w:marTop w:val="0"/>
          <w:marBottom w:val="0"/>
          <w:divBdr>
            <w:top w:val="none" w:sz="0" w:space="0" w:color="auto"/>
            <w:left w:val="none" w:sz="0" w:space="0" w:color="auto"/>
            <w:bottom w:val="none" w:sz="0" w:space="0" w:color="auto"/>
            <w:right w:val="none" w:sz="0" w:space="0" w:color="auto"/>
          </w:divBdr>
        </w:div>
        <w:div w:id="1579751835">
          <w:marLeft w:val="0"/>
          <w:marRight w:val="0"/>
          <w:marTop w:val="0"/>
          <w:marBottom w:val="0"/>
          <w:divBdr>
            <w:top w:val="none" w:sz="0" w:space="0" w:color="auto"/>
            <w:left w:val="none" w:sz="0" w:space="0" w:color="auto"/>
            <w:bottom w:val="none" w:sz="0" w:space="0" w:color="auto"/>
            <w:right w:val="none" w:sz="0" w:space="0" w:color="auto"/>
          </w:divBdr>
        </w:div>
        <w:div w:id="1711421873">
          <w:marLeft w:val="0"/>
          <w:marRight w:val="0"/>
          <w:marTop w:val="0"/>
          <w:marBottom w:val="0"/>
          <w:divBdr>
            <w:top w:val="none" w:sz="0" w:space="0" w:color="auto"/>
            <w:left w:val="none" w:sz="0" w:space="0" w:color="auto"/>
            <w:bottom w:val="none" w:sz="0" w:space="0" w:color="auto"/>
            <w:right w:val="none" w:sz="0" w:space="0" w:color="auto"/>
          </w:divBdr>
        </w:div>
        <w:div w:id="1571693198">
          <w:marLeft w:val="0"/>
          <w:marRight w:val="0"/>
          <w:marTop w:val="0"/>
          <w:marBottom w:val="0"/>
          <w:divBdr>
            <w:top w:val="none" w:sz="0" w:space="0" w:color="auto"/>
            <w:left w:val="none" w:sz="0" w:space="0" w:color="auto"/>
            <w:bottom w:val="none" w:sz="0" w:space="0" w:color="auto"/>
            <w:right w:val="none" w:sz="0" w:space="0" w:color="auto"/>
          </w:divBdr>
        </w:div>
        <w:div w:id="581598025">
          <w:marLeft w:val="0"/>
          <w:marRight w:val="0"/>
          <w:marTop w:val="0"/>
          <w:marBottom w:val="0"/>
          <w:divBdr>
            <w:top w:val="none" w:sz="0" w:space="0" w:color="auto"/>
            <w:left w:val="none" w:sz="0" w:space="0" w:color="auto"/>
            <w:bottom w:val="none" w:sz="0" w:space="0" w:color="auto"/>
            <w:right w:val="none" w:sz="0" w:space="0" w:color="auto"/>
          </w:divBdr>
        </w:div>
        <w:div w:id="1349022400">
          <w:marLeft w:val="0"/>
          <w:marRight w:val="0"/>
          <w:marTop w:val="0"/>
          <w:marBottom w:val="0"/>
          <w:divBdr>
            <w:top w:val="none" w:sz="0" w:space="0" w:color="auto"/>
            <w:left w:val="none" w:sz="0" w:space="0" w:color="auto"/>
            <w:bottom w:val="none" w:sz="0" w:space="0" w:color="auto"/>
            <w:right w:val="none" w:sz="0" w:space="0" w:color="auto"/>
          </w:divBdr>
        </w:div>
        <w:div w:id="1369986090">
          <w:marLeft w:val="0"/>
          <w:marRight w:val="0"/>
          <w:marTop w:val="0"/>
          <w:marBottom w:val="0"/>
          <w:divBdr>
            <w:top w:val="none" w:sz="0" w:space="0" w:color="auto"/>
            <w:left w:val="none" w:sz="0" w:space="0" w:color="auto"/>
            <w:bottom w:val="none" w:sz="0" w:space="0" w:color="auto"/>
            <w:right w:val="none" w:sz="0" w:space="0" w:color="auto"/>
          </w:divBdr>
        </w:div>
        <w:div w:id="1602252115">
          <w:marLeft w:val="0"/>
          <w:marRight w:val="0"/>
          <w:marTop w:val="0"/>
          <w:marBottom w:val="0"/>
          <w:divBdr>
            <w:top w:val="none" w:sz="0" w:space="0" w:color="auto"/>
            <w:left w:val="none" w:sz="0" w:space="0" w:color="auto"/>
            <w:bottom w:val="none" w:sz="0" w:space="0" w:color="auto"/>
            <w:right w:val="none" w:sz="0" w:space="0" w:color="auto"/>
          </w:divBdr>
        </w:div>
        <w:div w:id="666860686">
          <w:marLeft w:val="0"/>
          <w:marRight w:val="0"/>
          <w:marTop w:val="0"/>
          <w:marBottom w:val="0"/>
          <w:divBdr>
            <w:top w:val="none" w:sz="0" w:space="0" w:color="auto"/>
            <w:left w:val="none" w:sz="0" w:space="0" w:color="auto"/>
            <w:bottom w:val="none" w:sz="0" w:space="0" w:color="auto"/>
            <w:right w:val="none" w:sz="0" w:space="0" w:color="auto"/>
          </w:divBdr>
        </w:div>
        <w:div w:id="332952485">
          <w:marLeft w:val="0"/>
          <w:marRight w:val="0"/>
          <w:marTop w:val="0"/>
          <w:marBottom w:val="0"/>
          <w:divBdr>
            <w:top w:val="none" w:sz="0" w:space="0" w:color="auto"/>
            <w:left w:val="none" w:sz="0" w:space="0" w:color="auto"/>
            <w:bottom w:val="none" w:sz="0" w:space="0" w:color="auto"/>
            <w:right w:val="none" w:sz="0" w:space="0" w:color="auto"/>
          </w:divBdr>
        </w:div>
        <w:div w:id="645016403">
          <w:marLeft w:val="0"/>
          <w:marRight w:val="0"/>
          <w:marTop w:val="0"/>
          <w:marBottom w:val="0"/>
          <w:divBdr>
            <w:top w:val="none" w:sz="0" w:space="0" w:color="auto"/>
            <w:left w:val="none" w:sz="0" w:space="0" w:color="auto"/>
            <w:bottom w:val="none" w:sz="0" w:space="0" w:color="auto"/>
            <w:right w:val="none" w:sz="0" w:space="0" w:color="auto"/>
          </w:divBdr>
        </w:div>
        <w:div w:id="680199490">
          <w:marLeft w:val="0"/>
          <w:marRight w:val="0"/>
          <w:marTop w:val="0"/>
          <w:marBottom w:val="0"/>
          <w:divBdr>
            <w:top w:val="none" w:sz="0" w:space="0" w:color="auto"/>
            <w:left w:val="none" w:sz="0" w:space="0" w:color="auto"/>
            <w:bottom w:val="none" w:sz="0" w:space="0" w:color="auto"/>
            <w:right w:val="none" w:sz="0" w:space="0" w:color="auto"/>
          </w:divBdr>
        </w:div>
        <w:div w:id="807893106">
          <w:marLeft w:val="0"/>
          <w:marRight w:val="0"/>
          <w:marTop w:val="0"/>
          <w:marBottom w:val="0"/>
          <w:divBdr>
            <w:top w:val="none" w:sz="0" w:space="0" w:color="auto"/>
            <w:left w:val="none" w:sz="0" w:space="0" w:color="auto"/>
            <w:bottom w:val="none" w:sz="0" w:space="0" w:color="auto"/>
            <w:right w:val="none" w:sz="0" w:space="0" w:color="auto"/>
          </w:divBdr>
        </w:div>
        <w:div w:id="1315254771">
          <w:marLeft w:val="0"/>
          <w:marRight w:val="0"/>
          <w:marTop w:val="0"/>
          <w:marBottom w:val="0"/>
          <w:divBdr>
            <w:top w:val="none" w:sz="0" w:space="0" w:color="auto"/>
            <w:left w:val="none" w:sz="0" w:space="0" w:color="auto"/>
            <w:bottom w:val="none" w:sz="0" w:space="0" w:color="auto"/>
            <w:right w:val="none" w:sz="0" w:space="0" w:color="auto"/>
          </w:divBdr>
        </w:div>
        <w:div w:id="1586182569">
          <w:marLeft w:val="0"/>
          <w:marRight w:val="0"/>
          <w:marTop w:val="0"/>
          <w:marBottom w:val="0"/>
          <w:divBdr>
            <w:top w:val="none" w:sz="0" w:space="0" w:color="auto"/>
            <w:left w:val="none" w:sz="0" w:space="0" w:color="auto"/>
            <w:bottom w:val="none" w:sz="0" w:space="0" w:color="auto"/>
            <w:right w:val="none" w:sz="0" w:space="0" w:color="auto"/>
          </w:divBdr>
        </w:div>
        <w:div w:id="868641978">
          <w:marLeft w:val="0"/>
          <w:marRight w:val="0"/>
          <w:marTop w:val="0"/>
          <w:marBottom w:val="0"/>
          <w:divBdr>
            <w:top w:val="none" w:sz="0" w:space="0" w:color="auto"/>
            <w:left w:val="none" w:sz="0" w:space="0" w:color="auto"/>
            <w:bottom w:val="none" w:sz="0" w:space="0" w:color="auto"/>
            <w:right w:val="none" w:sz="0" w:space="0" w:color="auto"/>
          </w:divBdr>
        </w:div>
      </w:divsChild>
    </w:div>
    <w:div w:id="927888115">
      <w:bodyDiv w:val="1"/>
      <w:marLeft w:val="0"/>
      <w:marRight w:val="0"/>
      <w:marTop w:val="0"/>
      <w:marBottom w:val="0"/>
      <w:divBdr>
        <w:top w:val="none" w:sz="0" w:space="0" w:color="auto"/>
        <w:left w:val="none" w:sz="0" w:space="0" w:color="auto"/>
        <w:bottom w:val="none" w:sz="0" w:space="0" w:color="auto"/>
        <w:right w:val="none" w:sz="0" w:space="0" w:color="auto"/>
      </w:divBdr>
    </w:div>
    <w:div w:id="996686389">
      <w:bodyDiv w:val="1"/>
      <w:marLeft w:val="0"/>
      <w:marRight w:val="0"/>
      <w:marTop w:val="0"/>
      <w:marBottom w:val="0"/>
      <w:divBdr>
        <w:top w:val="none" w:sz="0" w:space="0" w:color="auto"/>
        <w:left w:val="none" w:sz="0" w:space="0" w:color="auto"/>
        <w:bottom w:val="none" w:sz="0" w:space="0" w:color="auto"/>
        <w:right w:val="none" w:sz="0" w:space="0" w:color="auto"/>
      </w:divBdr>
    </w:div>
    <w:div w:id="1031952196">
      <w:bodyDiv w:val="1"/>
      <w:marLeft w:val="0"/>
      <w:marRight w:val="0"/>
      <w:marTop w:val="0"/>
      <w:marBottom w:val="0"/>
      <w:divBdr>
        <w:top w:val="none" w:sz="0" w:space="0" w:color="auto"/>
        <w:left w:val="none" w:sz="0" w:space="0" w:color="auto"/>
        <w:bottom w:val="none" w:sz="0" w:space="0" w:color="auto"/>
        <w:right w:val="none" w:sz="0" w:space="0" w:color="auto"/>
      </w:divBdr>
    </w:div>
    <w:div w:id="1094744562">
      <w:bodyDiv w:val="1"/>
      <w:marLeft w:val="0"/>
      <w:marRight w:val="0"/>
      <w:marTop w:val="0"/>
      <w:marBottom w:val="0"/>
      <w:divBdr>
        <w:top w:val="none" w:sz="0" w:space="0" w:color="auto"/>
        <w:left w:val="none" w:sz="0" w:space="0" w:color="auto"/>
        <w:bottom w:val="none" w:sz="0" w:space="0" w:color="auto"/>
        <w:right w:val="none" w:sz="0" w:space="0" w:color="auto"/>
      </w:divBdr>
      <w:divsChild>
        <w:div w:id="890265685">
          <w:marLeft w:val="0"/>
          <w:marRight w:val="0"/>
          <w:marTop w:val="0"/>
          <w:marBottom w:val="0"/>
          <w:divBdr>
            <w:top w:val="none" w:sz="0" w:space="0" w:color="auto"/>
            <w:left w:val="none" w:sz="0" w:space="0" w:color="auto"/>
            <w:bottom w:val="none" w:sz="0" w:space="0" w:color="auto"/>
            <w:right w:val="none" w:sz="0" w:space="0" w:color="auto"/>
          </w:divBdr>
        </w:div>
        <w:div w:id="1130245380">
          <w:marLeft w:val="0"/>
          <w:marRight w:val="0"/>
          <w:marTop w:val="0"/>
          <w:marBottom w:val="0"/>
          <w:divBdr>
            <w:top w:val="none" w:sz="0" w:space="0" w:color="auto"/>
            <w:left w:val="none" w:sz="0" w:space="0" w:color="auto"/>
            <w:bottom w:val="none" w:sz="0" w:space="0" w:color="auto"/>
            <w:right w:val="none" w:sz="0" w:space="0" w:color="auto"/>
          </w:divBdr>
        </w:div>
        <w:div w:id="221524467">
          <w:marLeft w:val="0"/>
          <w:marRight w:val="0"/>
          <w:marTop w:val="0"/>
          <w:marBottom w:val="0"/>
          <w:divBdr>
            <w:top w:val="none" w:sz="0" w:space="0" w:color="auto"/>
            <w:left w:val="none" w:sz="0" w:space="0" w:color="auto"/>
            <w:bottom w:val="none" w:sz="0" w:space="0" w:color="auto"/>
            <w:right w:val="none" w:sz="0" w:space="0" w:color="auto"/>
          </w:divBdr>
        </w:div>
        <w:div w:id="1483766084">
          <w:marLeft w:val="0"/>
          <w:marRight w:val="0"/>
          <w:marTop w:val="0"/>
          <w:marBottom w:val="0"/>
          <w:divBdr>
            <w:top w:val="none" w:sz="0" w:space="0" w:color="auto"/>
            <w:left w:val="none" w:sz="0" w:space="0" w:color="auto"/>
            <w:bottom w:val="none" w:sz="0" w:space="0" w:color="auto"/>
            <w:right w:val="none" w:sz="0" w:space="0" w:color="auto"/>
          </w:divBdr>
        </w:div>
        <w:div w:id="1136407461">
          <w:marLeft w:val="0"/>
          <w:marRight w:val="0"/>
          <w:marTop w:val="0"/>
          <w:marBottom w:val="0"/>
          <w:divBdr>
            <w:top w:val="none" w:sz="0" w:space="0" w:color="auto"/>
            <w:left w:val="none" w:sz="0" w:space="0" w:color="auto"/>
            <w:bottom w:val="none" w:sz="0" w:space="0" w:color="auto"/>
            <w:right w:val="none" w:sz="0" w:space="0" w:color="auto"/>
          </w:divBdr>
        </w:div>
        <w:div w:id="1363482485">
          <w:marLeft w:val="0"/>
          <w:marRight w:val="0"/>
          <w:marTop w:val="0"/>
          <w:marBottom w:val="0"/>
          <w:divBdr>
            <w:top w:val="none" w:sz="0" w:space="0" w:color="auto"/>
            <w:left w:val="none" w:sz="0" w:space="0" w:color="auto"/>
            <w:bottom w:val="none" w:sz="0" w:space="0" w:color="auto"/>
            <w:right w:val="none" w:sz="0" w:space="0" w:color="auto"/>
          </w:divBdr>
        </w:div>
        <w:div w:id="14505288">
          <w:marLeft w:val="0"/>
          <w:marRight w:val="0"/>
          <w:marTop w:val="0"/>
          <w:marBottom w:val="0"/>
          <w:divBdr>
            <w:top w:val="none" w:sz="0" w:space="0" w:color="auto"/>
            <w:left w:val="none" w:sz="0" w:space="0" w:color="auto"/>
            <w:bottom w:val="none" w:sz="0" w:space="0" w:color="auto"/>
            <w:right w:val="none" w:sz="0" w:space="0" w:color="auto"/>
          </w:divBdr>
        </w:div>
        <w:div w:id="1285506665">
          <w:marLeft w:val="0"/>
          <w:marRight w:val="0"/>
          <w:marTop w:val="0"/>
          <w:marBottom w:val="0"/>
          <w:divBdr>
            <w:top w:val="none" w:sz="0" w:space="0" w:color="auto"/>
            <w:left w:val="none" w:sz="0" w:space="0" w:color="auto"/>
            <w:bottom w:val="none" w:sz="0" w:space="0" w:color="auto"/>
            <w:right w:val="none" w:sz="0" w:space="0" w:color="auto"/>
          </w:divBdr>
        </w:div>
        <w:div w:id="1493595716">
          <w:marLeft w:val="0"/>
          <w:marRight w:val="0"/>
          <w:marTop w:val="0"/>
          <w:marBottom w:val="0"/>
          <w:divBdr>
            <w:top w:val="none" w:sz="0" w:space="0" w:color="auto"/>
            <w:left w:val="none" w:sz="0" w:space="0" w:color="auto"/>
            <w:bottom w:val="none" w:sz="0" w:space="0" w:color="auto"/>
            <w:right w:val="none" w:sz="0" w:space="0" w:color="auto"/>
          </w:divBdr>
        </w:div>
        <w:div w:id="1195576840">
          <w:marLeft w:val="0"/>
          <w:marRight w:val="0"/>
          <w:marTop w:val="0"/>
          <w:marBottom w:val="0"/>
          <w:divBdr>
            <w:top w:val="none" w:sz="0" w:space="0" w:color="auto"/>
            <w:left w:val="none" w:sz="0" w:space="0" w:color="auto"/>
            <w:bottom w:val="none" w:sz="0" w:space="0" w:color="auto"/>
            <w:right w:val="none" w:sz="0" w:space="0" w:color="auto"/>
          </w:divBdr>
        </w:div>
        <w:div w:id="1426613729">
          <w:marLeft w:val="0"/>
          <w:marRight w:val="0"/>
          <w:marTop w:val="0"/>
          <w:marBottom w:val="0"/>
          <w:divBdr>
            <w:top w:val="none" w:sz="0" w:space="0" w:color="auto"/>
            <w:left w:val="none" w:sz="0" w:space="0" w:color="auto"/>
            <w:bottom w:val="none" w:sz="0" w:space="0" w:color="auto"/>
            <w:right w:val="none" w:sz="0" w:space="0" w:color="auto"/>
          </w:divBdr>
        </w:div>
        <w:div w:id="575164996">
          <w:marLeft w:val="0"/>
          <w:marRight w:val="0"/>
          <w:marTop w:val="0"/>
          <w:marBottom w:val="0"/>
          <w:divBdr>
            <w:top w:val="none" w:sz="0" w:space="0" w:color="auto"/>
            <w:left w:val="none" w:sz="0" w:space="0" w:color="auto"/>
            <w:bottom w:val="none" w:sz="0" w:space="0" w:color="auto"/>
            <w:right w:val="none" w:sz="0" w:space="0" w:color="auto"/>
          </w:divBdr>
        </w:div>
        <w:div w:id="372004344">
          <w:marLeft w:val="0"/>
          <w:marRight w:val="0"/>
          <w:marTop w:val="0"/>
          <w:marBottom w:val="0"/>
          <w:divBdr>
            <w:top w:val="none" w:sz="0" w:space="0" w:color="auto"/>
            <w:left w:val="none" w:sz="0" w:space="0" w:color="auto"/>
            <w:bottom w:val="none" w:sz="0" w:space="0" w:color="auto"/>
            <w:right w:val="none" w:sz="0" w:space="0" w:color="auto"/>
          </w:divBdr>
        </w:div>
        <w:div w:id="893929621">
          <w:marLeft w:val="0"/>
          <w:marRight w:val="0"/>
          <w:marTop w:val="0"/>
          <w:marBottom w:val="0"/>
          <w:divBdr>
            <w:top w:val="none" w:sz="0" w:space="0" w:color="auto"/>
            <w:left w:val="none" w:sz="0" w:space="0" w:color="auto"/>
            <w:bottom w:val="none" w:sz="0" w:space="0" w:color="auto"/>
            <w:right w:val="none" w:sz="0" w:space="0" w:color="auto"/>
          </w:divBdr>
        </w:div>
        <w:div w:id="201940469">
          <w:marLeft w:val="0"/>
          <w:marRight w:val="0"/>
          <w:marTop w:val="0"/>
          <w:marBottom w:val="0"/>
          <w:divBdr>
            <w:top w:val="none" w:sz="0" w:space="0" w:color="auto"/>
            <w:left w:val="none" w:sz="0" w:space="0" w:color="auto"/>
            <w:bottom w:val="none" w:sz="0" w:space="0" w:color="auto"/>
            <w:right w:val="none" w:sz="0" w:space="0" w:color="auto"/>
          </w:divBdr>
        </w:div>
        <w:div w:id="382414638">
          <w:marLeft w:val="0"/>
          <w:marRight w:val="0"/>
          <w:marTop w:val="0"/>
          <w:marBottom w:val="0"/>
          <w:divBdr>
            <w:top w:val="none" w:sz="0" w:space="0" w:color="auto"/>
            <w:left w:val="none" w:sz="0" w:space="0" w:color="auto"/>
            <w:bottom w:val="none" w:sz="0" w:space="0" w:color="auto"/>
            <w:right w:val="none" w:sz="0" w:space="0" w:color="auto"/>
          </w:divBdr>
        </w:div>
        <w:div w:id="406076762">
          <w:marLeft w:val="0"/>
          <w:marRight w:val="0"/>
          <w:marTop w:val="0"/>
          <w:marBottom w:val="0"/>
          <w:divBdr>
            <w:top w:val="none" w:sz="0" w:space="0" w:color="auto"/>
            <w:left w:val="none" w:sz="0" w:space="0" w:color="auto"/>
            <w:bottom w:val="none" w:sz="0" w:space="0" w:color="auto"/>
            <w:right w:val="none" w:sz="0" w:space="0" w:color="auto"/>
          </w:divBdr>
        </w:div>
      </w:divsChild>
    </w:div>
    <w:div w:id="1268738745">
      <w:bodyDiv w:val="1"/>
      <w:marLeft w:val="0"/>
      <w:marRight w:val="0"/>
      <w:marTop w:val="0"/>
      <w:marBottom w:val="0"/>
      <w:divBdr>
        <w:top w:val="none" w:sz="0" w:space="0" w:color="auto"/>
        <w:left w:val="none" w:sz="0" w:space="0" w:color="auto"/>
        <w:bottom w:val="none" w:sz="0" w:space="0" w:color="auto"/>
        <w:right w:val="none" w:sz="0" w:space="0" w:color="auto"/>
      </w:divBdr>
      <w:divsChild>
        <w:div w:id="729618578">
          <w:marLeft w:val="0"/>
          <w:marRight w:val="0"/>
          <w:marTop w:val="0"/>
          <w:marBottom w:val="0"/>
          <w:divBdr>
            <w:top w:val="none" w:sz="0" w:space="0" w:color="auto"/>
            <w:left w:val="none" w:sz="0" w:space="0" w:color="auto"/>
            <w:bottom w:val="none" w:sz="0" w:space="0" w:color="auto"/>
            <w:right w:val="none" w:sz="0" w:space="0" w:color="auto"/>
          </w:divBdr>
        </w:div>
        <w:div w:id="888691727">
          <w:marLeft w:val="0"/>
          <w:marRight w:val="0"/>
          <w:marTop w:val="0"/>
          <w:marBottom w:val="0"/>
          <w:divBdr>
            <w:top w:val="none" w:sz="0" w:space="0" w:color="auto"/>
            <w:left w:val="none" w:sz="0" w:space="0" w:color="auto"/>
            <w:bottom w:val="none" w:sz="0" w:space="0" w:color="auto"/>
            <w:right w:val="none" w:sz="0" w:space="0" w:color="auto"/>
          </w:divBdr>
        </w:div>
        <w:div w:id="1567691932">
          <w:marLeft w:val="0"/>
          <w:marRight w:val="0"/>
          <w:marTop w:val="0"/>
          <w:marBottom w:val="0"/>
          <w:divBdr>
            <w:top w:val="none" w:sz="0" w:space="0" w:color="auto"/>
            <w:left w:val="none" w:sz="0" w:space="0" w:color="auto"/>
            <w:bottom w:val="none" w:sz="0" w:space="0" w:color="auto"/>
            <w:right w:val="none" w:sz="0" w:space="0" w:color="auto"/>
          </w:divBdr>
        </w:div>
        <w:div w:id="599409191">
          <w:marLeft w:val="0"/>
          <w:marRight w:val="0"/>
          <w:marTop w:val="0"/>
          <w:marBottom w:val="0"/>
          <w:divBdr>
            <w:top w:val="none" w:sz="0" w:space="0" w:color="auto"/>
            <w:left w:val="none" w:sz="0" w:space="0" w:color="auto"/>
            <w:bottom w:val="none" w:sz="0" w:space="0" w:color="auto"/>
            <w:right w:val="none" w:sz="0" w:space="0" w:color="auto"/>
          </w:divBdr>
        </w:div>
        <w:div w:id="1962683607">
          <w:marLeft w:val="0"/>
          <w:marRight w:val="0"/>
          <w:marTop w:val="0"/>
          <w:marBottom w:val="0"/>
          <w:divBdr>
            <w:top w:val="none" w:sz="0" w:space="0" w:color="auto"/>
            <w:left w:val="none" w:sz="0" w:space="0" w:color="auto"/>
            <w:bottom w:val="none" w:sz="0" w:space="0" w:color="auto"/>
            <w:right w:val="none" w:sz="0" w:space="0" w:color="auto"/>
          </w:divBdr>
        </w:div>
        <w:div w:id="1526598170">
          <w:marLeft w:val="0"/>
          <w:marRight w:val="0"/>
          <w:marTop w:val="0"/>
          <w:marBottom w:val="0"/>
          <w:divBdr>
            <w:top w:val="none" w:sz="0" w:space="0" w:color="auto"/>
            <w:left w:val="none" w:sz="0" w:space="0" w:color="auto"/>
            <w:bottom w:val="none" w:sz="0" w:space="0" w:color="auto"/>
            <w:right w:val="none" w:sz="0" w:space="0" w:color="auto"/>
          </w:divBdr>
        </w:div>
        <w:div w:id="149179591">
          <w:marLeft w:val="0"/>
          <w:marRight w:val="0"/>
          <w:marTop w:val="0"/>
          <w:marBottom w:val="0"/>
          <w:divBdr>
            <w:top w:val="none" w:sz="0" w:space="0" w:color="auto"/>
            <w:left w:val="none" w:sz="0" w:space="0" w:color="auto"/>
            <w:bottom w:val="none" w:sz="0" w:space="0" w:color="auto"/>
            <w:right w:val="none" w:sz="0" w:space="0" w:color="auto"/>
          </w:divBdr>
        </w:div>
        <w:div w:id="396166564">
          <w:marLeft w:val="0"/>
          <w:marRight w:val="0"/>
          <w:marTop w:val="0"/>
          <w:marBottom w:val="0"/>
          <w:divBdr>
            <w:top w:val="none" w:sz="0" w:space="0" w:color="auto"/>
            <w:left w:val="none" w:sz="0" w:space="0" w:color="auto"/>
            <w:bottom w:val="none" w:sz="0" w:space="0" w:color="auto"/>
            <w:right w:val="none" w:sz="0" w:space="0" w:color="auto"/>
          </w:divBdr>
        </w:div>
        <w:div w:id="1605193180">
          <w:marLeft w:val="0"/>
          <w:marRight w:val="0"/>
          <w:marTop w:val="0"/>
          <w:marBottom w:val="0"/>
          <w:divBdr>
            <w:top w:val="none" w:sz="0" w:space="0" w:color="auto"/>
            <w:left w:val="none" w:sz="0" w:space="0" w:color="auto"/>
            <w:bottom w:val="none" w:sz="0" w:space="0" w:color="auto"/>
            <w:right w:val="none" w:sz="0" w:space="0" w:color="auto"/>
          </w:divBdr>
        </w:div>
        <w:div w:id="195629934">
          <w:marLeft w:val="0"/>
          <w:marRight w:val="0"/>
          <w:marTop w:val="0"/>
          <w:marBottom w:val="0"/>
          <w:divBdr>
            <w:top w:val="none" w:sz="0" w:space="0" w:color="auto"/>
            <w:left w:val="none" w:sz="0" w:space="0" w:color="auto"/>
            <w:bottom w:val="none" w:sz="0" w:space="0" w:color="auto"/>
            <w:right w:val="none" w:sz="0" w:space="0" w:color="auto"/>
          </w:divBdr>
        </w:div>
        <w:div w:id="1781754338">
          <w:marLeft w:val="0"/>
          <w:marRight w:val="0"/>
          <w:marTop w:val="0"/>
          <w:marBottom w:val="0"/>
          <w:divBdr>
            <w:top w:val="none" w:sz="0" w:space="0" w:color="auto"/>
            <w:left w:val="none" w:sz="0" w:space="0" w:color="auto"/>
            <w:bottom w:val="none" w:sz="0" w:space="0" w:color="auto"/>
            <w:right w:val="none" w:sz="0" w:space="0" w:color="auto"/>
          </w:divBdr>
        </w:div>
        <w:div w:id="697437536">
          <w:marLeft w:val="0"/>
          <w:marRight w:val="0"/>
          <w:marTop w:val="0"/>
          <w:marBottom w:val="0"/>
          <w:divBdr>
            <w:top w:val="none" w:sz="0" w:space="0" w:color="auto"/>
            <w:left w:val="none" w:sz="0" w:space="0" w:color="auto"/>
            <w:bottom w:val="none" w:sz="0" w:space="0" w:color="auto"/>
            <w:right w:val="none" w:sz="0" w:space="0" w:color="auto"/>
          </w:divBdr>
        </w:div>
        <w:div w:id="622998753">
          <w:marLeft w:val="0"/>
          <w:marRight w:val="0"/>
          <w:marTop w:val="0"/>
          <w:marBottom w:val="0"/>
          <w:divBdr>
            <w:top w:val="none" w:sz="0" w:space="0" w:color="auto"/>
            <w:left w:val="none" w:sz="0" w:space="0" w:color="auto"/>
            <w:bottom w:val="none" w:sz="0" w:space="0" w:color="auto"/>
            <w:right w:val="none" w:sz="0" w:space="0" w:color="auto"/>
          </w:divBdr>
        </w:div>
        <w:div w:id="616909242">
          <w:marLeft w:val="0"/>
          <w:marRight w:val="0"/>
          <w:marTop w:val="0"/>
          <w:marBottom w:val="0"/>
          <w:divBdr>
            <w:top w:val="none" w:sz="0" w:space="0" w:color="auto"/>
            <w:left w:val="none" w:sz="0" w:space="0" w:color="auto"/>
            <w:bottom w:val="none" w:sz="0" w:space="0" w:color="auto"/>
            <w:right w:val="none" w:sz="0" w:space="0" w:color="auto"/>
          </w:divBdr>
        </w:div>
        <w:div w:id="109201922">
          <w:marLeft w:val="0"/>
          <w:marRight w:val="0"/>
          <w:marTop w:val="0"/>
          <w:marBottom w:val="0"/>
          <w:divBdr>
            <w:top w:val="none" w:sz="0" w:space="0" w:color="auto"/>
            <w:left w:val="none" w:sz="0" w:space="0" w:color="auto"/>
            <w:bottom w:val="none" w:sz="0" w:space="0" w:color="auto"/>
            <w:right w:val="none" w:sz="0" w:space="0" w:color="auto"/>
          </w:divBdr>
        </w:div>
        <w:div w:id="1028797620">
          <w:marLeft w:val="0"/>
          <w:marRight w:val="0"/>
          <w:marTop w:val="0"/>
          <w:marBottom w:val="0"/>
          <w:divBdr>
            <w:top w:val="none" w:sz="0" w:space="0" w:color="auto"/>
            <w:left w:val="none" w:sz="0" w:space="0" w:color="auto"/>
            <w:bottom w:val="none" w:sz="0" w:space="0" w:color="auto"/>
            <w:right w:val="none" w:sz="0" w:space="0" w:color="auto"/>
          </w:divBdr>
        </w:div>
        <w:div w:id="2061436451">
          <w:marLeft w:val="0"/>
          <w:marRight w:val="0"/>
          <w:marTop w:val="0"/>
          <w:marBottom w:val="0"/>
          <w:divBdr>
            <w:top w:val="none" w:sz="0" w:space="0" w:color="auto"/>
            <w:left w:val="none" w:sz="0" w:space="0" w:color="auto"/>
            <w:bottom w:val="none" w:sz="0" w:space="0" w:color="auto"/>
            <w:right w:val="none" w:sz="0" w:space="0" w:color="auto"/>
          </w:divBdr>
        </w:div>
        <w:div w:id="2098090268">
          <w:marLeft w:val="0"/>
          <w:marRight w:val="0"/>
          <w:marTop w:val="0"/>
          <w:marBottom w:val="0"/>
          <w:divBdr>
            <w:top w:val="none" w:sz="0" w:space="0" w:color="auto"/>
            <w:left w:val="none" w:sz="0" w:space="0" w:color="auto"/>
            <w:bottom w:val="none" w:sz="0" w:space="0" w:color="auto"/>
            <w:right w:val="none" w:sz="0" w:space="0" w:color="auto"/>
          </w:divBdr>
        </w:div>
      </w:divsChild>
    </w:div>
    <w:div w:id="1332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0"/>
          <w:marTop w:val="0"/>
          <w:marBottom w:val="0"/>
          <w:divBdr>
            <w:top w:val="none" w:sz="0" w:space="0" w:color="auto"/>
            <w:left w:val="none" w:sz="0" w:space="0" w:color="auto"/>
            <w:bottom w:val="none" w:sz="0" w:space="0" w:color="auto"/>
            <w:right w:val="none" w:sz="0" w:space="0" w:color="auto"/>
          </w:divBdr>
          <w:divsChild>
            <w:div w:id="2057387766">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0"/>
                  <w:marRight w:val="0"/>
                  <w:marTop w:val="0"/>
                  <w:marBottom w:val="0"/>
                  <w:divBdr>
                    <w:top w:val="none" w:sz="0" w:space="0" w:color="auto"/>
                    <w:left w:val="none" w:sz="0" w:space="0" w:color="auto"/>
                    <w:bottom w:val="none" w:sz="0" w:space="0" w:color="auto"/>
                    <w:right w:val="none" w:sz="0" w:space="0" w:color="auto"/>
                  </w:divBdr>
                </w:div>
                <w:div w:id="1971667040">
                  <w:marLeft w:val="0"/>
                  <w:marRight w:val="0"/>
                  <w:marTop w:val="0"/>
                  <w:marBottom w:val="0"/>
                  <w:divBdr>
                    <w:top w:val="none" w:sz="0" w:space="0" w:color="auto"/>
                    <w:left w:val="none" w:sz="0" w:space="0" w:color="auto"/>
                    <w:bottom w:val="none" w:sz="0" w:space="0" w:color="auto"/>
                    <w:right w:val="none" w:sz="0" w:space="0" w:color="auto"/>
                  </w:divBdr>
                </w:div>
                <w:div w:id="933824387">
                  <w:marLeft w:val="0"/>
                  <w:marRight w:val="0"/>
                  <w:marTop w:val="0"/>
                  <w:marBottom w:val="0"/>
                  <w:divBdr>
                    <w:top w:val="none" w:sz="0" w:space="0" w:color="auto"/>
                    <w:left w:val="none" w:sz="0" w:space="0" w:color="auto"/>
                    <w:bottom w:val="none" w:sz="0" w:space="0" w:color="auto"/>
                    <w:right w:val="none" w:sz="0" w:space="0" w:color="auto"/>
                  </w:divBdr>
                </w:div>
                <w:div w:id="1045326633">
                  <w:marLeft w:val="0"/>
                  <w:marRight w:val="0"/>
                  <w:marTop w:val="0"/>
                  <w:marBottom w:val="0"/>
                  <w:divBdr>
                    <w:top w:val="none" w:sz="0" w:space="0" w:color="auto"/>
                    <w:left w:val="none" w:sz="0" w:space="0" w:color="auto"/>
                    <w:bottom w:val="none" w:sz="0" w:space="0" w:color="auto"/>
                    <w:right w:val="none" w:sz="0" w:space="0" w:color="auto"/>
                  </w:divBdr>
                </w:div>
                <w:div w:id="732856075">
                  <w:marLeft w:val="0"/>
                  <w:marRight w:val="0"/>
                  <w:marTop w:val="0"/>
                  <w:marBottom w:val="0"/>
                  <w:divBdr>
                    <w:top w:val="none" w:sz="0" w:space="0" w:color="auto"/>
                    <w:left w:val="none" w:sz="0" w:space="0" w:color="auto"/>
                    <w:bottom w:val="none" w:sz="0" w:space="0" w:color="auto"/>
                    <w:right w:val="none" w:sz="0" w:space="0" w:color="auto"/>
                  </w:divBdr>
                </w:div>
                <w:div w:id="1761292890">
                  <w:marLeft w:val="0"/>
                  <w:marRight w:val="0"/>
                  <w:marTop w:val="0"/>
                  <w:marBottom w:val="0"/>
                  <w:divBdr>
                    <w:top w:val="none" w:sz="0" w:space="0" w:color="auto"/>
                    <w:left w:val="none" w:sz="0" w:space="0" w:color="auto"/>
                    <w:bottom w:val="none" w:sz="0" w:space="0" w:color="auto"/>
                    <w:right w:val="none" w:sz="0" w:space="0" w:color="auto"/>
                  </w:divBdr>
                </w:div>
                <w:div w:id="1136148120">
                  <w:marLeft w:val="0"/>
                  <w:marRight w:val="0"/>
                  <w:marTop w:val="0"/>
                  <w:marBottom w:val="0"/>
                  <w:divBdr>
                    <w:top w:val="none" w:sz="0" w:space="0" w:color="auto"/>
                    <w:left w:val="none" w:sz="0" w:space="0" w:color="auto"/>
                    <w:bottom w:val="none" w:sz="0" w:space="0" w:color="auto"/>
                    <w:right w:val="none" w:sz="0" w:space="0" w:color="auto"/>
                  </w:divBdr>
                </w:div>
                <w:div w:id="1436749967">
                  <w:marLeft w:val="0"/>
                  <w:marRight w:val="0"/>
                  <w:marTop w:val="0"/>
                  <w:marBottom w:val="0"/>
                  <w:divBdr>
                    <w:top w:val="none" w:sz="0" w:space="0" w:color="auto"/>
                    <w:left w:val="none" w:sz="0" w:space="0" w:color="auto"/>
                    <w:bottom w:val="none" w:sz="0" w:space="0" w:color="auto"/>
                    <w:right w:val="none" w:sz="0" w:space="0" w:color="auto"/>
                  </w:divBdr>
                </w:div>
                <w:div w:id="1311446284">
                  <w:marLeft w:val="0"/>
                  <w:marRight w:val="0"/>
                  <w:marTop w:val="0"/>
                  <w:marBottom w:val="0"/>
                  <w:divBdr>
                    <w:top w:val="none" w:sz="0" w:space="0" w:color="auto"/>
                    <w:left w:val="none" w:sz="0" w:space="0" w:color="auto"/>
                    <w:bottom w:val="none" w:sz="0" w:space="0" w:color="auto"/>
                    <w:right w:val="none" w:sz="0" w:space="0" w:color="auto"/>
                  </w:divBdr>
                </w:div>
                <w:div w:id="241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21778">
      <w:bodyDiv w:val="1"/>
      <w:marLeft w:val="0"/>
      <w:marRight w:val="0"/>
      <w:marTop w:val="0"/>
      <w:marBottom w:val="0"/>
      <w:divBdr>
        <w:top w:val="none" w:sz="0" w:space="0" w:color="auto"/>
        <w:left w:val="none" w:sz="0" w:space="0" w:color="auto"/>
        <w:bottom w:val="none" w:sz="0" w:space="0" w:color="auto"/>
        <w:right w:val="none" w:sz="0" w:space="0" w:color="auto"/>
      </w:divBdr>
    </w:div>
    <w:div w:id="1432237045">
      <w:bodyDiv w:val="1"/>
      <w:marLeft w:val="0"/>
      <w:marRight w:val="0"/>
      <w:marTop w:val="0"/>
      <w:marBottom w:val="0"/>
      <w:divBdr>
        <w:top w:val="none" w:sz="0" w:space="0" w:color="auto"/>
        <w:left w:val="none" w:sz="0" w:space="0" w:color="auto"/>
        <w:bottom w:val="none" w:sz="0" w:space="0" w:color="auto"/>
        <w:right w:val="none" w:sz="0" w:space="0" w:color="auto"/>
      </w:divBdr>
      <w:divsChild>
        <w:div w:id="818309416">
          <w:marLeft w:val="0"/>
          <w:marRight w:val="0"/>
          <w:marTop w:val="67"/>
          <w:marBottom w:val="0"/>
          <w:divBdr>
            <w:top w:val="none" w:sz="0" w:space="0" w:color="auto"/>
            <w:left w:val="none" w:sz="0" w:space="0" w:color="auto"/>
            <w:bottom w:val="none" w:sz="0" w:space="0" w:color="auto"/>
            <w:right w:val="none" w:sz="0" w:space="0" w:color="auto"/>
          </w:divBdr>
        </w:div>
        <w:div w:id="206652463">
          <w:marLeft w:val="0"/>
          <w:marRight w:val="0"/>
          <w:marTop w:val="67"/>
          <w:marBottom w:val="0"/>
          <w:divBdr>
            <w:top w:val="none" w:sz="0" w:space="0" w:color="auto"/>
            <w:left w:val="none" w:sz="0" w:space="0" w:color="auto"/>
            <w:bottom w:val="none" w:sz="0" w:space="0" w:color="auto"/>
            <w:right w:val="none" w:sz="0" w:space="0" w:color="auto"/>
          </w:divBdr>
        </w:div>
        <w:div w:id="1972469711">
          <w:marLeft w:val="0"/>
          <w:marRight w:val="0"/>
          <w:marTop w:val="67"/>
          <w:marBottom w:val="0"/>
          <w:divBdr>
            <w:top w:val="none" w:sz="0" w:space="0" w:color="auto"/>
            <w:left w:val="none" w:sz="0" w:space="0" w:color="auto"/>
            <w:bottom w:val="none" w:sz="0" w:space="0" w:color="auto"/>
            <w:right w:val="none" w:sz="0" w:space="0" w:color="auto"/>
          </w:divBdr>
        </w:div>
      </w:divsChild>
    </w:div>
    <w:div w:id="1563327346">
      <w:bodyDiv w:val="1"/>
      <w:marLeft w:val="0"/>
      <w:marRight w:val="0"/>
      <w:marTop w:val="0"/>
      <w:marBottom w:val="0"/>
      <w:divBdr>
        <w:top w:val="none" w:sz="0" w:space="0" w:color="auto"/>
        <w:left w:val="none" w:sz="0" w:space="0" w:color="auto"/>
        <w:bottom w:val="none" w:sz="0" w:space="0" w:color="auto"/>
        <w:right w:val="none" w:sz="0" w:space="0" w:color="auto"/>
      </w:divBdr>
      <w:divsChild>
        <w:div w:id="2079283780">
          <w:marLeft w:val="0"/>
          <w:marRight w:val="0"/>
          <w:marTop w:val="0"/>
          <w:marBottom w:val="0"/>
          <w:divBdr>
            <w:top w:val="none" w:sz="0" w:space="0" w:color="auto"/>
            <w:left w:val="none" w:sz="0" w:space="0" w:color="auto"/>
            <w:bottom w:val="none" w:sz="0" w:space="0" w:color="auto"/>
            <w:right w:val="none" w:sz="0" w:space="0" w:color="auto"/>
          </w:divBdr>
        </w:div>
        <w:div w:id="222714278">
          <w:marLeft w:val="0"/>
          <w:marRight w:val="0"/>
          <w:marTop w:val="0"/>
          <w:marBottom w:val="0"/>
          <w:divBdr>
            <w:top w:val="none" w:sz="0" w:space="0" w:color="auto"/>
            <w:left w:val="none" w:sz="0" w:space="0" w:color="auto"/>
            <w:bottom w:val="none" w:sz="0" w:space="0" w:color="auto"/>
            <w:right w:val="none" w:sz="0" w:space="0" w:color="auto"/>
          </w:divBdr>
        </w:div>
        <w:div w:id="1422722757">
          <w:marLeft w:val="0"/>
          <w:marRight w:val="0"/>
          <w:marTop w:val="0"/>
          <w:marBottom w:val="0"/>
          <w:divBdr>
            <w:top w:val="none" w:sz="0" w:space="0" w:color="auto"/>
            <w:left w:val="none" w:sz="0" w:space="0" w:color="auto"/>
            <w:bottom w:val="none" w:sz="0" w:space="0" w:color="auto"/>
            <w:right w:val="none" w:sz="0" w:space="0" w:color="auto"/>
          </w:divBdr>
        </w:div>
        <w:div w:id="871453626">
          <w:marLeft w:val="0"/>
          <w:marRight w:val="0"/>
          <w:marTop w:val="0"/>
          <w:marBottom w:val="0"/>
          <w:divBdr>
            <w:top w:val="none" w:sz="0" w:space="0" w:color="auto"/>
            <w:left w:val="none" w:sz="0" w:space="0" w:color="auto"/>
            <w:bottom w:val="none" w:sz="0" w:space="0" w:color="auto"/>
            <w:right w:val="none" w:sz="0" w:space="0" w:color="auto"/>
          </w:divBdr>
        </w:div>
        <w:div w:id="743843706">
          <w:marLeft w:val="0"/>
          <w:marRight w:val="0"/>
          <w:marTop w:val="0"/>
          <w:marBottom w:val="0"/>
          <w:divBdr>
            <w:top w:val="none" w:sz="0" w:space="0" w:color="auto"/>
            <w:left w:val="none" w:sz="0" w:space="0" w:color="auto"/>
            <w:bottom w:val="none" w:sz="0" w:space="0" w:color="auto"/>
            <w:right w:val="none" w:sz="0" w:space="0" w:color="auto"/>
          </w:divBdr>
        </w:div>
        <w:div w:id="31853283">
          <w:marLeft w:val="0"/>
          <w:marRight w:val="0"/>
          <w:marTop w:val="0"/>
          <w:marBottom w:val="0"/>
          <w:divBdr>
            <w:top w:val="none" w:sz="0" w:space="0" w:color="auto"/>
            <w:left w:val="none" w:sz="0" w:space="0" w:color="auto"/>
            <w:bottom w:val="none" w:sz="0" w:space="0" w:color="auto"/>
            <w:right w:val="none" w:sz="0" w:space="0" w:color="auto"/>
          </w:divBdr>
        </w:div>
        <w:div w:id="930890150">
          <w:marLeft w:val="0"/>
          <w:marRight w:val="0"/>
          <w:marTop w:val="0"/>
          <w:marBottom w:val="0"/>
          <w:divBdr>
            <w:top w:val="none" w:sz="0" w:space="0" w:color="auto"/>
            <w:left w:val="none" w:sz="0" w:space="0" w:color="auto"/>
            <w:bottom w:val="none" w:sz="0" w:space="0" w:color="auto"/>
            <w:right w:val="none" w:sz="0" w:space="0" w:color="auto"/>
          </w:divBdr>
        </w:div>
        <w:div w:id="437019454">
          <w:marLeft w:val="0"/>
          <w:marRight w:val="0"/>
          <w:marTop w:val="0"/>
          <w:marBottom w:val="0"/>
          <w:divBdr>
            <w:top w:val="none" w:sz="0" w:space="0" w:color="auto"/>
            <w:left w:val="none" w:sz="0" w:space="0" w:color="auto"/>
            <w:bottom w:val="none" w:sz="0" w:space="0" w:color="auto"/>
            <w:right w:val="none" w:sz="0" w:space="0" w:color="auto"/>
          </w:divBdr>
        </w:div>
        <w:div w:id="1675035135">
          <w:marLeft w:val="0"/>
          <w:marRight w:val="0"/>
          <w:marTop w:val="0"/>
          <w:marBottom w:val="0"/>
          <w:divBdr>
            <w:top w:val="none" w:sz="0" w:space="0" w:color="auto"/>
            <w:left w:val="none" w:sz="0" w:space="0" w:color="auto"/>
            <w:bottom w:val="none" w:sz="0" w:space="0" w:color="auto"/>
            <w:right w:val="none" w:sz="0" w:space="0" w:color="auto"/>
          </w:divBdr>
        </w:div>
        <w:div w:id="702366670">
          <w:marLeft w:val="0"/>
          <w:marRight w:val="0"/>
          <w:marTop w:val="0"/>
          <w:marBottom w:val="0"/>
          <w:divBdr>
            <w:top w:val="none" w:sz="0" w:space="0" w:color="auto"/>
            <w:left w:val="none" w:sz="0" w:space="0" w:color="auto"/>
            <w:bottom w:val="none" w:sz="0" w:space="0" w:color="auto"/>
            <w:right w:val="none" w:sz="0" w:space="0" w:color="auto"/>
          </w:divBdr>
        </w:div>
        <w:div w:id="1618486981">
          <w:marLeft w:val="0"/>
          <w:marRight w:val="0"/>
          <w:marTop w:val="0"/>
          <w:marBottom w:val="0"/>
          <w:divBdr>
            <w:top w:val="none" w:sz="0" w:space="0" w:color="auto"/>
            <w:left w:val="none" w:sz="0" w:space="0" w:color="auto"/>
            <w:bottom w:val="none" w:sz="0" w:space="0" w:color="auto"/>
            <w:right w:val="none" w:sz="0" w:space="0" w:color="auto"/>
          </w:divBdr>
        </w:div>
        <w:div w:id="1664242415">
          <w:marLeft w:val="0"/>
          <w:marRight w:val="0"/>
          <w:marTop w:val="0"/>
          <w:marBottom w:val="0"/>
          <w:divBdr>
            <w:top w:val="none" w:sz="0" w:space="0" w:color="auto"/>
            <w:left w:val="none" w:sz="0" w:space="0" w:color="auto"/>
            <w:bottom w:val="none" w:sz="0" w:space="0" w:color="auto"/>
            <w:right w:val="none" w:sz="0" w:space="0" w:color="auto"/>
          </w:divBdr>
        </w:div>
        <w:div w:id="1175002182">
          <w:marLeft w:val="0"/>
          <w:marRight w:val="0"/>
          <w:marTop w:val="0"/>
          <w:marBottom w:val="0"/>
          <w:divBdr>
            <w:top w:val="none" w:sz="0" w:space="0" w:color="auto"/>
            <w:left w:val="none" w:sz="0" w:space="0" w:color="auto"/>
            <w:bottom w:val="none" w:sz="0" w:space="0" w:color="auto"/>
            <w:right w:val="none" w:sz="0" w:space="0" w:color="auto"/>
          </w:divBdr>
        </w:div>
        <w:div w:id="706688117">
          <w:marLeft w:val="0"/>
          <w:marRight w:val="0"/>
          <w:marTop w:val="0"/>
          <w:marBottom w:val="0"/>
          <w:divBdr>
            <w:top w:val="none" w:sz="0" w:space="0" w:color="auto"/>
            <w:left w:val="none" w:sz="0" w:space="0" w:color="auto"/>
            <w:bottom w:val="none" w:sz="0" w:space="0" w:color="auto"/>
            <w:right w:val="none" w:sz="0" w:space="0" w:color="auto"/>
          </w:divBdr>
        </w:div>
        <w:div w:id="45181174">
          <w:marLeft w:val="0"/>
          <w:marRight w:val="0"/>
          <w:marTop w:val="0"/>
          <w:marBottom w:val="0"/>
          <w:divBdr>
            <w:top w:val="none" w:sz="0" w:space="0" w:color="auto"/>
            <w:left w:val="none" w:sz="0" w:space="0" w:color="auto"/>
            <w:bottom w:val="none" w:sz="0" w:space="0" w:color="auto"/>
            <w:right w:val="none" w:sz="0" w:space="0" w:color="auto"/>
          </w:divBdr>
        </w:div>
        <w:div w:id="1154565211">
          <w:marLeft w:val="0"/>
          <w:marRight w:val="0"/>
          <w:marTop w:val="0"/>
          <w:marBottom w:val="0"/>
          <w:divBdr>
            <w:top w:val="none" w:sz="0" w:space="0" w:color="auto"/>
            <w:left w:val="none" w:sz="0" w:space="0" w:color="auto"/>
            <w:bottom w:val="none" w:sz="0" w:space="0" w:color="auto"/>
            <w:right w:val="none" w:sz="0" w:space="0" w:color="auto"/>
          </w:divBdr>
        </w:div>
        <w:div w:id="1682928035">
          <w:marLeft w:val="0"/>
          <w:marRight w:val="0"/>
          <w:marTop w:val="0"/>
          <w:marBottom w:val="0"/>
          <w:divBdr>
            <w:top w:val="none" w:sz="0" w:space="0" w:color="auto"/>
            <w:left w:val="none" w:sz="0" w:space="0" w:color="auto"/>
            <w:bottom w:val="none" w:sz="0" w:space="0" w:color="auto"/>
            <w:right w:val="none" w:sz="0" w:space="0" w:color="auto"/>
          </w:divBdr>
        </w:div>
        <w:div w:id="649410957">
          <w:marLeft w:val="0"/>
          <w:marRight w:val="0"/>
          <w:marTop w:val="0"/>
          <w:marBottom w:val="0"/>
          <w:divBdr>
            <w:top w:val="none" w:sz="0" w:space="0" w:color="auto"/>
            <w:left w:val="none" w:sz="0" w:space="0" w:color="auto"/>
            <w:bottom w:val="none" w:sz="0" w:space="0" w:color="auto"/>
            <w:right w:val="none" w:sz="0" w:space="0" w:color="auto"/>
          </w:divBdr>
        </w:div>
      </w:divsChild>
    </w:div>
    <w:div w:id="1721854630">
      <w:bodyDiv w:val="1"/>
      <w:marLeft w:val="0"/>
      <w:marRight w:val="0"/>
      <w:marTop w:val="0"/>
      <w:marBottom w:val="0"/>
      <w:divBdr>
        <w:top w:val="none" w:sz="0" w:space="0" w:color="auto"/>
        <w:left w:val="none" w:sz="0" w:space="0" w:color="auto"/>
        <w:bottom w:val="none" w:sz="0" w:space="0" w:color="auto"/>
        <w:right w:val="none" w:sz="0" w:space="0" w:color="auto"/>
      </w:divBdr>
      <w:divsChild>
        <w:div w:id="449321228">
          <w:marLeft w:val="0"/>
          <w:marRight w:val="0"/>
          <w:marTop w:val="0"/>
          <w:marBottom w:val="0"/>
          <w:divBdr>
            <w:top w:val="none" w:sz="0" w:space="0" w:color="auto"/>
            <w:left w:val="none" w:sz="0" w:space="0" w:color="auto"/>
            <w:bottom w:val="none" w:sz="0" w:space="0" w:color="auto"/>
            <w:right w:val="none" w:sz="0" w:space="0" w:color="auto"/>
          </w:divBdr>
        </w:div>
        <w:div w:id="25720178">
          <w:marLeft w:val="0"/>
          <w:marRight w:val="0"/>
          <w:marTop w:val="0"/>
          <w:marBottom w:val="0"/>
          <w:divBdr>
            <w:top w:val="none" w:sz="0" w:space="0" w:color="auto"/>
            <w:left w:val="none" w:sz="0" w:space="0" w:color="auto"/>
            <w:bottom w:val="none" w:sz="0" w:space="0" w:color="auto"/>
            <w:right w:val="none" w:sz="0" w:space="0" w:color="auto"/>
          </w:divBdr>
        </w:div>
        <w:div w:id="796945821">
          <w:marLeft w:val="0"/>
          <w:marRight w:val="0"/>
          <w:marTop w:val="0"/>
          <w:marBottom w:val="0"/>
          <w:divBdr>
            <w:top w:val="none" w:sz="0" w:space="0" w:color="auto"/>
            <w:left w:val="none" w:sz="0" w:space="0" w:color="auto"/>
            <w:bottom w:val="none" w:sz="0" w:space="0" w:color="auto"/>
            <w:right w:val="none" w:sz="0" w:space="0" w:color="auto"/>
          </w:divBdr>
        </w:div>
        <w:div w:id="1114134120">
          <w:marLeft w:val="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
        <w:div w:id="1931309706">
          <w:marLeft w:val="0"/>
          <w:marRight w:val="0"/>
          <w:marTop w:val="0"/>
          <w:marBottom w:val="0"/>
          <w:divBdr>
            <w:top w:val="none" w:sz="0" w:space="0" w:color="auto"/>
            <w:left w:val="none" w:sz="0" w:space="0" w:color="auto"/>
            <w:bottom w:val="none" w:sz="0" w:space="0" w:color="auto"/>
            <w:right w:val="none" w:sz="0" w:space="0" w:color="auto"/>
          </w:divBdr>
        </w:div>
        <w:div w:id="1223953495">
          <w:marLeft w:val="0"/>
          <w:marRight w:val="0"/>
          <w:marTop w:val="0"/>
          <w:marBottom w:val="0"/>
          <w:divBdr>
            <w:top w:val="none" w:sz="0" w:space="0" w:color="auto"/>
            <w:left w:val="none" w:sz="0" w:space="0" w:color="auto"/>
            <w:bottom w:val="none" w:sz="0" w:space="0" w:color="auto"/>
            <w:right w:val="none" w:sz="0" w:space="0" w:color="auto"/>
          </w:divBdr>
        </w:div>
        <w:div w:id="1896306775">
          <w:marLeft w:val="0"/>
          <w:marRight w:val="0"/>
          <w:marTop w:val="0"/>
          <w:marBottom w:val="0"/>
          <w:divBdr>
            <w:top w:val="none" w:sz="0" w:space="0" w:color="auto"/>
            <w:left w:val="none" w:sz="0" w:space="0" w:color="auto"/>
            <w:bottom w:val="none" w:sz="0" w:space="0" w:color="auto"/>
            <w:right w:val="none" w:sz="0" w:space="0" w:color="auto"/>
          </w:divBdr>
        </w:div>
        <w:div w:id="697513328">
          <w:marLeft w:val="0"/>
          <w:marRight w:val="0"/>
          <w:marTop w:val="0"/>
          <w:marBottom w:val="0"/>
          <w:divBdr>
            <w:top w:val="none" w:sz="0" w:space="0" w:color="auto"/>
            <w:left w:val="none" w:sz="0" w:space="0" w:color="auto"/>
            <w:bottom w:val="none" w:sz="0" w:space="0" w:color="auto"/>
            <w:right w:val="none" w:sz="0" w:space="0" w:color="auto"/>
          </w:divBdr>
        </w:div>
        <w:div w:id="569661076">
          <w:marLeft w:val="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1730954914">
      <w:bodyDiv w:val="1"/>
      <w:marLeft w:val="0"/>
      <w:marRight w:val="0"/>
      <w:marTop w:val="0"/>
      <w:marBottom w:val="0"/>
      <w:divBdr>
        <w:top w:val="none" w:sz="0" w:space="0" w:color="auto"/>
        <w:left w:val="none" w:sz="0" w:space="0" w:color="auto"/>
        <w:bottom w:val="none" w:sz="0" w:space="0" w:color="auto"/>
        <w:right w:val="none" w:sz="0" w:space="0" w:color="auto"/>
      </w:divBdr>
    </w:div>
    <w:div w:id="1930504641">
      <w:bodyDiv w:val="1"/>
      <w:marLeft w:val="0"/>
      <w:marRight w:val="0"/>
      <w:marTop w:val="0"/>
      <w:marBottom w:val="0"/>
      <w:divBdr>
        <w:top w:val="none" w:sz="0" w:space="0" w:color="auto"/>
        <w:left w:val="none" w:sz="0" w:space="0" w:color="auto"/>
        <w:bottom w:val="none" w:sz="0" w:space="0" w:color="auto"/>
        <w:right w:val="none" w:sz="0" w:space="0" w:color="auto"/>
      </w:divBdr>
    </w:div>
    <w:div w:id="1962808253">
      <w:bodyDiv w:val="1"/>
      <w:marLeft w:val="0"/>
      <w:marRight w:val="0"/>
      <w:marTop w:val="0"/>
      <w:marBottom w:val="0"/>
      <w:divBdr>
        <w:top w:val="none" w:sz="0" w:space="0" w:color="auto"/>
        <w:left w:val="none" w:sz="0" w:space="0" w:color="auto"/>
        <w:bottom w:val="none" w:sz="0" w:space="0" w:color="auto"/>
        <w:right w:val="none" w:sz="0" w:space="0" w:color="auto"/>
      </w:divBdr>
    </w:div>
    <w:div w:id="2116709975">
      <w:bodyDiv w:val="1"/>
      <w:marLeft w:val="0"/>
      <w:marRight w:val="0"/>
      <w:marTop w:val="0"/>
      <w:marBottom w:val="0"/>
      <w:divBdr>
        <w:top w:val="none" w:sz="0" w:space="0" w:color="auto"/>
        <w:left w:val="none" w:sz="0" w:space="0" w:color="auto"/>
        <w:bottom w:val="none" w:sz="0" w:space="0" w:color="auto"/>
        <w:right w:val="none" w:sz="0" w:space="0" w:color="auto"/>
      </w:divBdr>
      <w:divsChild>
        <w:div w:id="945306330">
          <w:marLeft w:val="0"/>
          <w:marRight w:val="0"/>
          <w:marTop w:val="0"/>
          <w:marBottom w:val="0"/>
          <w:divBdr>
            <w:top w:val="none" w:sz="0" w:space="0" w:color="auto"/>
            <w:left w:val="none" w:sz="0" w:space="0" w:color="auto"/>
            <w:bottom w:val="none" w:sz="0" w:space="0" w:color="auto"/>
            <w:right w:val="none" w:sz="0" w:space="0" w:color="auto"/>
          </w:divBdr>
        </w:div>
        <w:div w:id="1701861681">
          <w:marLeft w:val="0"/>
          <w:marRight w:val="0"/>
          <w:marTop w:val="0"/>
          <w:marBottom w:val="0"/>
          <w:divBdr>
            <w:top w:val="none" w:sz="0" w:space="0" w:color="auto"/>
            <w:left w:val="none" w:sz="0" w:space="0" w:color="auto"/>
            <w:bottom w:val="none" w:sz="0" w:space="0" w:color="auto"/>
            <w:right w:val="none" w:sz="0" w:space="0" w:color="auto"/>
          </w:divBdr>
        </w:div>
        <w:div w:id="1026517997">
          <w:marLeft w:val="0"/>
          <w:marRight w:val="0"/>
          <w:marTop w:val="0"/>
          <w:marBottom w:val="0"/>
          <w:divBdr>
            <w:top w:val="none" w:sz="0" w:space="0" w:color="auto"/>
            <w:left w:val="none" w:sz="0" w:space="0" w:color="auto"/>
            <w:bottom w:val="none" w:sz="0" w:space="0" w:color="auto"/>
            <w:right w:val="none" w:sz="0" w:space="0" w:color="auto"/>
          </w:divBdr>
        </w:div>
        <w:div w:id="377779277">
          <w:marLeft w:val="0"/>
          <w:marRight w:val="0"/>
          <w:marTop w:val="0"/>
          <w:marBottom w:val="0"/>
          <w:divBdr>
            <w:top w:val="none" w:sz="0" w:space="0" w:color="auto"/>
            <w:left w:val="none" w:sz="0" w:space="0" w:color="auto"/>
            <w:bottom w:val="none" w:sz="0" w:space="0" w:color="auto"/>
            <w:right w:val="none" w:sz="0" w:space="0" w:color="auto"/>
          </w:divBdr>
        </w:div>
        <w:div w:id="1457332354">
          <w:marLeft w:val="0"/>
          <w:marRight w:val="0"/>
          <w:marTop w:val="0"/>
          <w:marBottom w:val="0"/>
          <w:divBdr>
            <w:top w:val="none" w:sz="0" w:space="0" w:color="auto"/>
            <w:left w:val="none" w:sz="0" w:space="0" w:color="auto"/>
            <w:bottom w:val="none" w:sz="0" w:space="0" w:color="auto"/>
            <w:right w:val="none" w:sz="0" w:space="0" w:color="auto"/>
          </w:divBdr>
        </w:div>
        <w:div w:id="707686017">
          <w:marLeft w:val="0"/>
          <w:marRight w:val="0"/>
          <w:marTop w:val="0"/>
          <w:marBottom w:val="0"/>
          <w:divBdr>
            <w:top w:val="none" w:sz="0" w:space="0" w:color="auto"/>
            <w:left w:val="none" w:sz="0" w:space="0" w:color="auto"/>
            <w:bottom w:val="none" w:sz="0" w:space="0" w:color="auto"/>
            <w:right w:val="none" w:sz="0" w:space="0" w:color="auto"/>
          </w:divBdr>
        </w:div>
      </w:divsChild>
    </w:div>
    <w:div w:id="2144275015">
      <w:bodyDiv w:val="1"/>
      <w:marLeft w:val="0"/>
      <w:marRight w:val="0"/>
      <w:marTop w:val="0"/>
      <w:marBottom w:val="0"/>
      <w:divBdr>
        <w:top w:val="none" w:sz="0" w:space="0" w:color="auto"/>
        <w:left w:val="none" w:sz="0" w:space="0" w:color="auto"/>
        <w:bottom w:val="none" w:sz="0" w:space="0" w:color="auto"/>
        <w:right w:val="none" w:sz="0" w:space="0" w:color="auto"/>
      </w:divBdr>
      <w:divsChild>
        <w:div w:id="1057319968">
          <w:marLeft w:val="0"/>
          <w:marRight w:val="0"/>
          <w:marTop w:val="0"/>
          <w:marBottom w:val="0"/>
          <w:divBdr>
            <w:top w:val="none" w:sz="0" w:space="0" w:color="auto"/>
            <w:left w:val="none" w:sz="0" w:space="0" w:color="auto"/>
            <w:bottom w:val="none" w:sz="0" w:space="0" w:color="auto"/>
            <w:right w:val="none" w:sz="0" w:space="0" w:color="auto"/>
          </w:divBdr>
        </w:div>
        <w:div w:id="974339461">
          <w:marLeft w:val="0"/>
          <w:marRight w:val="0"/>
          <w:marTop w:val="0"/>
          <w:marBottom w:val="0"/>
          <w:divBdr>
            <w:top w:val="none" w:sz="0" w:space="0" w:color="auto"/>
            <w:left w:val="none" w:sz="0" w:space="0" w:color="auto"/>
            <w:bottom w:val="none" w:sz="0" w:space="0" w:color="auto"/>
            <w:right w:val="none" w:sz="0" w:space="0" w:color="auto"/>
          </w:divBdr>
        </w:div>
        <w:div w:id="620573465">
          <w:marLeft w:val="0"/>
          <w:marRight w:val="0"/>
          <w:marTop w:val="0"/>
          <w:marBottom w:val="0"/>
          <w:divBdr>
            <w:top w:val="none" w:sz="0" w:space="0" w:color="auto"/>
            <w:left w:val="none" w:sz="0" w:space="0" w:color="auto"/>
            <w:bottom w:val="none" w:sz="0" w:space="0" w:color="auto"/>
            <w:right w:val="none" w:sz="0" w:space="0" w:color="auto"/>
          </w:divBdr>
        </w:div>
        <w:div w:id="1852210153">
          <w:marLeft w:val="0"/>
          <w:marRight w:val="0"/>
          <w:marTop w:val="0"/>
          <w:marBottom w:val="0"/>
          <w:divBdr>
            <w:top w:val="none" w:sz="0" w:space="0" w:color="auto"/>
            <w:left w:val="none" w:sz="0" w:space="0" w:color="auto"/>
            <w:bottom w:val="none" w:sz="0" w:space="0" w:color="auto"/>
            <w:right w:val="none" w:sz="0" w:space="0" w:color="auto"/>
          </w:divBdr>
        </w:div>
        <w:div w:id="1358234067">
          <w:marLeft w:val="0"/>
          <w:marRight w:val="0"/>
          <w:marTop w:val="0"/>
          <w:marBottom w:val="0"/>
          <w:divBdr>
            <w:top w:val="none" w:sz="0" w:space="0" w:color="auto"/>
            <w:left w:val="none" w:sz="0" w:space="0" w:color="auto"/>
            <w:bottom w:val="none" w:sz="0" w:space="0" w:color="auto"/>
            <w:right w:val="none" w:sz="0" w:space="0" w:color="auto"/>
          </w:divBdr>
        </w:div>
        <w:div w:id="2115010186">
          <w:marLeft w:val="0"/>
          <w:marRight w:val="0"/>
          <w:marTop w:val="0"/>
          <w:marBottom w:val="0"/>
          <w:divBdr>
            <w:top w:val="none" w:sz="0" w:space="0" w:color="auto"/>
            <w:left w:val="none" w:sz="0" w:space="0" w:color="auto"/>
            <w:bottom w:val="none" w:sz="0" w:space="0" w:color="auto"/>
            <w:right w:val="none" w:sz="0" w:space="0" w:color="auto"/>
          </w:divBdr>
        </w:div>
        <w:div w:id="61599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kvotakerfid.is/is/sidur/kvotakerfi-og-landsbyggd-hagkvaemni-byggdi"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paul.marchal@ifremer.fr" TargetMode="Externa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aul\DPS\Theme_4\P2_DEMOSTEM\TRANZEF\Work\Step_0\Symposia\EAF08\EAF08_Marchal%20et%20al_Manage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D31D-237D-4C14-B75B-2724A5E7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EAF08_Marchal et al_Management.dot</Template>
  <TotalTime>1</TotalTime>
  <Pages>54</Pages>
  <Words>13435</Words>
  <Characters>81954</Characters>
  <Application>Microsoft Office Word</Application>
  <DocSecurity>0</DocSecurity>
  <Lines>682</Lines>
  <Paragraphs>190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Titre</vt:lpstr>
      <vt:lpstr>Titre</vt:lpstr>
      <vt:lpstr>Titre</vt:lpstr>
    </vt:vector>
  </TitlesOfParts>
  <Company>INRA</Company>
  <LinksUpToDate>false</LinksUpToDate>
  <CharactersWithSpaces>95199</CharactersWithSpaces>
  <SharedDoc>false</SharedDoc>
  <HLinks>
    <vt:vector size="6" baseType="variant">
      <vt:variant>
        <vt:i4>5242942</vt:i4>
      </vt:variant>
      <vt:variant>
        <vt:i4>0</vt:i4>
      </vt:variant>
      <vt:variant>
        <vt:i4>0</vt:i4>
      </vt:variant>
      <vt:variant>
        <vt:i4>5</vt:i4>
      </vt:variant>
      <vt:variant>
        <vt:lpwstr>mailto:paul.marchal@ifremer.fr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pmarchal</dc:creator>
  <cp:lastModifiedBy>Carina Anderberg</cp:lastModifiedBy>
  <cp:revision>2</cp:revision>
  <cp:lastPrinted>2015-10-23T14:00:00Z</cp:lastPrinted>
  <dcterms:created xsi:type="dcterms:W3CDTF">2018-04-20T08:40:00Z</dcterms:created>
  <dcterms:modified xsi:type="dcterms:W3CDTF">2018-04-20T08:40:00Z</dcterms:modified>
</cp:coreProperties>
</file>