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6B382" w14:textId="0B29E6F7" w:rsidR="0051394C" w:rsidRPr="00294BBF" w:rsidRDefault="002B450E" w:rsidP="00BA1420">
      <w:pPr>
        <w:pStyle w:val="Default"/>
        <w:rPr>
          <w:b/>
          <w:bCs/>
          <w:color w:val="000000" w:themeColor="text1"/>
          <w:sz w:val="22"/>
          <w:szCs w:val="22"/>
        </w:rPr>
      </w:pPr>
      <w:bookmarkStart w:id="0" w:name="_GoBack"/>
      <w:r w:rsidRPr="00294BBF">
        <w:rPr>
          <w:b/>
          <w:color w:val="000000" w:themeColor="text1"/>
          <w:sz w:val="28"/>
          <w:szCs w:val="22"/>
        </w:rPr>
        <w:t xml:space="preserve">Oceanographic </w:t>
      </w:r>
      <w:r w:rsidR="00F73E6A" w:rsidRPr="00294BBF">
        <w:rPr>
          <w:b/>
          <w:color w:val="000000" w:themeColor="text1"/>
          <w:sz w:val="28"/>
          <w:szCs w:val="22"/>
        </w:rPr>
        <w:t>variability</w:t>
      </w:r>
      <w:r w:rsidRPr="00294BBF">
        <w:rPr>
          <w:b/>
          <w:color w:val="000000" w:themeColor="text1"/>
          <w:sz w:val="28"/>
          <w:szCs w:val="22"/>
        </w:rPr>
        <w:t xml:space="preserve"> </w:t>
      </w:r>
      <w:r w:rsidR="00D96BF5" w:rsidRPr="00294BBF">
        <w:rPr>
          <w:b/>
          <w:color w:val="000000" w:themeColor="text1"/>
          <w:sz w:val="28"/>
          <w:szCs w:val="22"/>
        </w:rPr>
        <w:t>shape</w:t>
      </w:r>
      <w:r w:rsidR="00F73E6A" w:rsidRPr="00294BBF">
        <w:rPr>
          <w:b/>
          <w:color w:val="000000" w:themeColor="text1"/>
          <w:sz w:val="28"/>
          <w:szCs w:val="22"/>
        </w:rPr>
        <w:t>s</w:t>
      </w:r>
      <w:r w:rsidRPr="00294BBF">
        <w:rPr>
          <w:b/>
          <w:color w:val="000000" w:themeColor="text1"/>
          <w:sz w:val="28"/>
          <w:szCs w:val="22"/>
        </w:rPr>
        <w:t xml:space="preserve"> the spawning distribution of blue whiting</w:t>
      </w:r>
      <w:r w:rsidR="00C27032" w:rsidRPr="00294BBF">
        <w:rPr>
          <w:b/>
          <w:bCs/>
          <w:color w:val="000000" w:themeColor="text1"/>
          <w:sz w:val="28"/>
          <w:szCs w:val="22"/>
        </w:rPr>
        <w:t xml:space="preserve"> (</w:t>
      </w:r>
      <w:proofErr w:type="spellStart"/>
      <w:r w:rsidR="00C27032" w:rsidRPr="00294BBF">
        <w:rPr>
          <w:b/>
          <w:bCs/>
          <w:i/>
          <w:iCs/>
          <w:color w:val="000000" w:themeColor="text1"/>
          <w:sz w:val="28"/>
          <w:szCs w:val="22"/>
        </w:rPr>
        <w:t>Micromesistius</w:t>
      </w:r>
      <w:proofErr w:type="spellEnd"/>
      <w:r w:rsidR="00C27032" w:rsidRPr="00294BBF">
        <w:rPr>
          <w:b/>
          <w:bCs/>
          <w:i/>
          <w:iCs/>
          <w:color w:val="000000" w:themeColor="text1"/>
          <w:sz w:val="28"/>
          <w:szCs w:val="22"/>
        </w:rPr>
        <w:t xml:space="preserve"> </w:t>
      </w:r>
      <w:proofErr w:type="spellStart"/>
      <w:r w:rsidR="00C27032" w:rsidRPr="00294BBF">
        <w:rPr>
          <w:b/>
          <w:bCs/>
          <w:i/>
          <w:iCs/>
          <w:color w:val="000000" w:themeColor="text1"/>
          <w:sz w:val="28"/>
          <w:szCs w:val="22"/>
        </w:rPr>
        <w:t>poutassou</w:t>
      </w:r>
      <w:proofErr w:type="spellEnd"/>
      <w:r w:rsidR="00C27032" w:rsidRPr="00294BBF">
        <w:rPr>
          <w:b/>
          <w:bCs/>
          <w:color w:val="000000" w:themeColor="text1"/>
          <w:sz w:val="28"/>
          <w:szCs w:val="22"/>
        </w:rPr>
        <w:t xml:space="preserve">) </w:t>
      </w:r>
    </w:p>
    <w:bookmarkEnd w:id="0"/>
    <w:p w14:paraId="0CCEA044" w14:textId="77777777" w:rsidR="00906D59" w:rsidRPr="00294BBF" w:rsidRDefault="00906D59" w:rsidP="00BA1420">
      <w:pPr>
        <w:pStyle w:val="Default"/>
        <w:rPr>
          <w:b/>
          <w:bCs/>
          <w:color w:val="000000" w:themeColor="text1"/>
          <w:sz w:val="22"/>
          <w:szCs w:val="22"/>
        </w:rPr>
      </w:pPr>
    </w:p>
    <w:p w14:paraId="54C3C932" w14:textId="4DEFACA1" w:rsidR="00C27032" w:rsidRPr="00294BBF" w:rsidRDefault="00C27032" w:rsidP="00BA1420">
      <w:pPr>
        <w:pStyle w:val="Default"/>
        <w:rPr>
          <w:b/>
          <w:color w:val="000000" w:themeColor="text1"/>
          <w:sz w:val="22"/>
          <w:szCs w:val="22"/>
        </w:rPr>
      </w:pPr>
    </w:p>
    <w:p w14:paraId="760A725B" w14:textId="666CD7F7" w:rsidR="00C27032" w:rsidRPr="00294BBF" w:rsidRDefault="00BA1420" w:rsidP="00BA1420">
      <w:pPr>
        <w:spacing w:line="240" w:lineRule="auto"/>
        <w:rPr>
          <w:rFonts w:cs="Times New Roman"/>
          <w:b/>
          <w:color w:val="000000" w:themeColor="text1"/>
        </w:rPr>
      </w:pPr>
      <w:r w:rsidRPr="00294BBF">
        <w:rPr>
          <w:rFonts w:cs="Times New Roman"/>
          <w:b/>
          <w:color w:val="000000" w:themeColor="text1"/>
        </w:rPr>
        <w:t>ANNA K. MIESNER</w:t>
      </w:r>
      <w:r w:rsidR="001A50D8" w:rsidRPr="001A50D8">
        <w:rPr>
          <w:rFonts w:cs="Times New Roman"/>
          <w:b/>
          <w:color w:val="000000" w:themeColor="text1"/>
        </w:rPr>
        <w:t>*</w:t>
      </w:r>
      <w:r w:rsidRPr="00294BBF">
        <w:rPr>
          <w:rFonts w:cs="Times New Roman"/>
          <w:b/>
          <w:color w:val="000000" w:themeColor="text1"/>
        </w:rPr>
        <w:t>, MARK R. PAYNE</w:t>
      </w:r>
      <w:r w:rsidRPr="00294BBF">
        <w:rPr>
          <w:rFonts w:cs="Times New Roman"/>
          <w:b/>
          <w:color w:val="000000" w:themeColor="text1"/>
        </w:rPr>
        <w:tab/>
        <w:t xml:space="preserve"> </w:t>
      </w:r>
      <w:r w:rsidR="00C27032" w:rsidRPr="00294BBF">
        <w:rPr>
          <w:rFonts w:cs="Times New Roman"/>
          <w:b/>
          <w:color w:val="000000" w:themeColor="text1"/>
        </w:rPr>
        <w:br/>
      </w:r>
      <w:r w:rsidR="00C27032" w:rsidRPr="00294BBF">
        <w:rPr>
          <w:rFonts w:cs="Times New Roman"/>
          <w:i/>
          <w:color w:val="000000" w:themeColor="text1"/>
        </w:rPr>
        <w:t xml:space="preserve">* Corresponding Author (E-mail: </w:t>
      </w:r>
      <w:r w:rsidR="001A50D8" w:rsidRPr="001A50D8">
        <w:rPr>
          <w:rFonts w:cs="Times New Roman"/>
          <w:i/>
        </w:rPr>
        <w:t>amie@aqua.dtu.dk</w:t>
      </w:r>
      <w:r w:rsidR="00C27032" w:rsidRPr="00294BBF">
        <w:rPr>
          <w:rFonts w:cs="Times New Roman"/>
          <w:i/>
          <w:color w:val="000000" w:themeColor="text1"/>
        </w:rPr>
        <w:t>)</w:t>
      </w:r>
    </w:p>
    <w:p w14:paraId="6F2DF6A7" w14:textId="39110A15" w:rsidR="00AA3B45" w:rsidRPr="00294BBF" w:rsidRDefault="00923411" w:rsidP="00BA1420">
      <w:pPr>
        <w:spacing w:line="240" w:lineRule="auto"/>
        <w:rPr>
          <w:rFonts w:cs="Times New Roman"/>
          <w:i/>
          <w:color w:val="000000" w:themeColor="text1"/>
        </w:rPr>
      </w:pPr>
      <w:r w:rsidRPr="00294BBF">
        <w:rPr>
          <w:rFonts w:cs="Times New Roman"/>
          <w:i/>
          <w:color w:val="000000" w:themeColor="text1"/>
        </w:rPr>
        <w:t xml:space="preserve">Centre for Ocean Life, </w:t>
      </w:r>
      <w:r w:rsidR="00C27032" w:rsidRPr="00294BBF">
        <w:rPr>
          <w:rFonts w:cs="Times New Roman"/>
          <w:i/>
          <w:color w:val="000000" w:themeColor="text1"/>
        </w:rPr>
        <w:t>National Institute of Aquatic Resources (DTU</w:t>
      </w:r>
      <w:r w:rsidR="00381660" w:rsidRPr="00294BBF">
        <w:rPr>
          <w:rFonts w:cs="Times New Roman"/>
          <w:i/>
          <w:color w:val="000000" w:themeColor="text1"/>
        </w:rPr>
        <w:t xml:space="preserve"> </w:t>
      </w:r>
      <w:r w:rsidR="00C27032" w:rsidRPr="00294BBF">
        <w:rPr>
          <w:rFonts w:cs="Times New Roman"/>
          <w:i/>
          <w:color w:val="000000" w:themeColor="text1"/>
        </w:rPr>
        <w:t>Aqua),</w:t>
      </w:r>
      <w:r w:rsidRPr="00294BBF">
        <w:rPr>
          <w:rFonts w:cs="Times New Roman"/>
          <w:i/>
          <w:color w:val="000000" w:themeColor="text1"/>
        </w:rPr>
        <w:t xml:space="preserve"> Technical University of Denmark,</w:t>
      </w:r>
      <w:r w:rsidR="00C27032" w:rsidRPr="00294BBF">
        <w:rPr>
          <w:rFonts w:cs="Times New Roman"/>
          <w:i/>
          <w:color w:val="000000" w:themeColor="text1"/>
        </w:rPr>
        <w:t xml:space="preserve"> </w:t>
      </w:r>
      <w:proofErr w:type="spellStart"/>
      <w:r w:rsidR="00906D59" w:rsidRPr="00294BBF">
        <w:rPr>
          <w:rFonts w:cs="Times New Roman"/>
          <w:i/>
          <w:color w:val="000000" w:themeColor="text1"/>
        </w:rPr>
        <w:t>Kemitorvet</w:t>
      </w:r>
      <w:proofErr w:type="spellEnd"/>
      <w:r w:rsidR="00906D59" w:rsidRPr="00294BBF">
        <w:rPr>
          <w:rFonts w:cs="Times New Roman"/>
          <w:i/>
          <w:color w:val="000000" w:themeColor="text1"/>
        </w:rPr>
        <w:t xml:space="preserve"> B202, 2800 </w:t>
      </w:r>
      <w:proofErr w:type="spellStart"/>
      <w:r w:rsidR="00906D59" w:rsidRPr="00294BBF">
        <w:rPr>
          <w:rFonts w:cs="Times New Roman"/>
          <w:i/>
          <w:color w:val="000000" w:themeColor="text1"/>
        </w:rPr>
        <w:t>Kongens</w:t>
      </w:r>
      <w:proofErr w:type="spellEnd"/>
      <w:r w:rsidR="00906D59" w:rsidRPr="00294BBF">
        <w:rPr>
          <w:rFonts w:cs="Times New Roman"/>
          <w:i/>
          <w:color w:val="000000" w:themeColor="text1"/>
        </w:rPr>
        <w:t xml:space="preserve"> </w:t>
      </w:r>
      <w:proofErr w:type="spellStart"/>
      <w:r w:rsidR="00906D59" w:rsidRPr="00294BBF">
        <w:rPr>
          <w:rFonts w:cs="Times New Roman"/>
          <w:i/>
          <w:color w:val="000000" w:themeColor="text1"/>
        </w:rPr>
        <w:t>Lyngby</w:t>
      </w:r>
      <w:proofErr w:type="spellEnd"/>
    </w:p>
    <w:p w14:paraId="1CD4FE48" w14:textId="77777777" w:rsidR="00C27032" w:rsidRPr="00294BBF" w:rsidRDefault="00C27032" w:rsidP="00C27032">
      <w:pPr>
        <w:pBdr>
          <w:bottom w:val="single" w:sz="4" w:space="1" w:color="auto"/>
        </w:pBdr>
        <w:spacing w:line="240" w:lineRule="auto"/>
        <w:rPr>
          <w:color w:val="000000" w:themeColor="text1"/>
          <w:u w:val="single"/>
          <w:lang w:bidi="en-US"/>
        </w:rPr>
      </w:pPr>
    </w:p>
    <w:p w14:paraId="50C35F61" w14:textId="77777777" w:rsidR="004D4781" w:rsidRPr="00294BBF" w:rsidRDefault="004D4781" w:rsidP="004D4781">
      <w:pPr>
        <w:rPr>
          <w:rFonts w:cs="Mangal"/>
          <w:b/>
          <w:color w:val="000000" w:themeColor="text1"/>
          <w:szCs w:val="21"/>
        </w:rPr>
      </w:pPr>
    </w:p>
    <w:p w14:paraId="0AB4BCD5" w14:textId="54E0568D" w:rsidR="004D4781" w:rsidRPr="00294BBF" w:rsidRDefault="005F7AED" w:rsidP="00AC3EE5">
      <w:pPr>
        <w:rPr>
          <w:rFonts w:cs="Mangal"/>
          <w:color w:val="000000" w:themeColor="text1"/>
          <w:szCs w:val="21"/>
        </w:rPr>
      </w:pPr>
      <w:r w:rsidRPr="00294BBF">
        <w:rPr>
          <w:rFonts w:cs="Mangal"/>
          <w:b/>
          <w:color w:val="000000" w:themeColor="text1"/>
          <w:szCs w:val="21"/>
        </w:rPr>
        <w:t>ACKNOWLEDGMENTS</w:t>
      </w:r>
      <w:r w:rsidRPr="00294BBF">
        <w:rPr>
          <w:rFonts w:cs="Mangal"/>
          <w:b/>
          <w:color w:val="000000" w:themeColor="text1"/>
          <w:szCs w:val="21"/>
        </w:rPr>
        <w:br/>
      </w:r>
      <w:proofErr w:type="gramStart"/>
      <w:r w:rsidR="00804CEF" w:rsidRPr="00294BBF">
        <w:rPr>
          <w:rFonts w:cs="Mangal"/>
          <w:color w:val="000000" w:themeColor="text1"/>
          <w:szCs w:val="21"/>
        </w:rPr>
        <w:t>We</w:t>
      </w:r>
      <w:proofErr w:type="gramEnd"/>
      <w:r w:rsidR="00804CEF" w:rsidRPr="00294BBF">
        <w:rPr>
          <w:rFonts w:cs="Mangal"/>
          <w:color w:val="000000" w:themeColor="text1"/>
          <w:szCs w:val="21"/>
        </w:rPr>
        <w:t xml:space="preserve"> wish to thank Sophie </w:t>
      </w:r>
      <w:proofErr w:type="spellStart"/>
      <w:r w:rsidR="00804CEF" w:rsidRPr="00294BBF">
        <w:rPr>
          <w:rFonts w:cs="Mangal"/>
          <w:color w:val="000000" w:themeColor="text1"/>
          <w:szCs w:val="21"/>
        </w:rPr>
        <w:t>Pitois</w:t>
      </w:r>
      <w:proofErr w:type="spellEnd"/>
      <w:r w:rsidR="00804CEF" w:rsidRPr="00294BBF">
        <w:rPr>
          <w:rFonts w:cs="Mangal"/>
          <w:color w:val="000000" w:themeColor="text1"/>
          <w:szCs w:val="21"/>
        </w:rPr>
        <w:t xml:space="preserve"> (</w:t>
      </w:r>
      <w:proofErr w:type="spellStart"/>
      <w:r w:rsidR="00804CEF" w:rsidRPr="00294BBF">
        <w:rPr>
          <w:rFonts w:cs="Mangal"/>
          <w:color w:val="000000" w:themeColor="text1"/>
          <w:szCs w:val="21"/>
        </w:rPr>
        <w:t>Cefas</w:t>
      </w:r>
      <w:proofErr w:type="spellEnd"/>
      <w:r w:rsidR="00804CEF" w:rsidRPr="00294BBF">
        <w:rPr>
          <w:rFonts w:cs="Mangal"/>
          <w:color w:val="000000" w:themeColor="text1"/>
          <w:szCs w:val="21"/>
        </w:rPr>
        <w:t xml:space="preserve">) and David Johns (SAHFOS) for providing the CPR data. Moreover we wish to thank </w:t>
      </w:r>
      <w:r w:rsidR="00804CEF" w:rsidRPr="00294BBF">
        <w:rPr>
          <w:color w:val="000000" w:themeColor="text1"/>
          <w:lang w:val="en-US"/>
        </w:rPr>
        <w:t>Georg H. Engelhard (</w:t>
      </w:r>
      <w:proofErr w:type="spellStart"/>
      <w:r w:rsidR="00804CEF" w:rsidRPr="00294BBF">
        <w:rPr>
          <w:color w:val="000000" w:themeColor="text1"/>
          <w:lang w:val="en-US"/>
        </w:rPr>
        <w:t>Cefas</w:t>
      </w:r>
      <w:proofErr w:type="spellEnd"/>
      <w:r w:rsidR="00804CEF" w:rsidRPr="00294BBF">
        <w:rPr>
          <w:color w:val="000000" w:themeColor="text1"/>
          <w:lang w:val="en-US"/>
        </w:rPr>
        <w:t>) and a second, anonymous, reviewer whose comments at the review stage greatly improved the manuscript.</w:t>
      </w:r>
      <w:r w:rsidR="00AC3EE5" w:rsidRPr="00AC3EE5">
        <w:rPr>
          <w:rFonts w:cs="Mangal"/>
          <w:color w:val="000000" w:themeColor="text1"/>
          <w:szCs w:val="21"/>
        </w:rPr>
        <w:t xml:space="preserve"> </w:t>
      </w:r>
      <w:r w:rsidR="00AC3EE5" w:rsidRPr="00294BBF">
        <w:rPr>
          <w:rFonts w:cs="Mangal"/>
          <w:color w:val="000000" w:themeColor="text1"/>
          <w:szCs w:val="21"/>
        </w:rPr>
        <w:t>The order of author</w:t>
      </w:r>
      <w:r w:rsidR="00A043E7">
        <w:rPr>
          <w:rFonts w:cs="Mangal"/>
          <w:color w:val="000000" w:themeColor="text1"/>
          <w:szCs w:val="21"/>
        </w:rPr>
        <w:t>s is determined following the</w:t>
      </w:r>
      <w:r w:rsidR="00AC3EE5" w:rsidRPr="00294BBF">
        <w:rPr>
          <w:rFonts w:cs="Mangal"/>
          <w:color w:val="000000" w:themeColor="text1"/>
          <w:szCs w:val="21"/>
        </w:rPr>
        <w:t xml:space="preserve"> “First-last-author-emphasis” norm.</w:t>
      </w:r>
    </w:p>
    <w:p w14:paraId="13FF404B" w14:textId="77777777" w:rsidR="003C717B" w:rsidRPr="00294BBF" w:rsidRDefault="003C717B" w:rsidP="00CE6E4B">
      <w:pPr>
        <w:rPr>
          <w:b/>
          <w:color w:val="000000" w:themeColor="text1"/>
        </w:rPr>
      </w:pPr>
    </w:p>
    <w:p w14:paraId="2122BD3E" w14:textId="25DB809F" w:rsidR="00BA1420" w:rsidRPr="00294BBF" w:rsidRDefault="00BA1420" w:rsidP="002B450E">
      <w:pPr>
        <w:rPr>
          <w:color w:val="000000" w:themeColor="text1"/>
        </w:rPr>
      </w:pPr>
      <w:r w:rsidRPr="00294BBF">
        <w:rPr>
          <w:b/>
          <w:color w:val="000000" w:themeColor="text1"/>
        </w:rPr>
        <w:t>FUNDING</w:t>
      </w:r>
      <w:r w:rsidRPr="00294BBF">
        <w:rPr>
          <w:b/>
          <w:color w:val="000000" w:themeColor="text1"/>
        </w:rPr>
        <w:br/>
      </w:r>
      <w:proofErr w:type="gramStart"/>
      <w:r w:rsidR="00CE6E4B" w:rsidRPr="00294BBF">
        <w:rPr>
          <w:color w:val="000000" w:themeColor="text1"/>
        </w:rPr>
        <w:t>The</w:t>
      </w:r>
      <w:proofErr w:type="gramEnd"/>
      <w:r w:rsidR="00CE6E4B" w:rsidRPr="00294BBF">
        <w:rPr>
          <w:color w:val="000000" w:themeColor="text1"/>
        </w:rPr>
        <w:t xml:space="preserve"> research leading to these results has received funding from</w:t>
      </w:r>
      <w:r w:rsidR="00626D36" w:rsidRPr="00294BBF">
        <w:rPr>
          <w:rFonts w:cs="Calibri"/>
          <w:color w:val="000000" w:themeColor="text1"/>
          <w:szCs w:val="24"/>
        </w:rPr>
        <w:t xml:space="preserve"> the European Community’s Seventh Framework Programme (FP7 2007-2013) un</w:t>
      </w:r>
      <w:r w:rsidR="00830004" w:rsidRPr="00294BBF">
        <w:rPr>
          <w:rFonts w:cs="Calibri"/>
          <w:color w:val="000000" w:themeColor="text1"/>
          <w:szCs w:val="24"/>
        </w:rPr>
        <w:t>der grant agreement No</w:t>
      </w:r>
      <w:r w:rsidR="00626D36" w:rsidRPr="00294BBF">
        <w:rPr>
          <w:rFonts w:cs="Calibri"/>
          <w:color w:val="000000" w:themeColor="text1"/>
          <w:szCs w:val="24"/>
        </w:rPr>
        <w:t xml:space="preserve"> 308299 (NACLIM) and the European Union’s Horizon 2020 research and innovation programme </w:t>
      </w:r>
      <w:r w:rsidR="00626D36" w:rsidRPr="00294BBF">
        <w:rPr>
          <w:color w:val="000000" w:themeColor="text1"/>
        </w:rPr>
        <w:t xml:space="preserve">under grant agreement No 727852 (Blue-Action). </w:t>
      </w:r>
      <w:r w:rsidR="00CE6E4B" w:rsidRPr="00294BBF">
        <w:rPr>
          <w:color w:val="000000" w:themeColor="text1"/>
        </w:rPr>
        <w:t>Analysis of the CPR fish larval samples from 1979 to 2005 was funded by the United Kingdom Department of Environment, Fisheries and Rural Affairs (Defra) through project MF1101. The funders had no role in study design, data collection and analysis, decision to publish, or preparation of the manuscript.</w:t>
      </w:r>
    </w:p>
    <w:p w14:paraId="22BE2BD0" w14:textId="1D7B5769" w:rsidR="00C27032" w:rsidRPr="00294BBF" w:rsidRDefault="00BA1420" w:rsidP="00C27032">
      <w:pPr>
        <w:pStyle w:val="Overskrift1"/>
        <w:rPr>
          <w:color w:val="000000" w:themeColor="text1"/>
        </w:rPr>
      </w:pPr>
      <w:bookmarkStart w:id="1" w:name="_Toc487401356"/>
      <w:r w:rsidRPr="00294BBF">
        <w:rPr>
          <w:color w:val="000000" w:themeColor="text1"/>
        </w:rPr>
        <w:lastRenderedPageBreak/>
        <w:t>ABSTRACT</w:t>
      </w:r>
      <w:bookmarkEnd w:id="1"/>
    </w:p>
    <w:p w14:paraId="193E4DA0" w14:textId="02C8C26C" w:rsidR="00BA1420" w:rsidRPr="00294BBF" w:rsidRDefault="002D2FDF" w:rsidP="009C3AE5">
      <w:pPr>
        <w:rPr>
          <w:color w:val="000000" w:themeColor="text1"/>
        </w:rPr>
      </w:pPr>
      <w:r w:rsidRPr="00294BBF">
        <w:rPr>
          <w:color w:val="000000" w:themeColor="text1"/>
        </w:rPr>
        <w:t>The spawning distribution of blue whiting (</w:t>
      </w:r>
      <w:proofErr w:type="spellStart"/>
      <w:r w:rsidRPr="00294BBF">
        <w:rPr>
          <w:i/>
          <w:color w:val="000000" w:themeColor="text1"/>
        </w:rPr>
        <w:t>Micromesistius</w:t>
      </w:r>
      <w:proofErr w:type="spellEnd"/>
      <w:r w:rsidRPr="00294BBF">
        <w:rPr>
          <w:i/>
          <w:color w:val="000000" w:themeColor="text1"/>
        </w:rPr>
        <w:t xml:space="preserve"> </w:t>
      </w:r>
      <w:proofErr w:type="spellStart"/>
      <w:r w:rsidRPr="00294BBF">
        <w:rPr>
          <w:i/>
          <w:color w:val="000000" w:themeColor="text1"/>
        </w:rPr>
        <w:t>poutassou</w:t>
      </w:r>
      <w:proofErr w:type="spellEnd"/>
      <w:r w:rsidRPr="00294BBF">
        <w:rPr>
          <w:color w:val="000000" w:themeColor="text1"/>
        </w:rPr>
        <w:t>) has varied considerably between years</w:t>
      </w:r>
      <w:r w:rsidR="00EA661F">
        <w:rPr>
          <w:color w:val="000000" w:themeColor="text1"/>
        </w:rPr>
        <w:t xml:space="preserve"> but quantitative </w:t>
      </w:r>
      <w:r w:rsidR="002A53E8">
        <w:rPr>
          <w:color w:val="000000" w:themeColor="text1"/>
        </w:rPr>
        <w:t>understanding</w:t>
      </w:r>
      <w:r w:rsidR="00EA661F">
        <w:rPr>
          <w:color w:val="000000" w:themeColor="text1"/>
        </w:rPr>
        <w:t xml:space="preserve"> of the processes driving this change is </w:t>
      </w:r>
      <w:r w:rsidR="007C193A">
        <w:rPr>
          <w:color w:val="000000" w:themeColor="text1"/>
        </w:rPr>
        <w:t>lacking</w:t>
      </w:r>
      <w:r w:rsidRPr="00294BBF">
        <w:rPr>
          <w:color w:val="000000" w:themeColor="text1"/>
        </w:rPr>
        <w:t xml:space="preserve">. </w:t>
      </w:r>
      <w:r w:rsidR="00E118B8" w:rsidRPr="00294BBF">
        <w:rPr>
          <w:color w:val="000000" w:themeColor="text1"/>
        </w:rPr>
        <w:t>Using 5</w:t>
      </w:r>
      <w:r w:rsidR="000169C6">
        <w:rPr>
          <w:color w:val="000000" w:themeColor="text1"/>
        </w:rPr>
        <w:t>5</w:t>
      </w:r>
      <w:r w:rsidR="00E118B8" w:rsidRPr="00294BBF">
        <w:rPr>
          <w:color w:val="000000" w:themeColor="text1"/>
        </w:rPr>
        <w:t xml:space="preserve"> years of larval-observations from the wide-ranging </w:t>
      </w:r>
      <w:r w:rsidR="00E118B8" w:rsidRPr="00294BBF">
        <w:rPr>
          <w:rFonts w:eastAsia="Droid Sans Fallback"/>
          <w:color w:val="000000" w:themeColor="text1"/>
        </w:rPr>
        <w:t xml:space="preserve">Continuous Plankton Recorder </w:t>
      </w:r>
      <w:r w:rsidR="00A52D52">
        <w:rPr>
          <w:rFonts w:eastAsia="Droid Sans Fallback"/>
          <w:color w:val="000000" w:themeColor="text1"/>
        </w:rPr>
        <w:t xml:space="preserve">(CPR) </w:t>
      </w:r>
      <w:r w:rsidR="00E118B8" w:rsidRPr="00294BBF">
        <w:rPr>
          <w:rFonts w:eastAsia="Droid Sans Fallback"/>
          <w:color w:val="000000" w:themeColor="text1"/>
        </w:rPr>
        <w:t xml:space="preserve">survey, we </w:t>
      </w:r>
      <w:r w:rsidR="00241F93" w:rsidRPr="00294BBF">
        <w:rPr>
          <w:color w:val="000000" w:themeColor="text1"/>
        </w:rPr>
        <w:t xml:space="preserve">show that changes in the spawning distribution of blue whiting are </w:t>
      </w:r>
      <w:r w:rsidR="00346BED" w:rsidRPr="00294BBF">
        <w:rPr>
          <w:color w:val="000000" w:themeColor="text1"/>
        </w:rPr>
        <w:t xml:space="preserve">associated with </w:t>
      </w:r>
      <w:r w:rsidR="00241F93" w:rsidRPr="00294BBF">
        <w:rPr>
          <w:color w:val="000000" w:themeColor="text1"/>
        </w:rPr>
        <w:t>variations in the marine environment</w:t>
      </w:r>
      <w:r w:rsidR="009C3D55">
        <w:rPr>
          <w:color w:val="000000" w:themeColor="text1"/>
        </w:rPr>
        <w:t xml:space="preserve"> and particularly</w:t>
      </w:r>
      <w:r w:rsidR="008C2233" w:rsidRPr="00294BBF">
        <w:rPr>
          <w:color w:val="000000" w:themeColor="text1"/>
          <w:lang w:val="en-US"/>
        </w:rPr>
        <w:t xml:space="preserve"> salinity.</w:t>
      </w:r>
      <w:r w:rsidR="0095419F" w:rsidRPr="00294BBF">
        <w:rPr>
          <w:color w:val="000000" w:themeColor="text1"/>
        </w:rPr>
        <w:t xml:space="preserve"> </w:t>
      </w:r>
      <w:r w:rsidR="00B81995" w:rsidRPr="00294BBF">
        <w:rPr>
          <w:color w:val="000000" w:themeColor="text1"/>
        </w:rPr>
        <w:t>W</w:t>
      </w:r>
      <w:r w:rsidR="00E118B8" w:rsidRPr="00294BBF">
        <w:rPr>
          <w:color w:val="000000" w:themeColor="text1"/>
          <w:lang w:val="en-US"/>
        </w:rPr>
        <w:t xml:space="preserve">e </w:t>
      </w:r>
      <w:r w:rsidR="00925339">
        <w:rPr>
          <w:color w:val="000000" w:themeColor="text1"/>
          <w:lang w:val="en-US"/>
        </w:rPr>
        <w:t xml:space="preserve">first </w:t>
      </w:r>
      <w:r w:rsidR="00735C95">
        <w:rPr>
          <w:color w:val="000000" w:themeColor="text1"/>
          <w:lang w:val="en-US"/>
        </w:rPr>
        <w:t xml:space="preserve">corroborated previously reported associations between </w:t>
      </w:r>
      <w:r w:rsidR="00E118B8" w:rsidRPr="00294BBF">
        <w:rPr>
          <w:color w:val="000000" w:themeColor="text1"/>
          <w:lang w:val="en-US"/>
        </w:rPr>
        <w:t xml:space="preserve">variations in the spawning distribution </w:t>
      </w:r>
      <w:r w:rsidR="00735C95">
        <w:rPr>
          <w:color w:val="000000" w:themeColor="text1"/>
          <w:lang w:val="en-US"/>
        </w:rPr>
        <w:t xml:space="preserve">and </w:t>
      </w:r>
      <w:r w:rsidR="002A0B1F">
        <w:rPr>
          <w:color w:val="000000" w:themeColor="text1"/>
        </w:rPr>
        <w:t>environmental</w:t>
      </w:r>
      <w:r w:rsidR="00E118B8" w:rsidRPr="00294BBF">
        <w:rPr>
          <w:color w:val="000000" w:themeColor="text1"/>
        </w:rPr>
        <w:t xml:space="preserve"> regimes in </w:t>
      </w:r>
      <w:r w:rsidR="00C00131" w:rsidRPr="00294BBF">
        <w:rPr>
          <w:color w:val="000000" w:themeColor="text1"/>
        </w:rPr>
        <w:t xml:space="preserve">the </w:t>
      </w:r>
      <w:r w:rsidR="00E118B8" w:rsidRPr="00294BBF">
        <w:rPr>
          <w:color w:val="000000" w:themeColor="text1"/>
        </w:rPr>
        <w:t>spawning region</w:t>
      </w:r>
      <w:r w:rsidR="009D77B3">
        <w:rPr>
          <w:color w:val="000000" w:themeColor="text1"/>
        </w:rPr>
        <w:t xml:space="preserve"> based on space-time</w:t>
      </w:r>
      <w:r w:rsidR="00642E9E">
        <w:rPr>
          <w:color w:val="000000" w:themeColor="text1"/>
        </w:rPr>
        <w:t xml:space="preserve"> interpolation</w:t>
      </w:r>
      <w:r w:rsidR="009D77B3">
        <w:rPr>
          <w:color w:val="000000" w:themeColor="text1"/>
        </w:rPr>
        <w:t xml:space="preserve"> models.</w:t>
      </w:r>
      <w:r w:rsidR="004D7A2D" w:rsidRPr="00294BBF">
        <w:rPr>
          <w:color w:val="000000" w:themeColor="text1"/>
        </w:rPr>
        <w:t xml:space="preserve"> We</w:t>
      </w:r>
      <w:r w:rsidR="00241F93" w:rsidRPr="00294BBF">
        <w:rPr>
          <w:rFonts w:eastAsia="Droid Sans Fallback"/>
          <w:color w:val="000000" w:themeColor="text1"/>
        </w:rPr>
        <w:t xml:space="preserve"> </w:t>
      </w:r>
      <w:r w:rsidR="006F7015">
        <w:rPr>
          <w:rFonts w:eastAsia="Droid Sans Fallback"/>
          <w:color w:val="000000" w:themeColor="text1"/>
        </w:rPr>
        <w:t xml:space="preserve">then </w:t>
      </w:r>
      <w:r w:rsidR="0029764D">
        <w:rPr>
          <w:rFonts w:eastAsia="Droid Sans Fallback"/>
          <w:color w:val="000000" w:themeColor="text1"/>
        </w:rPr>
        <w:t xml:space="preserve">applied </w:t>
      </w:r>
      <w:r w:rsidRPr="00294BBF">
        <w:rPr>
          <w:color w:val="000000" w:themeColor="text1"/>
        </w:rPr>
        <w:t>species distribution models</w:t>
      </w:r>
      <w:r w:rsidR="009C3AE5" w:rsidRPr="00294BBF">
        <w:rPr>
          <w:color w:val="000000" w:themeColor="text1"/>
        </w:rPr>
        <w:t xml:space="preserve"> </w:t>
      </w:r>
      <w:r w:rsidRPr="00294BBF">
        <w:rPr>
          <w:color w:val="000000" w:themeColor="text1"/>
        </w:rPr>
        <w:t xml:space="preserve">to </w:t>
      </w:r>
      <w:r w:rsidR="00414E5C" w:rsidRPr="00294BBF">
        <w:rPr>
          <w:color w:val="000000" w:themeColor="text1"/>
        </w:rPr>
        <w:t xml:space="preserve">quantify </w:t>
      </w:r>
      <w:r w:rsidRPr="00294BBF">
        <w:rPr>
          <w:color w:val="000000" w:themeColor="text1"/>
        </w:rPr>
        <w:t xml:space="preserve">the linkage between </w:t>
      </w:r>
      <w:r w:rsidR="00755B36">
        <w:rPr>
          <w:color w:val="000000" w:themeColor="text1"/>
        </w:rPr>
        <w:t xml:space="preserve">the environment </w:t>
      </w:r>
      <w:r w:rsidRPr="00294BBF">
        <w:rPr>
          <w:color w:val="000000" w:themeColor="text1"/>
        </w:rPr>
        <w:t>and the distribution</w:t>
      </w:r>
      <w:r w:rsidR="00241F93" w:rsidRPr="00294BBF">
        <w:rPr>
          <w:color w:val="000000" w:themeColor="text1"/>
        </w:rPr>
        <w:t xml:space="preserve"> of blue whiting larvae</w:t>
      </w:r>
      <w:r w:rsidR="00193A14">
        <w:rPr>
          <w:color w:val="000000" w:themeColor="text1"/>
        </w:rPr>
        <w:t xml:space="preserve"> and verified</w:t>
      </w:r>
      <w:r w:rsidR="00A52D52">
        <w:rPr>
          <w:color w:val="000000" w:themeColor="text1"/>
        </w:rPr>
        <w:t xml:space="preserve"> </w:t>
      </w:r>
      <w:r w:rsidR="009974B1">
        <w:rPr>
          <w:color w:val="000000" w:themeColor="text1"/>
        </w:rPr>
        <w:t xml:space="preserve">these </w:t>
      </w:r>
      <w:r w:rsidR="00A52D52">
        <w:rPr>
          <w:color w:val="000000" w:themeColor="text1"/>
        </w:rPr>
        <w:t xml:space="preserve">model </w:t>
      </w:r>
      <w:r w:rsidR="00334CB6">
        <w:rPr>
          <w:color w:val="000000" w:themeColor="text1"/>
        </w:rPr>
        <w:t>results</w:t>
      </w:r>
      <w:r w:rsidR="00A52D52">
        <w:rPr>
          <w:color w:val="000000" w:themeColor="text1"/>
        </w:rPr>
        <w:t xml:space="preserve"> against </w:t>
      </w:r>
      <w:r w:rsidR="007F7852">
        <w:rPr>
          <w:color w:val="000000" w:themeColor="text1"/>
        </w:rPr>
        <w:t xml:space="preserve">independent </w:t>
      </w:r>
      <w:r w:rsidR="00A52D52">
        <w:rPr>
          <w:color w:val="000000" w:themeColor="text1"/>
        </w:rPr>
        <w:t>fisheries and scientific survey data.</w:t>
      </w:r>
      <w:r w:rsidR="008C2233" w:rsidRPr="00294BBF">
        <w:rPr>
          <w:color w:val="000000" w:themeColor="text1"/>
          <w:lang w:val="en-US"/>
        </w:rPr>
        <w:t xml:space="preserve"> </w:t>
      </w:r>
      <w:r w:rsidR="00072B62">
        <w:rPr>
          <w:color w:val="000000" w:themeColor="text1"/>
          <w:lang w:val="en-US"/>
        </w:rPr>
        <w:t xml:space="preserve">Models incorporating salinity in the spawning region gave the best agreement with data, with </w:t>
      </w:r>
      <w:r w:rsidR="00072B62">
        <w:rPr>
          <w:color w:val="000000" w:themeColor="text1"/>
        </w:rPr>
        <w:t>o</w:t>
      </w:r>
      <w:r w:rsidR="00BA0B33" w:rsidRPr="00294BBF">
        <w:rPr>
          <w:color w:val="000000" w:themeColor="text1"/>
        </w:rPr>
        <w:t xml:space="preserve">bservations of </w:t>
      </w:r>
      <w:r w:rsidR="00715AF0" w:rsidRPr="00294BBF">
        <w:rPr>
          <w:color w:val="000000" w:themeColor="text1"/>
        </w:rPr>
        <w:t>larvae</w:t>
      </w:r>
      <w:r w:rsidR="00A52D52">
        <w:rPr>
          <w:color w:val="000000" w:themeColor="text1"/>
        </w:rPr>
        <w:t xml:space="preserve"> in the CPR</w:t>
      </w:r>
      <w:r w:rsidR="00715AF0" w:rsidRPr="00294BBF">
        <w:rPr>
          <w:color w:val="000000" w:themeColor="text1"/>
        </w:rPr>
        <w:t xml:space="preserve"> </w:t>
      </w:r>
      <w:r w:rsidR="00072B62">
        <w:rPr>
          <w:color w:val="000000" w:themeColor="text1"/>
        </w:rPr>
        <w:t xml:space="preserve">being </w:t>
      </w:r>
      <w:r w:rsidR="00BA0B33" w:rsidRPr="00294BBF">
        <w:rPr>
          <w:color w:val="000000" w:themeColor="text1"/>
        </w:rPr>
        <w:t xml:space="preserve">limited to a window of </w:t>
      </w:r>
      <w:r w:rsidR="00715AF0" w:rsidRPr="00294BBF">
        <w:rPr>
          <w:color w:val="000000" w:themeColor="text1"/>
        </w:rPr>
        <w:t xml:space="preserve">salinities </w:t>
      </w:r>
      <w:r w:rsidR="00137178">
        <w:rPr>
          <w:color w:val="000000" w:themeColor="text1"/>
        </w:rPr>
        <w:t>between</w:t>
      </w:r>
      <w:r w:rsidR="00715AF0" w:rsidRPr="00294BBF">
        <w:rPr>
          <w:b/>
          <w:color w:val="000000" w:themeColor="text1"/>
        </w:rPr>
        <w:t xml:space="preserve"> </w:t>
      </w:r>
      <w:r w:rsidR="00715AF0" w:rsidRPr="00294BBF">
        <w:rPr>
          <w:color w:val="000000" w:themeColor="text1"/>
        </w:rPr>
        <w:t xml:space="preserve">35.3 </w:t>
      </w:r>
      <w:r w:rsidR="00890F28">
        <w:rPr>
          <w:color w:val="000000" w:themeColor="text1"/>
        </w:rPr>
        <w:t xml:space="preserve">and </w:t>
      </w:r>
      <w:r w:rsidR="00715AF0" w:rsidRPr="00294BBF">
        <w:rPr>
          <w:color w:val="000000" w:themeColor="text1"/>
        </w:rPr>
        <w:t xml:space="preserve">35.5. </w:t>
      </w:r>
      <w:r w:rsidR="000169C6">
        <w:rPr>
          <w:color w:val="000000" w:themeColor="text1"/>
        </w:rPr>
        <w:t>Changes</w:t>
      </w:r>
      <w:r w:rsidR="005D6197">
        <w:rPr>
          <w:color w:val="000000" w:themeColor="text1"/>
        </w:rPr>
        <w:t xml:space="preserve"> in the area of suitable spawning habitat </w:t>
      </w:r>
      <w:r w:rsidR="000A46D4">
        <w:rPr>
          <w:color w:val="000000" w:themeColor="text1"/>
        </w:rPr>
        <w:t xml:space="preserve">(estimated here to be </w:t>
      </w:r>
      <w:r w:rsidR="005D6197">
        <w:rPr>
          <w:color w:val="000000" w:themeColor="text1"/>
        </w:rPr>
        <w:t>up to 2.5 times</w:t>
      </w:r>
      <w:r w:rsidR="000A46D4">
        <w:rPr>
          <w:color w:val="000000" w:themeColor="text1"/>
        </w:rPr>
        <w:t>)</w:t>
      </w:r>
      <w:r w:rsidR="005D6197">
        <w:rPr>
          <w:color w:val="000000" w:themeColor="text1"/>
        </w:rPr>
        <w:t xml:space="preserve"> can therefore be understood as arising from t</w:t>
      </w:r>
      <w:r w:rsidR="003C717B" w:rsidRPr="00294BBF">
        <w:rPr>
          <w:color w:val="000000" w:themeColor="text1"/>
        </w:rPr>
        <w:t>he</w:t>
      </w:r>
      <w:r w:rsidR="00715AF0" w:rsidRPr="00294BBF">
        <w:rPr>
          <w:color w:val="000000" w:themeColor="text1"/>
        </w:rPr>
        <w:t xml:space="preserve"> spread</w:t>
      </w:r>
      <w:r w:rsidR="00715AF0" w:rsidRPr="00294BBF">
        <w:rPr>
          <w:rFonts w:eastAsiaTheme="minorHAnsi"/>
          <w:color w:val="000000" w:themeColor="text1"/>
        </w:rPr>
        <w:t xml:space="preserve"> of </w:t>
      </w:r>
      <w:r w:rsidR="005D6197">
        <w:rPr>
          <w:rFonts w:eastAsiaTheme="minorHAnsi"/>
          <w:color w:val="000000" w:themeColor="text1"/>
        </w:rPr>
        <w:t xml:space="preserve">saline </w:t>
      </w:r>
      <w:r w:rsidR="00715AF0" w:rsidRPr="00294BBF">
        <w:rPr>
          <w:rFonts w:eastAsiaTheme="minorHAnsi"/>
          <w:color w:val="000000" w:themeColor="text1"/>
        </w:rPr>
        <w:t>subtropical water masses throughout the spawning region</w:t>
      </w:r>
      <w:r w:rsidR="0033041D">
        <w:rPr>
          <w:rFonts w:eastAsiaTheme="minorHAnsi"/>
          <w:color w:val="000000" w:themeColor="text1"/>
        </w:rPr>
        <w:t xml:space="preserve"> </w:t>
      </w:r>
      <w:r w:rsidR="00F406CB">
        <w:rPr>
          <w:rFonts w:eastAsiaTheme="minorHAnsi"/>
          <w:color w:val="000000" w:themeColor="text1"/>
        </w:rPr>
        <w:t>due to</w:t>
      </w:r>
      <w:r w:rsidR="00715AF0" w:rsidRPr="00294BBF">
        <w:rPr>
          <w:rFonts w:eastAsiaTheme="minorHAnsi"/>
          <w:color w:val="000000" w:themeColor="text1"/>
        </w:rPr>
        <w:t xml:space="preserve"> a weak North Atlantic subpolar gyre</w:t>
      </w:r>
      <w:r w:rsidR="0002710D">
        <w:rPr>
          <w:rFonts w:eastAsiaTheme="minorHAnsi"/>
          <w:color w:val="000000" w:themeColor="text1"/>
        </w:rPr>
        <w:t>.</w:t>
      </w:r>
      <w:r w:rsidR="00715AF0" w:rsidRPr="00294BBF">
        <w:rPr>
          <w:rFonts w:eastAsiaTheme="minorHAnsi"/>
          <w:color w:val="000000" w:themeColor="text1"/>
        </w:rPr>
        <w:t xml:space="preserve"> </w:t>
      </w:r>
      <w:r w:rsidR="00AA3B45" w:rsidRPr="00294BBF">
        <w:rPr>
          <w:rFonts w:eastAsiaTheme="minorHAnsi"/>
          <w:color w:val="000000" w:themeColor="text1"/>
        </w:rPr>
        <w:t>We postulate</w:t>
      </w:r>
      <w:r w:rsidR="00715AF0" w:rsidRPr="00294BBF">
        <w:rPr>
          <w:rFonts w:eastAsiaTheme="minorHAnsi"/>
          <w:color w:val="000000" w:themeColor="text1"/>
        </w:rPr>
        <w:t xml:space="preserve"> that blue whiting </w:t>
      </w:r>
      <w:r w:rsidR="00AA3B45" w:rsidRPr="00294BBF">
        <w:rPr>
          <w:rFonts w:eastAsiaTheme="minorHAnsi"/>
          <w:color w:val="000000" w:themeColor="text1"/>
        </w:rPr>
        <w:t>actively select</w:t>
      </w:r>
      <w:r w:rsidR="00715AF0" w:rsidRPr="00294BBF">
        <w:rPr>
          <w:rFonts w:eastAsiaTheme="minorHAnsi"/>
          <w:color w:val="000000" w:themeColor="text1"/>
        </w:rPr>
        <w:t xml:space="preserve"> optimum oceanographic conditions to deliver their eggs to enhance their offspring’s likelihood of survival</w:t>
      </w:r>
      <w:r w:rsidR="00890F28">
        <w:rPr>
          <w:rFonts w:eastAsiaTheme="minorHAnsi"/>
          <w:color w:val="000000" w:themeColor="text1"/>
        </w:rPr>
        <w:t xml:space="preserve"> and thereby their fitness</w:t>
      </w:r>
      <w:r w:rsidR="00715AF0" w:rsidRPr="00294BBF">
        <w:rPr>
          <w:rFonts w:eastAsiaTheme="minorHAnsi"/>
          <w:color w:val="000000" w:themeColor="text1"/>
        </w:rPr>
        <w:t>.</w:t>
      </w:r>
      <w:r w:rsidR="003C717B" w:rsidRPr="00294BBF">
        <w:rPr>
          <w:rFonts w:eastAsiaTheme="minorHAnsi"/>
          <w:color w:val="000000" w:themeColor="text1"/>
        </w:rPr>
        <w:t xml:space="preserve"> </w:t>
      </w:r>
      <w:r w:rsidR="00AA37BE" w:rsidRPr="00294BBF">
        <w:rPr>
          <w:rFonts w:eastAsiaTheme="minorHAnsi"/>
          <w:color w:val="000000" w:themeColor="text1"/>
        </w:rPr>
        <w:t xml:space="preserve">The </w:t>
      </w:r>
      <w:r w:rsidR="00AA3B45" w:rsidRPr="00294BBF">
        <w:rPr>
          <w:rFonts w:eastAsiaTheme="minorHAnsi"/>
          <w:color w:val="000000" w:themeColor="text1"/>
        </w:rPr>
        <w:t>knowledge</w:t>
      </w:r>
      <w:r w:rsidR="00AA37BE" w:rsidRPr="00294BBF">
        <w:rPr>
          <w:rFonts w:eastAsiaTheme="minorHAnsi"/>
          <w:color w:val="000000" w:themeColor="text1"/>
        </w:rPr>
        <w:t xml:space="preserve"> derived here</w:t>
      </w:r>
      <w:r w:rsidR="00AA3B45" w:rsidRPr="00294BBF">
        <w:rPr>
          <w:rFonts w:eastAsiaTheme="minorHAnsi"/>
          <w:color w:val="000000" w:themeColor="text1"/>
        </w:rPr>
        <w:t>, together</w:t>
      </w:r>
      <w:r w:rsidR="003C717B" w:rsidRPr="00294BBF">
        <w:rPr>
          <w:rFonts w:eastAsiaTheme="minorHAnsi"/>
          <w:color w:val="000000" w:themeColor="text1"/>
        </w:rPr>
        <w:t xml:space="preserve"> with</w:t>
      </w:r>
      <w:r w:rsidR="00AA3B45" w:rsidRPr="00294BBF">
        <w:rPr>
          <w:rFonts w:eastAsiaTheme="minorHAnsi"/>
          <w:color w:val="000000" w:themeColor="text1"/>
        </w:rPr>
        <w:t xml:space="preserve"> the</w:t>
      </w:r>
      <w:r w:rsidR="003C717B" w:rsidRPr="00294BBF">
        <w:rPr>
          <w:rFonts w:eastAsiaTheme="minorHAnsi"/>
          <w:color w:val="000000" w:themeColor="text1"/>
        </w:rPr>
        <w:t xml:space="preserve"> high </w:t>
      </w:r>
      <w:r w:rsidR="00AA3B45" w:rsidRPr="00294BBF">
        <w:rPr>
          <w:rFonts w:eastAsiaTheme="minorHAnsi"/>
          <w:color w:val="000000" w:themeColor="text1"/>
        </w:rPr>
        <w:t>predictability</w:t>
      </w:r>
      <w:r w:rsidR="003C717B" w:rsidRPr="00294BBF">
        <w:rPr>
          <w:rFonts w:eastAsiaTheme="minorHAnsi"/>
          <w:color w:val="000000" w:themeColor="text1"/>
        </w:rPr>
        <w:t xml:space="preserve"> of salinity</w:t>
      </w:r>
      <w:r w:rsidR="00405537" w:rsidRPr="00294BBF">
        <w:rPr>
          <w:rFonts w:eastAsiaTheme="minorHAnsi"/>
          <w:color w:val="000000" w:themeColor="text1"/>
        </w:rPr>
        <w:t xml:space="preserve"> at depth</w:t>
      </w:r>
      <w:r w:rsidR="003C717B" w:rsidRPr="00294BBF">
        <w:rPr>
          <w:rFonts w:eastAsiaTheme="minorHAnsi"/>
          <w:color w:val="000000" w:themeColor="text1"/>
        </w:rPr>
        <w:t xml:space="preserve"> </w:t>
      </w:r>
      <w:r w:rsidR="00405537" w:rsidRPr="00294BBF">
        <w:rPr>
          <w:rFonts w:eastAsiaTheme="minorHAnsi"/>
          <w:color w:val="000000" w:themeColor="text1"/>
        </w:rPr>
        <w:t xml:space="preserve">in the North-East Atlantic, </w:t>
      </w:r>
      <w:r w:rsidR="00AA3B45" w:rsidRPr="00294BBF">
        <w:rPr>
          <w:rFonts w:eastAsiaTheme="minorHAnsi"/>
          <w:color w:val="000000" w:themeColor="text1"/>
        </w:rPr>
        <w:t xml:space="preserve">can potentially form the basis for </w:t>
      </w:r>
      <w:r w:rsidR="003C717B" w:rsidRPr="00294BBF">
        <w:rPr>
          <w:rFonts w:cs="Times New Roman"/>
          <w:color w:val="000000" w:themeColor="text1"/>
        </w:rPr>
        <w:t>forecas</w:t>
      </w:r>
      <w:r w:rsidR="00405537" w:rsidRPr="00294BBF">
        <w:rPr>
          <w:rFonts w:cs="Times New Roman"/>
          <w:color w:val="000000" w:themeColor="text1"/>
        </w:rPr>
        <w:t xml:space="preserve">ting </w:t>
      </w:r>
      <w:r w:rsidR="001A51AB" w:rsidRPr="00294BBF">
        <w:rPr>
          <w:rFonts w:cs="Times New Roman"/>
          <w:color w:val="000000" w:themeColor="text1"/>
        </w:rPr>
        <w:t>the</w:t>
      </w:r>
      <w:r w:rsidR="00405537" w:rsidRPr="00294BBF">
        <w:rPr>
          <w:rFonts w:cs="Times New Roman"/>
          <w:color w:val="000000" w:themeColor="text1"/>
        </w:rPr>
        <w:t xml:space="preserve"> spawning distribution</w:t>
      </w:r>
      <w:r w:rsidR="00564309" w:rsidRPr="00294BBF">
        <w:rPr>
          <w:rFonts w:cs="Times New Roman"/>
          <w:color w:val="000000" w:themeColor="text1"/>
        </w:rPr>
        <w:t xml:space="preserve"> </w:t>
      </w:r>
      <w:r w:rsidR="001A51AB" w:rsidRPr="00294BBF">
        <w:rPr>
          <w:rFonts w:cs="Times New Roman"/>
          <w:color w:val="000000" w:themeColor="text1"/>
        </w:rPr>
        <w:t>of this species.</w:t>
      </w:r>
    </w:p>
    <w:p w14:paraId="130AA7FC" w14:textId="271CFCFD" w:rsidR="00BA1420" w:rsidRPr="00294BBF" w:rsidRDefault="00B815DC" w:rsidP="00BA1420">
      <w:pPr>
        <w:pStyle w:val="Default"/>
        <w:spacing w:line="360" w:lineRule="auto"/>
        <w:ind w:left="1440" w:hanging="1440"/>
        <w:rPr>
          <w:color w:val="000000" w:themeColor="text1"/>
          <w:szCs w:val="22"/>
        </w:rPr>
      </w:pPr>
      <w:r w:rsidRPr="00294BBF">
        <w:rPr>
          <w:b/>
          <w:color w:val="000000" w:themeColor="text1"/>
          <w:szCs w:val="22"/>
        </w:rPr>
        <w:t>Key</w:t>
      </w:r>
      <w:r w:rsidR="00BA1420" w:rsidRPr="00294BBF">
        <w:rPr>
          <w:b/>
          <w:color w:val="000000" w:themeColor="text1"/>
          <w:szCs w:val="22"/>
        </w:rPr>
        <w:t xml:space="preserve"> words</w:t>
      </w:r>
    </w:p>
    <w:p w14:paraId="31744178" w14:textId="7BE356E4" w:rsidR="00B815DC" w:rsidRPr="00294BBF" w:rsidRDefault="009C3AE5" w:rsidP="00BA1420">
      <w:pPr>
        <w:pStyle w:val="Default"/>
        <w:spacing w:line="360" w:lineRule="auto"/>
        <w:rPr>
          <w:color w:val="000000" w:themeColor="text1"/>
          <w:szCs w:val="22"/>
        </w:rPr>
      </w:pPr>
      <w:proofErr w:type="gramStart"/>
      <w:r w:rsidRPr="00294BBF">
        <w:rPr>
          <w:color w:val="000000" w:themeColor="text1"/>
          <w:szCs w:val="22"/>
        </w:rPr>
        <w:t>spawning</w:t>
      </w:r>
      <w:proofErr w:type="gramEnd"/>
      <w:r w:rsidRPr="00294BBF">
        <w:rPr>
          <w:color w:val="000000" w:themeColor="text1"/>
          <w:szCs w:val="22"/>
        </w:rPr>
        <w:t xml:space="preserve"> habitat, </w:t>
      </w:r>
      <w:r w:rsidR="00B815DC" w:rsidRPr="00294BBF">
        <w:rPr>
          <w:color w:val="000000" w:themeColor="text1"/>
          <w:szCs w:val="22"/>
        </w:rPr>
        <w:t xml:space="preserve">species distribution model, </w:t>
      </w:r>
      <w:r w:rsidR="00B4384B" w:rsidRPr="00294BBF">
        <w:rPr>
          <w:color w:val="000000" w:themeColor="text1"/>
          <w:szCs w:val="22"/>
        </w:rPr>
        <w:t>climate variability</w:t>
      </w:r>
      <w:r w:rsidR="001B5147" w:rsidRPr="00294BBF">
        <w:rPr>
          <w:color w:val="000000" w:themeColor="text1"/>
          <w:szCs w:val="22"/>
        </w:rPr>
        <w:t>,</w:t>
      </w:r>
      <w:r w:rsidRPr="00294BBF">
        <w:rPr>
          <w:color w:val="000000" w:themeColor="text1"/>
          <w:szCs w:val="22"/>
        </w:rPr>
        <w:t xml:space="preserve"> continuous plankton recorder, </w:t>
      </w:r>
      <w:r w:rsidR="00757A00">
        <w:rPr>
          <w:color w:val="000000" w:themeColor="text1"/>
          <w:szCs w:val="22"/>
        </w:rPr>
        <w:t xml:space="preserve">North Atlantic </w:t>
      </w:r>
      <w:r w:rsidR="00BA1420" w:rsidRPr="00294BBF">
        <w:rPr>
          <w:color w:val="000000" w:themeColor="text1"/>
          <w:szCs w:val="22"/>
        </w:rPr>
        <w:t>subpolar gyre</w:t>
      </w:r>
      <w:r w:rsidR="00AA3B45" w:rsidRPr="00294BBF">
        <w:rPr>
          <w:color w:val="000000" w:themeColor="text1"/>
          <w:szCs w:val="22"/>
        </w:rPr>
        <w:t xml:space="preserve">, </w:t>
      </w:r>
      <w:r w:rsidR="00703825">
        <w:rPr>
          <w:color w:val="000000" w:themeColor="text1"/>
          <w:szCs w:val="22"/>
        </w:rPr>
        <w:t>blue whiting</w:t>
      </w:r>
      <w:r w:rsidR="009A3CC1">
        <w:rPr>
          <w:color w:val="000000" w:themeColor="text1"/>
          <w:szCs w:val="22"/>
        </w:rPr>
        <w:t xml:space="preserve">, </w:t>
      </w:r>
      <w:proofErr w:type="spellStart"/>
      <w:r w:rsidR="009A3CC1" w:rsidRPr="00294BBF">
        <w:rPr>
          <w:i/>
          <w:color w:val="000000" w:themeColor="text1"/>
        </w:rPr>
        <w:t>Micromesistius</w:t>
      </w:r>
      <w:proofErr w:type="spellEnd"/>
      <w:r w:rsidR="009A3CC1" w:rsidRPr="00294BBF">
        <w:rPr>
          <w:i/>
          <w:color w:val="000000" w:themeColor="text1"/>
        </w:rPr>
        <w:t xml:space="preserve"> </w:t>
      </w:r>
      <w:proofErr w:type="spellStart"/>
      <w:r w:rsidR="009A3CC1" w:rsidRPr="00294BBF">
        <w:rPr>
          <w:i/>
          <w:color w:val="000000" w:themeColor="text1"/>
        </w:rPr>
        <w:t>poutassou</w:t>
      </w:r>
      <w:proofErr w:type="spellEnd"/>
    </w:p>
    <w:p w14:paraId="52A94343" w14:textId="6B69D7BE" w:rsidR="00C27032" w:rsidRPr="00294BBF" w:rsidRDefault="00BA1420" w:rsidP="00076EEE">
      <w:pPr>
        <w:pStyle w:val="Overskrift1"/>
        <w:spacing w:line="480" w:lineRule="auto"/>
        <w:rPr>
          <w:color w:val="000000" w:themeColor="text1"/>
        </w:rPr>
      </w:pPr>
      <w:bookmarkStart w:id="2" w:name="__RefHeading___Toc7054_1780423817"/>
      <w:bookmarkStart w:id="3" w:name="_Toc444066953"/>
      <w:bookmarkStart w:id="4" w:name="_Toc487401357"/>
      <w:r w:rsidRPr="00294BBF">
        <w:rPr>
          <w:color w:val="000000" w:themeColor="text1"/>
        </w:rPr>
        <w:lastRenderedPageBreak/>
        <w:t>INTRODUCTION</w:t>
      </w:r>
      <w:bookmarkEnd w:id="2"/>
      <w:bookmarkEnd w:id="3"/>
      <w:r w:rsidRPr="00294BBF">
        <w:rPr>
          <w:color w:val="000000" w:themeColor="text1"/>
        </w:rPr>
        <w:t xml:space="preserve"> </w:t>
      </w:r>
      <w:bookmarkEnd w:id="4"/>
    </w:p>
    <w:p w14:paraId="19AFA38B" w14:textId="3BFB73AF" w:rsidR="00017E3C" w:rsidRDefault="00C27032" w:rsidP="00D92F62">
      <w:pPr>
        <w:rPr>
          <w:color w:val="000000" w:themeColor="text1"/>
        </w:rPr>
      </w:pPr>
      <w:r w:rsidRPr="00294BBF">
        <w:rPr>
          <w:color w:val="000000" w:themeColor="text1"/>
        </w:rPr>
        <w:t>Blue whiting (</w:t>
      </w:r>
      <w:proofErr w:type="spellStart"/>
      <w:r w:rsidRPr="00294BBF">
        <w:rPr>
          <w:i/>
          <w:color w:val="000000" w:themeColor="text1"/>
        </w:rPr>
        <w:t>Micromesistius</w:t>
      </w:r>
      <w:proofErr w:type="spellEnd"/>
      <w:r w:rsidRPr="00294BBF">
        <w:rPr>
          <w:i/>
          <w:color w:val="000000" w:themeColor="text1"/>
        </w:rPr>
        <w:t xml:space="preserve"> </w:t>
      </w:r>
      <w:proofErr w:type="spellStart"/>
      <w:r w:rsidRPr="00294BBF">
        <w:rPr>
          <w:i/>
          <w:color w:val="000000" w:themeColor="text1"/>
        </w:rPr>
        <w:t>poutassou</w:t>
      </w:r>
      <w:proofErr w:type="spellEnd"/>
      <w:r w:rsidRPr="00294BBF">
        <w:rPr>
          <w:color w:val="000000" w:themeColor="text1"/>
        </w:rPr>
        <w:t xml:space="preserve"> </w:t>
      </w:r>
      <w:r w:rsidR="00B40EF6">
        <w:rPr>
          <w:color w:val="000000" w:themeColor="text1"/>
        </w:rPr>
        <w:t>(</w:t>
      </w:r>
      <w:proofErr w:type="spellStart"/>
      <w:r w:rsidRPr="00294BBF">
        <w:rPr>
          <w:color w:val="000000" w:themeColor="text1"/>
        </w:rPr>
        <w:t>Risso</w:t>
      </w:r>
      <w:proofErr w:type="spellEnd"/>
      <w:r w:rsidR="007B3EDB" w:rsidRPr="00294BBF">
        <w:rPr>
          <w:color w:val="000000" w:themeColor="text1"/>
        </w:rPr>
        <w:t>,</w:t>
      </w:r>
      <w:r w:rsidR="00B62988" w:rsidRPr="00294BBF">
        <w:rPr>
          <w:i/>
          <w:color w:val="000000" w:themeColor="text1"/>
        </w:rPr>
        <w:t xml:space="preserve"> </w:t>
      </w:r>
      <w:r w:rsidR="00B62988" w:rsidRPr="00294BBF">
        <w:rPr>
          <w:color w:val="000000" w:themeColor="text1"/>
        </w:rPr>
        <w:t>1827</w:t>
      </w:r>
      <w:r w:rsidR="00B40EF6">
        <w:rPr>
          <w:color w:val="000000" w:themeColor="text1"/>
        </w:rPr>
        <w:t>)</w:t>
      </w:r>
      <w:r w:rsidRPr="00294BBF">
        <w:rPr>
          <w:color w:val="000000" w:themeColor="text1"/>
        </w:rPr>
        <w:t xml:space="preserve">) is a commercially important gadoid found </w:t>
      </w:r>
      <w:r w:rsidR="009A5525" w:rsidRPr="00294BBF">
        <w:rPr>
          <w:color w:val="000000" w:themeColor="text1"/>
        </w:rPr>
        <w:t xml:space="preserve">throughout </w:t>
      </w:r>
      <w:r w:rsidRPr="00294BBF">
        <w:rPr>
          <w:color w:val="000000" w:themeColor="text1"/>
        </w:rPr>
        <w:t xml:space="preserve">the North-East Atlantic. </w:t>
      </w:r>
      <w:r w:rsidR="00690AB3" w:rsidRPr="00294BBF">
        <w:rPr>
          <w:color w:val="000000" w:themeColor="text1"/>
        </w:rPr>
        <w:t>This species</w:t>
      </w:r>
      <w:r w:rsidRPr="00294BBF">
        <w:rPr>
          <w:color w:val="000000" w:themeColor="text1"/>
        </w:rPr>
        <w:t xml:space="preserve"> migrate</w:t>
      </w:r>
      <w:r w:rsidR="00690AB3" w:rsidRPr="00294BBF">
        <w:rPr>
          <w:color w:val="000000" w:themeColor="text1"/>
        </w:rPr>
        <w:t>s</w:t>
      </w:r>
      <w:r w:rsidR="00872D22" w:rsidRPr="00294BBF">
        <w:rPr>
          <w:color w:val="000000" w:themeColor="text1"/>
        </w:rPr>
        <w:t xml:space="preserve"> annually between its </w:t>
      </w:r>
      <w:r w:rsidRPr="00294BBF">
        <w:rPr>
          <w:color w:val="000000" w:themeColor="text1"/>
        </w:rPr>
        <w:t>feeding grounds in the Norwegian Se</w:t>
      </w:r>
      <w:r w:rsidR="00872D22" w:rsidRPr="00294BBF">
        <w:rPr>
          <w:color w:val="000000" w:themeColor="text1"/>
        </w:rPr>
        <w:t>a to its</w:t>
      </w:r>
      <w:r w:rsidRPr="00294BBF">
        <w:rPr>
          <w:color w:val="000000" w:themeColor="text1"/>
        </w:rPr>
        <w:t xml:space="preserve"> spawning region west of </w:t>
      </w:r>
      <w:r w:rsidR="00536483">
        <w:rPr>
          <w:color w:val="000000" w:themeColor="text1"/>
        </w:rPr>
        <w:t>Great Britain and Ireland</w:t>
      </w:r>
      <w:r w:rsidR="0044442D" w:rsidRPr="00294BBF">
        <w:rPr>
          <w:color w:val="000000" w:themeColor="text1"/>
        </w:rPr>
        <w:t xml:space="preserve"> </w:t>
      </w:r>
      <w:r w:rsidR="0044442D" w:rsidRPr="00294BBF">
        <w:rPr>
          <w:color w:val="000000" w:themeColor="text1"/>
        </w:rPr>
        <w:fldChar w:fldCharType="begin" w:fldLock="1"/>
      </w:r>
      <w:r w:rsidR="0044442D" w:rsidRPr="00294BBF">
        <w:rPr>
          <w:color w:val="000000" w:themeColor="text1"/>
        </w:rPr>
        <w:instrText>ADDIN CSL_CITATION { "citationItems" : [ { "id" : "ITEM-1", "itemData" : { "author" : [ { "dropping-particle" : "", "family" : "ICES", "given" : "", "non-dropping-particle" : "", "parse-names" : false, "suffix" : "" } ], "container-title" : "ICES CM 2016/ACOM:16", "id" : "ITEM-1", "issued" : { "date-parts" : [ [ "2016" ] ] }, "number-of-pages" : "604", "title" : "Report of the Working Group on Widely Distributed Stocks (WGWIDE). ICES CM 2016/ACOM:16", "type" : "report" }, "uris" : [ "http://www.mendeley.com/documents/?uuid=15e116fe-7451-4bf6-8121-85084f36a8af" ] }, { "id" : "ITEM-2", "itemData" : { "author" : [ { "dropping-particle" : "", "family" : "ICES", "given" : "", "non-dropping-particle" : "", "parse-names" : false, "suffix" : "" } ], "container-title" : "ICES Stock Annex 2016.", "id" : "ITEM-2", "issued" : { "date-parts" : [ [ "2016" ] ] }, "number-of-pages" : "1-38", "title" : "Stock Annex for Blue Whiting (Subareas I-IX, XI I and XIV). ICES Stock Annex 2016.", "type" : "report" }, "uris" : [ "http://www.mendeley.com/documents/?uuid=aade341d-df3d-4ff1-b494-f979222c4434" ] }, { "id" : "ITEM-3", "itemData" : { "author" : [ { "dropping-particle" : "", "family" : "Bailey", "given" : "R. S.", "non-dropping-particle" : "", "parse-names" : false, "suffix" : "" } ], "container-title" : "Advances in Marine Biology", "id" : "ITEM-3", "issued" : { "date-parts" : [ [ "1982" ] ] }, "page" : "257-355", "title" : "The population biology of blue whiting in the North Atlantic", "type" : "article-journal", "volume" : "19" }, "uris" : [ "http://www.mendeley.com/documents/?uuid=6d669d08-4d65-4bc6-9528-0a308ec660b1" ] } ], "mendeley" : { "formattedCitation" : "(Bailey, 1982; ICES, 2016a; ICES, 2016b)", "manualFormatting" : "(Fig. 1; Bailey, 1982; ICES, 2016a; ICES, 2016b)", "plainTextFormattedCitation" : "(Bailey, 1982; ICES, 2016a; ICES, 2016b)", "previouslyFormattedCitation" : "(Bailey, 1982; ICES, 2016a; ICES, 2016b)" }, "properties" : { "noteIndex" : 3 }, "schema" : "https://github.com/citation-style-language/schema/raw/master/csl-citation.json" }</w:instrText>
      </w:r>
      <w:r w:rsidR="0044442D" w:rsidRPr="00294BBF">
        <w:rPr>
          <w:color w:val="000000" w:themeColor="text1"/>
        </w:rPr>
        <w:fldChar w:fldCharType="separate"/>
      </w:r>
      <w:r w:rsidR="0044442D" w:rsidRPr="00294BBF">
        <w:rPr>
          <w:noProof/>
          <w:color w:val="000000" w:themeColor="text1"/>
        </w:rPr>
        <w:t>(Fig. 1; Bailey, 1982; ICES, 2016a; ICES, 2016b)</w:t>
      </w:r>
      <w:r w:rsidR="0044442D" w:rsidRPr="00294BBF">
        <w:rPr>
          <w:color w:val="000000" w:themeColor="text1"/>
        </w:rPr>
        <w:fldChar w:fldCharType="end"/>
      </w:r>
      <w:r w:rsidR="0044442D" w:rsidRPr="00294BBF">
        <w:rPr>
          <w:color w:val="000000" w:themeColor="text1"/>
        </w:rPr>
        <w:t xml:space="preserve">. </w:t>
      </w:r>
      <w:r w:rsidR="009C2B7B">
        <w:rPr>
          <w:color w:val="000000" w:themeColor="text1"/>
        </w:rPr>
        <w:t xml:space="preserve">While there are indications of </w:t>
      </w:r>
      <w:r w:rsidR="001307C8">
        <w:rPr>
          <w:color w:val="000000" w:themeColor="text1"/>
        </w:rPr>
        <w:t xml:space="preserve">limited </w:t>
      </w:r>
      <w:r w:rsidR="009C2B7B">
        <w:rPr>
          <w:color w:val="000000" w:themeColor="text1"/>
        </w:rPr>
        <w:t>spawning</w:t>
      </w:r>
      <w:r w:rsidR="001307C8">
        <w:rPr>
          <w:color w:val="000000" w:themeColor="text1"/>
        </w:rPr>
        <w:t xml:space="preserve"> activity</w:t>
      </w:r>
      <w:r w:rsidR="004C052F">
        <w:rPr>
          <w:color w:val="000000" w:themeColor="text1"/>
        </w:rPr>
        <w:t xml:space="preserve"> outside of the</w:t>
      </w:r>
      <w:r w:rsidR="009C2B7B">
        <w:rPr>
          <w:color w:val="000000" w:themeColor="text1"/>
        </w:rPr>
        <w:t xml:space="preserve"> main spawning </w:t>
      </w:r>
      <w:r w:rsidR="004C052F">
        <w:rPr>
          <w:color w:val="000000" w:themeColor="text1"/>
        </w:rPr>
        <w:t xml:space="preserve">area </w:t>
      </w:r>
      <w:r w:rsidR="004226D7" w:rsidRPr="00294BBF">
        <w:rPr>
          <w:color w:val="000000" w:themeColor="text1"/>
        </w:rPr>
        <w:fldChar w:fldCharType="begin" w:fldLock="1"/>
      </w:r>
      <w:r w:rsidR="004B27B5" w:rsidRPr="00294BBF">
        <w:rPr>
          <w:color w:val="000000" w:themeColor="text1"/>
        </w:rPr>
        <w:instrText>ADDIN CSL_CITATION { "citationItems" : [ { "id" : "ITEM-1", "itemData" : { "author" : [ { "dropping-particle" : "", "family" : "Bainbridge", "given" : "V.", "non-dropping-particle" : "", "parse-names" : false, "suffix" : "" }, { "dropping-particle" : "", "family" : "Cooper", "given" : "G.", "non-dropping-particle" : "", "parse-names" : false, "suffix" : "" } ], "container-title" : "Bull. Mar. Ecol.", "id" : "ITEM-1", "issued" : { "date-parts" : [ [ "1973" ] ] }, "page" : "99-114", "title" : "The distribution and abundance of the larvae of the blue whiting, Micromestistius poutassou (Risso), in the north-east Atlantic, 1948-1970", "type" : "article-journal", "volume" : "8" }, "uris" : [ "http://www.mendeley.com/documents/?uuid=9863919e-7218-4fb1-83b0-77ba55193c24", "http://www.mendeley.com/documents/?uuid=e538b37e-995a-4091-87ea-617a977f66a1" ] }, { "id" : "ITEM-2", "itemData" : { "author" : [ { "dropping-particle" : "", "family" : "Bailey", "given" : "R. S.", "non-dropping-particle" : "", "parse-names" : false, "suffix" : "" } ], "container-title" : "Advances in Marine Biology", "id" : "ITEM-2", "issued" : { "date-parts" : [ [ "1982" ] ] }, "page" : "257-355", "title" : "The population biology of blue whiting in the North Atlantic", "type" : "article-journal", "volume" : "19" }, "uris" : [ "http://www.mendeley.com/documents/?uuid=6d669d08-4d65-4bc6-9528-0a308ec660b1" ] } ], "mendeley" : { "formattedCitation" : "(Bainbridge and Cooper, 1973; Bailey, 1982)", "plainTextFormattedCitation" : "(Bainbridge and Cooper, 1973; Bailey, 1982)", "previouslyFormattedCitation" : "(Bainbridge and Cooper, 1973; Bailey, 1982)" }, "properties" : { "noteIndex" : 0 }, "schema" : "https://github.com/citation-style-language/schema/raw/master/csl-citation.json" }</w:instrText>
      </w:r>
      <w:r w:rsidR="004226D7" w:rsidRPr="00294BBF">
        <w:rPr>
          <w:color w:val="000000" w:themeColor="text1"/>
        </w:rPr>
        <w:fldChar w:fldCharType="separate"/>
      </w:r>
      <w:r w:rsidR="00564924" w:rsidRPr="00294BBF">
        <w:rPr>
          <w:noProof/>
          <w:color w:val="000000" w:themeColor="text1"/>
        </w:rPr>
        <w:t>(Bainbridge and Cooper, 1973; Bailey, 1982)</w:t>
      </w:r>
      <w:r w:rsidR="004226D7" w:rsidRPr="00294BBF">
        <w:rPr>
          <w:color w:val="000000" w:themeColor="text1"/>
        </w:rPr>
        <w:fldChar w:fldCharType="end"/>
      </w:r>
      <w:r w:rsidR="00690AB3" w:rsidRPr="00294BBF">
        <w:rPr>
          <w:color w:val="000000" w:themeColor="text1"/>
        </w:rPr>
        <w:t>, most spawning</w:t>
      </w:r>
      <w:r w:rsidR="004226D7" w:rsidRPr="00294BBF">
        <w:rPr>
          <w:color w:val="000000" w:themeColor="text1"/>
        </w:rPr>
        <w:t xml:space="preserve"> takes place from March to April along the European </w:t>
      </w:r>
      <w:r w:rsidR="00FC5767" w:rsidRPr="00294BBF">
        <w:rPr>
          <w:color w:val="000000" w:themeColor="text1"/>
        </w:rPr>
        <w:t>Continental Shelf</w:t>
      </w:r>
      <w:r w:rsidR="004226D7" w:rsidRPr="00294BBF">
        <w:rPr>
          <w:color w:val="000000" w:themeColor="text1"/>
        </w:rPr>
        <w:t xml:space="preserve"> edge and </w:t>
      </w:r>
      <w:r w:rsidR="009A5525" w:rsidRPr="00294BBF">
        <w:rPr>
          <w:color w:val="000000" w:themeColor="text1"/>
        </w:rPr>
        <w:t xml:space="preserve">over </w:t>
      </w:r>
      <w:r w:rsidR="004226D7" w:rsidRPr="00294BBF">
        <w:rPr>
          <w:color w:val="000000" w:themeColor="text1"/>
        </w:rPr>
        <w:t xml:space="preserve">banks to the west of </w:t>
      </w:r>
      <w:r w:rsidR="00536483">
        <w:rPr>
          <w:color w:val="000000" w:themeColor="text1"/>
        </w:rPr>
        <w:t>Great Britain and Ireland</w:t>
      </w:r>
      <w:r w:rsidR="004226D7" w:rsidRPr="00294BBF">
        <w:rPr>
          <w:color w:val="000000" w:themeColor="text1"/>
        </w:rPr>
        <w:t xml:space="preserve"> </w:t>
      </w:r>
      <w:r w:rsidR="004226D7" w:rsidRPr="00294BBF">
        <w:rPr>
          <w:color w:val="000000" w:themeColor="text1"/>
        </w:rPr>
        <w:fldChar w:fldCharType="begin" w:fldLock="1"/>
      </w:r>
      <w:r w:rsidR="0044442D" w:rsidRPr="00294BBF">
        <w:rPr>
          <w:color w:val="000000" w:themeColor="text1"/>
        </w:rPr>
        <w:instrText>ADDIN CSL_CITATION { "citationItems" : [ { "id" : "ITEM-1", "itemData" : { "DOI" : "10.1371/journal.pone.0106237", "author" : [ { "dropping-particle" : "", "family" : "Pointin", "given" : "Fabien", "non-dropping-particle" : "", "parse-names" : false, "suffix" : "" }, { "dropping-particle" : "", "family" : "Payne", "given" : "Mark R.", "non-dropping-particle" : "", "parse-names" : false, "suffix" : "" } ], "container-title" : "PloS ONE", "id" : "ITEM-1", "issue" : "9", "issued" : { "date-parts" : [ [ "2014" ] ] }, "page" : "1-11", "title" : "A Resolution to the Blue Whiting (Micromesistius poutassou) Population Paradox?", "type" : "article-journal", "volume" : "9" }, "uris" : [ "http://www.mendeley.com/documents/?uuid=6a6f494c-8d8f-4687-b6e3-cf82728f52eb" ] }, { "id" : "ITEM-2", "itemData" : { "author" : [ { "dropping-particle" : "", "family" : "Bailey", "given" : "R. S.", "non-dropping-particle" : "", "parse-names" : false, "suffix" : "" } ], "container-title" : "Advances in Marine Biology", "id" : "ITEM-2", "issued" : { "date-parts" : [ [ "1982" ] ] }, "page" : "257-355", "title" : "The population biology of blue whiting in the North Atlantic", "type" : "article-journal", "volume" : "19" }, "uris" : [ "http://www.mendeley.com/documents/?uuid=6d669d08-4d65-4bc6-9528-0a308ec660b1" ] } ], "mendeley" : { "formattedCitation" : "(Bailey, 1982; Pointin and Payne, 2014)", "plainTextFormattedCitation" : "(Bailey, 1982; Pointin and Payne, 2014)", "previouslyFormattedCitation" : "(Bailey, 1982; Pointin and Payne, 2014)" }, "properties" : { "noteIndex" : 0 }, "schema" : "https://github.com/citation-style-language/schema/raw/master/csl-citation.json" }</w:instrText>
      </w:r>
      <w:r w:rsidR="004226D7" w:rsidRPr="00294BBF">
        <w:rPr>
          <w:color w:val="000000" w:themeColor="text1"/>
        </w:rPr>
        <w:fldChar w:fldCharType="separate"/>
      </w:r>
      <w:r w:rsidR="0044442D" w:rsidRPr="00294BBF">
        <w:rPr>
          <w:noProof/>
          <w:color w:val="000000" w:themeColor="text1"/>
        </w:rPr>
        <w:t>(Bailey, 1982; Pointin and Payne, 2014)</w:t>
      </w:r>
      <w:r w:rsidR="004226D7" w:rsidRPr="00294BBF">
        <w:rPr>
          <w:color w:val="000000" w:themeColor="text1"/>
        </w:rPr>
        <w:fldChar w:fldCharType="end"/>
      </w:r>
      <w:r w:rsidR="00A70A04" w:rsidRPr="00294BBF">
        <w:rPr>
          <w:color w:val="000000" w:themeColor="text1"/>
        </w:rPr>
        <w:t>.</w:t>
      </w:r>
      <w:r w:rsidR="0044442D" w:rsidRPr="00294BBF">
        <w:rPr>
          <w:color w:val="000000" w:themeColor="text1"/>
        </w:rPr>
        <w:t xml:space="preserve"> </w:t>
      </w:r>
    </w:p>
    <w:p w14:paraId="4E7A1A62" w14:textId="3C27D90A" w:rsidR="00CB7741" w:rsidRDefault="0049732E" w:rsidP="00D92F62">
      <w:pPr>
        <w:rPr>
          <w:rFonts w:eastAsia="Droid Sans Fallback"/>
          <w:color w:val="000000" w:themeColor="text1"/>
        </w:rPr>
      </w:pPr>
      <w:r w:rsidRPr="00294BBF">
        <w:rPr>
          <w:color w:val="000000" w:themeColor="text1"/>
        </w:rPr>
        <w:t xml:space="preserve">The </w:t>
      </w:r>
      <w:r w:rsidR="002A67A3">
        <w:rPr>
          <w:color w:val="000000" w:themeColor="text1"/>
        </w:rPr>
        <w:t xml:space="preserve">spatial </w:t>
      </w:r>
      <w:r w:rsidRPr="00294BBF">
        <w:rPr>
          <w:color w:val="000000" w:themeColor="text1"/>
        </w:rPr>
        <w:t>distribution of b</w:t>
      </w:r>
      <w:r w:rsidR="00C27032" w:rsidRPr="00294BBF">
        <w:rPr>
          <w:color w:val="000000" w:themeColor="text1"/>
        </w:rPr>
        <w:t>lue whiting</w:t>
      </w:r>
      <w:r w:rsidR="002A67A3">
        <w:rPr>
          <w:color w:val="000000" w:themeColor="text1"/>
        </w:rPr>
        <w:t xml:space="preserve"> spawning</w:t>
      </w:r>
      <w:r w:rsidRPr="00294BBF">
        <w:rPr>
          <w:color w:val="000000" w:themeColor="text1"/>
        </w:rPr>
        <w:t xml:space="preserve">, however, has been shown to vary </w:t>
      </w:r>
      <w:r w:rsidR="00872D22" w:rsidRPr="00294BBF">
        <w:rPr>
          <w:color w:val="000000" w:themeColor="text1"/>
        </w:rPr>
        <w:t xml:space="preserve">substantially </w:t>
      </w:r>
      <w:r w:rsidR="007B4EC0" w:rsidRPr="00294BBF">
        <w:rPr>
          <w:color w:val="000000" w:themeColor="text1"/>
        </w:rPr>
        <w:t>between years</w:t>
      </w:r>
      <w:r w:rsidR="00690AB3" w:rsidRPr="00294BBF">
        <w:rPr>
          <w:color w:val="000000" w:themeColor="text1"/>
        </w:rPr>
        <w:t>.</w:t>
      </w:r>
      <w:r w:rsidR="002D2FDF" w:rsidRPr="00294BBF">
        <w:rPr>
          <w:color w:val="000000" w:themeColor="text1"/>
        </w:rPr>
        <w:t xml:space="preserve"> </w:t>
      </w:r>
      <w:r w:rsidR="00210D4C" w:rsidRPr="00294BBF">
        <w:rPr>
          <w:color w:val="000000" w:themeColor="text1"/>
        </w:rPr>
        <w:t>Scientific surveys have shown that i</w:t>
      </w:r>
      <w:r w:rsidR="007B4EC0" w:rsidRPr="00294BBF">
        <w:rPr>
          <w:color w:val="000000" w:themeColor="text1"/>
        </w:rPr>
        <w:t xml:space="preserve">n some years the distribution extends all the way </w:t>
      </w:r>
      <w:r w:rsidR="003F437A" w:rsidRPr="00294BBF">
        <w:rPr>
          <w:color w:val="000000" w:themeColor="text1"/>
        </w:rPr>
        <w:t xml:space="preserve">from </w:t>
      </w:r>
      <w:r w:rsidR="00F35FBA" w:rsidRPr="00294BBF">
        <w:rPr>
          <w:color w:val="000000" w:themeColor="text1"/>
        </w:rPr>
        <w:t xml:space="preserve">Rockall Trough to </w:t>
      </w:r>
      <w:r w:rsidR="000F5EF9" w:rsidRPr="00294BBF">
        <w:rPr>
          <w:color w:val="000000" w:themeColor="text1"/>
        </w:rPr>
        <w:t>Rockall Plateau and Hatton B</w:t>
      </w:r>
      <w:r w:rsidR="007B4EC0" w:rsidRPr="00294BBF">
        <w:rPr>
          <w:color w:val="000000" w:themeColor="text1"/>
        </w:rPr>
        <w:t>ank</w:t>
      </w:r>
      <w:r w:rsidR="000F5EF9" w:rsidRPr="00294BBF">
        <w:rPr>
          <w:color w:val="000000" w:themeColor="text1"/>
        </w:rPr>
        <w:t xml:space="preserve"> </w:t>
      </w:r>
      <w:r w:rsidR="000F5EF9" w:rsidRPr="00294BBF">
        <w:rPr>
          <w:color w:val="000000" w:themeColor="text1"/>
          <w:lang w:val="en-US"/>
        </w:rPr>
        <w:fldChar w:fldCharType="begin" w:fldLock="1"/>
      </w:r>
      <w:r w:rsidR="00AD6103" w:rsidRPr="00294BBF">
        <w:rPr>
          <w:color w:val="000000" w:themeColor="text1"/>
          <w:lang w:val="en-US"/>
        </w:rPr>
        <w:instrText>ADDIN CSL_CITATION { "citationItems" : [ { "id" : "ITEM-1", "itemData" : { "author" : [ { "dropping-particle" : "", "family" : "ICES", "given" : "", "non-dropping-particle" : "", "parse-names" : false, "suffix" : "" } ], "id" : "ITEM-1", "issued" : { "date-parts" : [ [ "2007" ] ] }, "number-of-pages" : "98 pp.", "title" : "Report of the Planning Group on Northeast Atlantic Pelagic Ecosystem Surveys (PGNAPES). ICES CM 2007/RMC:07", "type" : "report" }, "uris" : [ "http://www.mendeley.com/documents/?uuid=84e566b0-34f8-4d50-b048-5f5c73f23219" ] } ], "mendeley" : { "formattedCitation" : "(ICES, 2007)", "plainTextFormattedCitation" : "(ICES, 2007)", "previouslyFormattedCitation" : "(ICES, 2007)" }, "properties" : { "noteIndex" : 0 }, "schema" : "https://github.com/citation-style-language/schema/raw/master/csl-citation.json" }</w:instrText>
      </w:r>
      <w:r w:rsidR="000F5EF9" w:rsidRPr="00294BBF">
        <w:rPr>
          <w:color w:val="000000" w:themeColor="text1"/>
          <w:lang w:val="en-US"/>
        </w:rPr>
        <w:fldChar w:fldCharType="separate"/>
      </w:r>
      <w:r w:rsidR="00763109" w:rsidRPr="00294BBF">
        <w:rPr>
          <w:noProof/>
          <w:color w:val="000000" w:themeColor="text1"/>
          <w:lang w:val="en-US"/>
        </w:rPr>
        <w:t>(ICES, 2007)</w:t>
      </w:r>
      <w:r w:rsidR="000F5EF9" w:rsidRPr="00294BBF">
        <w:rPr>
          <w:color w:val="000000" w:themeColor="text1"/>
          <w:lang w:val="en-US"/>
        </w:rPr>
        <w:fldChar w:fldCharType="end"/>
      </w:r>
      <w:r w:rsidR="007B4EC0" w:rsidRPr="00294BBF">
        <w:rPr>
          <w:color w:val="000000" w:themeColor="text1"/>
        </w:rPr>
        <w:t>, while in other year</w:t>
      </w:r>
      <w:r w:rsidR="00A55644" w:rsidRPr="00294BBF">
        <w:rPr>
          <w:color w:val="000000" w:themeColor="text1"/>
        </w:rPr>
        <w:t>s it is compacted close to the C</w:t>
      </w:r>
      <w:r w:rsidR="007B4EC0" w:rsidRPr="00294BBF">
        <w:rPr>
          <w:color w:val="000000" w:themeColor="text1"/>
        </w:rPr>
        <w:t xml:space="preserve">ontinental </w:t>
      </w:r>
      <w:r w:rsidR="00A55644" w:rsidRPr="00294BBF">
        <w:rPr>
          <w:color w:val="000000" w:themeColor="text1"/>
        </w:rPr>
        <w:t>S</w:t>
      </w:r>
      <w:r w:rsidR="007B4EC0" w:rsidRPr="00294BBF">
        <w:rPr>
          <w:color w:val="000000" w:themeColor="text1"/>
        </w:rPr>
        <w:t>helf edge</w:t>
      </w:r>
      <w:r w:rsidR="000F5EF9" w:rsidRPr="00294BBF">
        <w:rPr>
          <w:color w:val="000000" w:themeColor="text1"/>
        </w:rPr>
        <w:t xml:space="preserve"> </w:t>
      </w:r>
      <w:r w:rsidR="000F5EF9" w:rsidRPr="00294BBF">
        <w:rPr>
          <w:b/>
          <w:bCs/>
          <w:color w:val="000000" w:themeColor="text1"/>
        </w:rPr>
        <w:fldChar w:fldCharType="begin" w:fldLock="1"/>
      </w:r>
      <w:r w:rsidR="00E73F3C" w:rsidRPr="00294BBF">
        <w:rPr>
          <w:b/>
          <w:bCs/>
          <w:color w:val="000000" w:themeColor="text1"/>
        </w:rPr>
        <w:instrText>ADDIN CSL_CITATION { "citationItems" : [ { "id" : "ITEM-1", "itemData" : { "author" : [ { "dropping-particle" : "", "family" : "ICES", "given" : "", "non-dropping-particle" : "", "parse-names" : false, "suffix" : "" } ], "container-title" : "ICES CM 2015/ACOM: 5", "id" : "ITEM-1", "issued" : { "date-parts" : [ [ "2015" ] ] }, "number-of-pages" : "588", "title" : "Report of the Working Group on Widely Distributed Stocks (WGWIDE), 25 August - 31 August 2015, Pasaia, Spain. ICES CM 2015/ACOM: 5", "type" : "report" }, "uris" : [ "http://www.mendeley.com/documents/?uuid=71a49f87-6636-44ad-89b7-225836318668" ] } ], "mendeley" : { "formattedCitation" : "(ICES, 2015)", "plainTextFormattedCitation" : "(ICES, 2015)", "previouslyFormattedCitation" : "(ICES, 2015)" }, "properties" : { "noteIndex" : 0 }, "schema" : "https://github.com/citation-style-language/schema/raw/master/csl-citation.json" }</w:instrText>
      </w:r>
      <w:r w:rsidR="000F5EF9" w:rsidRPr="00294BBF">
        <w:rPr>
          <w:b/>
          <w:bCs/>
          <w:color w:val="000000" w:themeColor="text1"/>
        </w:rPr>
        <w:fldChar w:fldCharType="separate"/>
      </w:r>
      <w:r w:rsidR="00763109" w:rsidRPr="00294BBF">
        <w:rPr>
          <w:bCs/>
          <w:noProof/>
          <w:color w:val="000000" w:themeColor="text1"/>
        </w:rPr>
        <w:t>(ICES, 2015)</w:t>
      </w:r>
      <w:r w:rsidR="000F5EF9" w:rsidRPr="00294BBF">
        <w:rPr>
          <w:b/>
          <w:bCs/>
          <w:color w:val="000000" w:themeColor="text1"/>
        </w:rPr>
        <w:fldChar w:fldCharType="end"/>
      </w:r>
      <w:r w:rsidR="007B4EC0" w:rsidRPr="00294BBF">
        <w:rPr>
          <w:color w:val="000000" w:themeColor="text1"/>
        </w:rPr>
        <w:t xml:space="preserve">. </w:t>
      </w:r>
      <w:r w:rsidR="00210D4C" w:rsidRPr="00294BBF">
        <w:rPr>
          <w:color w:val="000000" w:themeColor="text1"/>
        </w:rPr>
        <w:t>These shifts in distribution</w:t>
      </w:r>
      <w:r w:rsidR="009A3C2A" w:rsidRPr="00294BBF">
        <w:rPr>
          <w:color w:val="000000" w:themeColor="text1"/>
        </w:rPr>
        <w:t xml:space="preserve"> are typically attributed to the </w:t>
      </w:r>
      <w:r w:rsidR="00D92466" w:rsidRPr="00294BBF">
        <w:rPr>
          <w:color w:val="000000" w:themeColor="text1"/>
        </w:rPr>
        <w:t xml:space="preserve">variability of the </w:t>
      </w:r>
      <w:r w:rsidR="009A3C2A" w:rsidRPr="00294BBF">
        <w:rPr>
          <w:color w:val="000000" w:themeColor="text1"/>
        </w:rPr>
        <w:t xml:space="preserve">marine </w:t>
      </w:r>
      <w:r w:rsidR="00D92466" w:rsidRPr="00294BBF">
        <w:rPr>
          <w:color w:val="000000" w:themeColor="text1"/>
        </w:rPr>
        <w:t>environment</w:t>
      </w:r>
      <w:r w:rsidR="009A3C2A" w:rsidRPr="00294BBF">
        <w:rPr>
          <w:color w:val="000000" w:themeColor="text1"/>
        </w:rPr>
        <w:t>: a</w:t>
      </w:r>
      <w:r w:rsidR="00A40BD7" w:rsidRPr="00294BBF">
        <w:rPr>
          <w:color w:val="000000" w:themeColor="text1"/>
        </w:rPr>
        <w:t>lready in 1909</w:t>
      </w:r>
      <w:r w:rsidR="00690AB3" w:rsidRPr="00294BBF">
        <w:rPr>
          <w:color w:val="000000" w:themeColor="text1"/>
        </w:rPr>
        <w:t>,</w:t>
      </w:r>
      <w:r w:rsidR="00A40BD7" w:rsidRPr="00294BBF">
        <w:rPr>
          <w:color w:val="000000" w:themeColor="text1"/>
        </w:rPr>
        <w:t xml:space="preserve"> Schmidt </w:t>
      </w:r>
      <w:r w:rsidR="00AF70C0" w:rsidRPr="00294BBF">
        <w:rPr>
          <w:color w:val="000000" w:themeColor="text1"/>
        </w:rPr>
        <w:t xml:space="preserve">noted </w:t>
      </w:r>
      <w:r w:rsidR="00A40BD7" w:rsidRPr="00294BBF">
        <w:rPr>
          <w:color w:val="000000" w:themeColor="text1"/>
        </w:rPr>
        <w:t xml:space="preserve">that blue whiting </w:t>
      </w:r>
      <w:r w:rsidR="00690AB3" w:rsidRPr="00294BBF">
        <w:rPr>
          <w:color w:val="000000" w:themeColor="text1"/>
        </w:rPr>
        <w:t>were</w:t>
      </w:r>
      <w:r w:rsidR="00A40BD7" w:rsidRPr="00294BBF">
        <w:rPr>
          <w:color w:val="000000" w:themeColor="text1"/>
        </w:rPr>
        <w:t xml:space="preserve"> sensitive to temperatures and salinities during spawning </w:t>
      </w:r>
      <w:r w:rsidR="002C6E31" w:rsidRPr="00294BBF">
        <w:rPr>
          <w:color w:val="000000" w:themeColor="text1"/>
        </w:rPr>
        <w:fldChar w:fldCharType="begin" w:fldLock="1"/>
      </w:r>
      <w:r w:rsidR="00AD6103" w:rsidRPr="00294BBF">
        <w:rPr>
          <w:color w:val="000000" w:themeColor="text1"/>
        </w:rPr>
        <w:instrText>ADDIN CSL_CITATION { "citationItems" : [ { "id" : "ITEM-1", "itemData" : { "author" : [ { "dropping-particle" : "", "family" : "Schmidt", "given" : "S.", "non-dropping-particle" : "", "parse-names" : false, "suffix" : "" } ], "container-title" : "Rapp. P.-V. Reun. Cons. Int. Explor. Mer", "id" : "ITEM-1", "issued" : { "date-parts" : [ [ "1909" ] ] }, "page" : "1-229", "title" : "The distribution of the pelagic fry and the spawning regions of the gadoids in the North Atlantic from Iceland to Spain.", "type" : "article-journal", "volume" : "10" }, "uris" : [ "http://www.mendeley.com/documents/?uuid=9267392a-eab5-460e-8418-5086a370a0c8", "http://www.mendeley.com/documents/?uuid=2fa6294e-df39-4432-b7e5-df5f3b8b9b2f" ] } ], "mendeley" : { "formattedCitation" : "(Schmidt, 1909)", "plainTextFormattedCitation" : "(Schmidt, 1909)", "previouslyFormattedCitation" : "(Schmidt, 1909)" }, "properties" : { "noteIndex" : 0 }, "schema" : "https://github.com/citation-style-language/schema/raw/master/csl-citation.json" }</w:instrText>
      </w:r>
      <w:r w:rsidR="002C6E31" w:rsidRPr="00294BBF">
        <w:rPr>
          <w:color w:val="000000" w:themeColor="text1"/>
        </w:rPr>
        <w:fldChar w:fldCharType="separate"/>
      </w:r>
      <w:r w:rsidR="00763109" w:rsidRPr="00294BBF">
        <w:rPr>
          <w:noProof/>
          <w:color w:val="000000" w:themeColor="text1"/>
        </w:rPr>
        <w:t>(Schmidt, 1909)</w:t>
      </w:r>
      <w:r w:rsidR="002C6E31" w:rsidRPr="00294BBF">
        <w:rPr>
          <w:color w:val="000000" w:themeColor="text1"/>
        </w:rPr>
        <w:fldChar w:fldCharType="end"/>
      </w:r>
      <w:r w:rsidR="00A40BD7" w:rsidRPr="00294BBF">
        <w:rPr>
          <w:color w:val="000000" w:themeColor="text1"/>
        </w:rPr>
        <w:t>.</w:t>
      </w:r>
      <w:r w:rsidR="00AF70C0" w:rsidRPr="00294BBF">
        <w:rPr>
          <w:color w:val="000000" w:themeColor="text1"/>
        </w:rPr>
        <w:t xml:space="preserve"> </w:t>
      </w:r>
      <w:r w:rsidR="00690AB3" w:rsidRPr="00294BBF">
        <w:rPr>
          <w:color w:val="000000" w:themeColor="text1"/>
        </w:rPr>
        <w:t>A century later,</w:t>
      </w:r>
      <w:r w:rsidR="00AF70C0" w:rsidRPr="00294BBF">
        <w:rPr>
          <w:color w:val="000000" w:themeColor="text1"/>
        </w:rPr>
        <w:t xml:space="preserve"> </w:t>
      </w:r>
      <w:r w:rsidR="00AF70C0" w:rsidRPr="00294BBF">
        <w:rPr>
          <w:color w:val="000000" w:themeColor="text1"/>
        </w:rPr>
        <w:fldChar w:fldCharType="begin" w:fldLock="1"/>
      </w:r>
      <w:r w:rsidR="004D4781" w:rsidRPr="00294BBF">
        <w:rPr>
          <w:color w:val="000000" w:themeColor="text1"/>
        </w:rPr>
        <w:instrText>ADDIN CSL_CITATION { "citationItems" : [ { "id" : "ITEM-1", "itemData" : { "DOI" : "10.1139/F09-037", "ISBN" : "0706-652X", "ISSN" : "0706-652X", "abstract" : "The spawning stock of blue whiting (Micromesistius poutassou), an economically important pelagic gadoid in the North Atlantic Ocean, increased threefold after 1995. The reproductive success of the stock is largely determined during the very early stages of life, but little is known about the spawning dynamics of this species. Here we show that the spawning distribution of blue whiting is variable, regulated by the hydrography west of the British Isles. When the North Atlantic subpolar gyre is strong and spreads its cold, fresh water masses east over Rockall Plateau, the spawning is constrained along the European continental slope and in a southerly position near Porcupine Bank. When the gyre is weak and conditions are relatively saline and warm, the spawning distribution moves northwards along the slope and especially westwards covering Rockall Plateau. The apparent link between the spawning distribution and the subpolar gyre is the first step towards understanding the reproduction variability, which curr...", "author" : [ { "dropping-particle" : "", "family" : "H\u00e1t\u00fan", "given" : "Hj\u00e1lmar", "non-dropping-particle" : "", "parse-names" : false, "suffix" : "" }, { "dropping-particle" : "", "family" : "Payne", "given" : "Mark R.", "non-dropping-particle" : "", "parse-names" : false, "suffix" : "" }, { "dropping-particle" : "", "family" : "Jacobsen", "given" : "Jan Arge", "non-dropping-particle" : "", "parse-names" : false, "suffix" : "" } ], "container-title" : "Canadian Journal of Fisheries and Aquatic Sciences", "id" : "ITEM-1", "issue" : "5", "issued" : { "date-parts" : [ [ "2009" ] ] }, "page" : "759-770", "title" : "The North Atlantic subpolar gyre regulates the spawning distribution of blue whiting (&lt;i&gt;Micromesistius poutassou&lt;/i&gt;)", "type" : "article-journal", "volume" : "66" }, "uris" : [ "http://www.mendeley.com/documents/?uuid=64800076-bdad-4ea8-80e8-e6477e10c58a" ] } ], "mendeley" : { "formattedCitation" : "(H\u00e1t\u00fan, Payne and Jacobsen, 2009)", "manualFormatting" : "H\u00e1t\u00fan et al. (2009b)", "plainTextFormattedCitation" : "(H\u00e1t\u00fan, Payne and Jacobsen, 2009)", "previouslyFormattedCitation" : "(H\u00e1t\u00fan, Payne and Jacobsen, 2009)" }, "properties" : { "noteIndex" : 0 }, "schema" : "https://github.com/citation-style-language/schema/raw/master/csl-citation.json" }</w:instrText>
      </w:r>
      <w:r w:rsidR="00AF70C0" w:rsidRPr="00294BBF">
        <w:rPr>
          <w:color w:val="000000" w:themeColor="text1"/>
        </w:rPr>
        <w:fldChar w:fldCharType="separate"/>
      </w:r>
      <w:r w:rsidR="00AF70C0" w:rsidRPr="00294BBF">
        <w:rPr>
          <w:noProof/>
          <w:color w:val="000000" w:themeColor="text1"/>
        </w:rPr>
        <w:t xml:space="preserve">Hátún </w:t>
      </w:r>
      <w:r w:rsidR="006773E4" w:rsidRPr="006773E4">
        <w:rPr>
          <w:i/>
          <w:noProof/>
          <w:color w:val="000000" w:themeColor="text1"/>
        </w:rPr>
        <w:t>et al.</w:t>
      </w:r>
      <w:r w:rsidR="00AF70C0" w:rsidRPr="00294BBF">
        <w:rPr>
          <w:noProof/>
          <w:color w:val="000000" w:themeColor="text1"/>
        </w:rPr>
        <w:t xml:space="preserve"> (2009</w:t>
      </w:r>
      <w:r w:rsidR="004D4781" w:rsidRPr="00294BBF">
        <w:rPr>
          <w:noProof/>
          <w:color w:val="000000" w:themeColor="text1"/>
        </w:rPr>
        <w:t>b</w:t>
      </w:r>
      <w:r w:rsidR="00AF70C0" w:rsidRPr="00294BBF">
        <w:rPr>
          <w:noProof/>
          <w:color w:val="000000" w:themeColor="text1"/>
        </w:rPr>
        <w:t>)</w:t>
      </w:r>
      <w:r w:rsidR="00AF70C0" w:rsidRPr="00294BBF">
        <w:rPr>
          <w:color w:val="000000" w:themeColor="text1"/>
        </w:rPr>
        <w:fldChar w:fldCharType="end"/>
      </w:r>
      <w:r w:rsidR="00AF70C0" w:rsidRPr="00294BBF">
        <w:rPr>
          <w:color w:val="000000" w:themeColor="text1"/>
        </w:rPr>
        <w:t xml:space="preserve"> </w:t>
      </w:r>
      <w:r w:rsidR="00690AB3" w:rsidRPr="00294BBF">
        <w:rPr>
          <w:color w:val="000000" w:themeColor="text1"/>
        </w:rPr>
        <w:t>suggested</w:t>
      </w:r>
      <w:r w:rsidR="00AF70C0" w:rsidRPr="00294BBF">
        <w:rPr>
          <w:color w:val="000000" w:themeColor="text1"/>
        </w:rPr>
        <w:t xml:space="preserve"> that under fresh</w:t>
      </w:r>
      <w:r w:rsidR="00690AB3" w:rsidRPr="00294BBF">
        <w:rPr>
          <w:color w:val="000000" w:themeColor="text1"/>
        </w:rPr>
        <w:t>er</w:t>
      </w:r>
      <w:r w:rsidR="00AF70C0" w:rsidRPr="00294BBF">
        <w:rPr>
          <w:color w:val="000000" w:themeColor="text1"/>
        </w:rPr>
        <w:t xml:space="preserve"> and cold</w:t>
      </w:r>
      <w:r w:rsidR="00690AB3" w:rsidRPr="00294BBF">
        <w:rPr>
          <w:color w:val="000000" w:themeColor="text1"/>
        </w:rPr>
        <w:t>er</w:t>
      </w:r>
      <w:r w:rsidR="00AF70C0" w:rsidRPr="00294BBF">
        <w:rPr>
          <w:color w:val="000000" w:themeColor="text1"/>
        </w:rPr>
        <w:t xml:space="preserve"> conditions in the spawning region, blue whiting mainly spawn along the European </w:t>
      </w:r>
      <w:r w:rsidR="00FC5767" w:rsidRPr="00294BBF">
        <w:rPr>
          <w:color w:val="000000" w:themeColor="text1"/>
        </w:rPr>
        <w:t>Continental Shelf</w:t>
      </w:r>
      <w:r w:rsidR="00AF70C0" w:rsidRPr="00294BBF">
        <w:rPr>
          <w:color w:val="000000" w:themeColor="text1"/>
        </w:rPr>
        <w:t xml:space="preserve"> edge west of Ireland, </w:t>
      </w:r>
      <w:r w:rsidR="00690AB3" w:rsidRPr="00294BBF">
        <w:rPr>
          <w:color w:val="000000" w:themeColor="text1"/>
        </w:rPr>
        <w:t>in particular on Porcupine Bank</w:t>
      </w:r>
      <w:r w:rsidR="00BF5D82" w:rsidRPr="00294BBF">
        <w:rPr>
          <w:color w:val="000000" w:themeColor="text1"/>
        </w:rPr>
        <w:t xml:space="preserve">, while </w:t>
      </w:r>
      <w:r w:rsidR="00E764D8" w:rsidRPr="00294BBF">
        <w:rPr>
          <w:color w:val="000000" w:themeColor="text1"/>
        </w:rPr>
        <w:t xml:space="preserve">during </w:t>
      </w:r>
      <w:r w:rsidR="00AF70C0" w:rsidRPr="00294BBF">
        <w:rPr>
          <w:color w:val="000000" w:themeColor="text1"/>
        </w:rPr>
        <w:t>more saline and warmer conditions</w:t>
      </w:r>
      <w:r w:rsidR="00690AB3" w:rsidRPr="00294BBF">
        <w:rPr>
          <w:color w:val="000000" w:themeColor="text1"/>
        </w:rPr>
        <w:t>,</w:t>
      </w:r>
      <w:r w:rsidR="00AF70C0" w:rsidRPr="00294BBF">
        <w:rPr>
          <w:color w:val="000000" w:themeColor="text1"/>
        </w:rPr>
        <w:t xml:space="preserve"> spawning expands further westward across Rockall Trough onto Rockall Plateau and shifts northward along the European </w:t>
      </w:r>
      <w:r w:rsidR="00FC5767" w:rsidRPr="00294BBF">
        <w:rPr>
          <w:color w:val="000000" w:themeColor="text1"/>
        </w:rPr>
        <w:t>Continental Shelf</w:t>
      </w:r>
      <w:r w:rsidR="00AF70C0" w:rsidRPr="00294BBF">
        <w:rPr>
          <w:color w:val="000000" w:themeColor="text1"/>
        </w:rPr>
        <w:t xml:space="preserve"> (</w:t>
      </w:r>
      <w:r w:rsidR="00433CC3" w:rsidRPr="00294BBF">
        <w:rPr>
          <w:color w:val="000000" w:themeColor="text1"/>
        </w:rPr>
        <w:t>Fig. 1</w:t>
      </w:r>
      <w:r w:rsidR="00AF70C0" w:rsidRPr="00294BBF">
        <w:rPr>
          <w:color w:val="000000" w:themeColor="text1"/>
        </w:rPr>
        <w:t>).</w:t>
      </w:r>
      <w:r w:rsidR="00CE6E4B" w:rsidRPr="00294BBF">
        <w:rPr>
          <w:color w:val="000000" w:themeColor="text1"/>
        </w:rPr>
        <w:t xml:space="preserve"> </w:t>
      </w:r>
      <w:r w:rsidR="002A2856" w:rsidRPr="00294BBF">
        <w:rPr>
          <w:rFonts w:eastAsia="Droid Sans Fallback"/>
          <w:color w:val="000000" w:themeColor="text1"/>
        </w:rPr>
        <w:t>Unfortunately</w:t>
      </w:r>
      <w:r w:rsidR="00B15F0B" w:rsidRPr="00294BBF">
        <w:rPr>
          <w:rFonts w:eastAsia="Droid Sans Fallback"/>
          <w:color w:val="000000" w:themeColor="text1"/>
        </w:rPr>
        <w:t xml:space="preserve">, the current understanding of these dynamics is </w:t>
      </w:r>
      <w:r w:rsidR="00D92466" w:rsidRPr="00294BBF">
        <w:rPr>
          <w:rFonts w:eastAsia="Droid Sans Fallback"/>
          <w:color w:val="000000" w:themeColor="text1"/>
        </w:rPr>
        <w:t>largely</w:t>
      </w:r>
      <w:r w:rsidR="000752E7" w:rsidRPr="00294BBF">
        <w:rPr>
          <w:rFonts w:eastAsia="Droid Sans Fallback"/>
          <w:color w:val="000000" w:themeColor="text1"/>
        </w:rPr>
        <w:t xml:space="preserve"> qualitative</w:t>
      </w:r>
      <w:r w:rsidR="00B15F0B" w:rsidRPr="00294BBF">
        <w:rPr>
          <w:rFonts w:eastAsia="Droid Sans Fallback"/>
          <w:color w:val="000000" w:themeColor="text1"/>
        </w:rPr>
        <w:t xml:space="preserve"> in nature: </w:t>
      </w:r>
      <w:r w:rsidR="002A2856" w:rsidRPr="00294BBF">
        <w:rPr>
          <w:rFonts w:eastAsia="Droid Sans Fallback"/>
          <w:color w:val="000000" w:themeColor="text1"/>
        </w:rPr>
        <w:t xml:space="preserve">it is not currently possible, for example, to </w:t>
      </w:r>
      <w:r w:rsidR="00D14647" w:rsidRPr="00294BBF">
        <w:rPr>
          <w:rFonts w:eastAsia="Droid Sans Fallback"/>
          <w:color w:val="000000" w:themeColor="text1"/>
        </w:rPr>
        <w:t xml:space="preserve">make </w:t>
      </w:r>
      <w:r w:rsidR="002A2856" w:rsidRPr="00294BBF">
        <w:rPr>
          <w:rFonts w:eastAsia="Droid Sans Fallback"/>
          <w:color w:val="000000" w:themeColor="text1"/>
        </w:rPr>
        <w:t xml:space="preserve">quantitative </w:t>
      </w:r>
      <w:r w:rsidR="00EA45C6" w:rsidRPr="00294BBF">
        <w:rPr>
          <w:rFonts w:eastAsia="Droid Sans Fallback"/>
          <w:color w:val="000000" w:themeColor="text1"/>
        </w:rPr>
        <w:t xml:space="preserve">predictions </w:t>
      </w:r>
      <w:r w:rsidR="002A2856" w:rsidRPr="00294BBF">
        <w:rPr>
          <w:rFonts w:eastAsia="Droid Sans Fallback"/>
          <w:color w:val="000000" w:themeColor="text1"/>
        </w:rPr>
        <w:t xml:space="preserve">of the spawning distribution. Such knowledge, however, could be potentially of great value in </w:t>
      </w:r>
      <w:r w:rsidR="002A2856" w:rsidRPr="00294BBF">
        <w:rPr>
          <w:rFonts w:eastAsia="Droid Sans Fallback"/>
          <w:color w:val="000000" w:themeColor="text1"/>
        </w:rPr>
        <w:lastRenderedPageBreak/>
        <w:t>the scienti</w:t>
      </w:r>
      <w:r w:rsidR="000F5EF9" w:rsidRPr="00294BBF">
        <w:rPr>
          <w:rFonts w:eastAsia="Droid Sans Fallback"/>
          <w:color w:val="000000" w:themeColor="text1"/>
        </w:rPr>
        <w:t>fic monitoring of the stock, it</w:t>
      </w:r>
      <w:r w:rsidR="002A2856" w:rsidRPr="00294BBF">
        <w:rPr>
          <w:rFonts w:eastAsia="Droid Sans Fallback"/>
          <w:color w:val="000000" w:themeColor="text1"/>
        </w:rPr>
        <w:t xml:space="preserve">s assessment and management, and even in optimising the performance of the fishery. </w:t>
      </w:r>
    </w:p>
    <w:p w14:paraId="57FE8B3C" w14:textId="3891D685" w:rsidR="00CB7741" w:rsidRDefault="00690AB3" w:rsidP="00D92F62">
      <w:pPr>
        <w:rPr>
          <w:color w:val="000000" w:themeColor="text1"/>
        </w:rPr>
      </w:pPr>
      <w:r w:rsidRPr="00294BBF">
        <w:rPr>
          <w:rFonts w:eastAsia="Droid Sans Fallback"/>
          <w:color w:val="000000" w:themeColor="text1"/>
        </w:rPr>
        <w:t xml:space="preserve">A key line of evidence </w:t>
      </w:r>
      <w:r w:rsidR="00F72930" w:rsidRPr="00294BBF">
        <w:rPr>
          <w:rFonts w:eastAsia="Droid Sans Fallback"/>
          <w:color w:val="000000" w:themeColor="text1"/>
        </w:rPr>
        <w:t xml:space="preserve">supporting </w:t>
      </w:r>
      <w:r w:rsidR="00172C4A" w:rsidRPr="00294BBF">
        <w:rPr>
          <w:rFonts w:eastAsia="Droid Sans Fallback"/>
          <w:color w:val="000000" w:themeColor="text1"/>
        </w:rPr>
        <w:t>the current</w:t>
      </w:r>
      <w:r w:rsidR="00F72930" w:rsidRPr="00294BBF">
        <w:rPr>
          <w:rFonts w:eastAsia="Droid Sans Fallback"/>
          <w:color w:val="000000" w:themeColor="text1"/>
        </w:rPr>
        <w:t xml:space="preserve"> understanding</w:t>
      </w:r>
      <w:r w:rsidRPr="00294BBF">
        <w:rPr>
          <w:rFonts w:eastAsia="Droid Sans Fallback"/>
          <w:color w:val="000000" w:themeColor="text1"/>
        </w:rPr>
        <w:t xml:space="preserve"> stems from the </w:t>
      </w:r>
      <w:r w:rsidR="0021390D" w:rsidRPr="00294BBF">
        <w:rPr>
          <w:rFonts w:eastAsia="Droid Sans Fallback"/>
          <w:color w:val="000000" w:themeColor="text1"/>
        </w:rPr>
        <w:t>Continuous</w:t>
      </w:r>
      <w:r w:rsidRPr="00294BBF">
        <w:rPr>
          <w:rFonts w:eastAsia="Droid Sans Fallback"/>
          <w:color w:val="000000" w:themeColor="text1"/>
        </w:rPr>
        <w:t xml:space="preserve"> Plankton Recorder (CPR) survey.</w:t>
      </w:r>
      <w:r w:rsidR="0021390D" w:rsidRPr="00294BBF">
        <w:rPr>
          <w:rFonts w:eastAsia="Droid Sans Fallback"/>
          <w:color w:val="000000" w:themeColor="text1"/>
        </w:rPr>
        <w:t xml:space="preserve"> T</w:t>
      </w:r>
      <w:r w:rsidR="00FD0F20" w:rsidRPr="00294BBF">
        <w:rPr>
          <w:color w:val="000000" w:themeColor="text1"/>
        </w:rPr>
        <w:t xml:space="preserve">he CPR survey </w:t>
      </w:r>
      <w:r w:rsidR="0021390D" w:rsidRPr="00294BBF">
        <w:rPr>
          <w:color w:val="000000" w:themeColor="text1"/>
        </w:rPr>
        <w:t>is</w:t>
      </w:r>
      <w:r w:rsidR="00FD0F20" w:rsidRPr="00294BBF">
        <w:rPr>
          <w:color w:val="000000" w:themeColor="text1"/>
        </w:rPr>
        <w:t xml:space="preserve"> one of t</w:t>
      </w:r>
      <w:r w:rsidR="00AE414B" w:rsidRPr="00294BBF">
        <w:rPr>
          <w:color w:val="000000" w:themeColor="text1"/>
        </w:rPr>
        <w:t>he most wide-ranging long term monitoring programmes</w:t>
      </w:r>
      <w:r w:rsidR="00FD0F20" w:rsidRPr="00294BBF">
        <w:rPr>
          <w:color w:val="000000" w:themeColor="text1"/>
        </w:rPr>
        <w:t xml:space="preserve"> of marine organisms in the world </w:t>
      </w:r>
      <w:r w:rsidR="000F01AC" w:rsidRPr="00294BBF">
        <w:rPr>
          <w:color w:val="000000" w:themeColor="text1"/>
        </w:rPr>
        <w:fldChar w:fldCharType="begin" w:fldLock="1"/>
      </w:r>
      <w:r w:rsidR="00E40F45" w:rsidRPr="00294BBF">
        <w:rPr>
          <w:color w:val="000000" w:themeColor="text1"/>
        </w:rPr>
        <w:instrText>ADDIN CSL_CITATION { "citationItems" : [ { "id" : "ITEM-1", "itemData" : { "DOI" : "10.1016/j.pocean.2003.08.004", "ISBN" : "1250756774", "ISSN" : "00796611", "abstract" : "The Continuous Plankton Recorder has been deployed for 70 years. Although modifications to the machine have been relatively minor, there has been a steady increase in the speed at which it is towed, creating a need to quantify what effects this may have had on its sampling characteristics. Additionally, because the CPR database is one of the longest and most geographically extensive biological time series in the world, and scientists are currently focusing on gaining understanding about climate-induced ecological changes, there is increasing pressure to quantify the sampling performance and relate the CPR data to data collected by other plankton samplers. Many of these issues of consistency and comparability have been investigated throughout the decades of the CPR survey. The primary aim of this study is to draw together the results of those investigations, updating or integrating them where applicable. A secondary aim is to use the CPR database to address other previously unexamined issues. We show that the increase in speed of tow has had no effect on the depth of sampling and the mechanical efficiency of the internal mechanism, but that at the highest tow speeds there is some evidence that flow may be reduced. Depth of tow may also be dependent on the ship operating a particular route. We describe the processing procedures used to ensure consistency of analysis and detail the changes in taxonomic resolution that have occurred through the course of the survey. Some consistency issues remain unresolved, such as the effects of adding heavy instrumentation to the attitude of the CPR in the water and possible effects on sampling performance. The reduction of flow caused by clogging of the filtering mesh has now been quantified through the addition of flowmeters and each CPR sample can now be calibrated for measured, or derived, filtered volume. Although estimates of abundances for large areas have been shown to be unaffected by recalibration, absolute quantification of plankton abundance is necessary to enable comparisons with other sampling devices. Several studies have now been undertaken that compare plankton abundances obtained with the CPR with those obtained using vertical nets at specific locations on the European continental shelf. Although catches by the CPR are almost always lower, seasonal cycles are replicated in each comparison, and interannual variability generally agrees between time series. The relative catch rates for an individual specie\u2026", "author" : [ { "dropping-particle" : "", "family" : "Batten", "given" : "S.D.", "non-dropping-particle" : "", "parse-names" : false, "suffix" : "" }, { "dropping-particle" : "", "family" : "Clarke", "given" : "R.", "non-dropping-particle" : "", "parse-names" : false, "suffix" : "" }, { "dropping-particle" : "", "family" : "Flinkman", "given" : "J.", "non-dropping-particle" : "", "parse-names" : false, "suffix" : "" }, { "dropping-particle" : "", "family" : "Hays", "given" : "G.", "non-dropping-particle" : "", "parse-names" : false, "suffix" : "" }, { "dropping-particle" : "", "family" : "John", "given" : "E.", "non-dropping-particle" : "", "parse-names" : false, "suffix" : "" }, { "dropping-particle" : "", "family" : "John", "given" : "A.W.G.", "non-dropping-particle" : "", "parse-names" : false, "suffix" : "" }, { "dropping-particle" : "", "family" : "Jonas", "given" : "T.D.", "non-dropping-particle" : "", "parse-names" : false, "suffix" : "" }, { "dropping-particle" : "", "family" : "Lindley", "given" : "J.A.", "non-dropping-particle" : "", "parse-names" : false, "suffix" : "" }, { "dropping-particle" : "", "family" : "Stevens", "given" : "D.P.", "non-dropping-particle" : "", "parse-names" : false, "suffix" : "" }, { "dropping-particle" : "", "family" : "Walne", "given" : "A.", "non-dropping-particle" : "", "parse-names" : false, "suffix" : "" } ], "container-title" : "Progress in Oceanography", "id" : "ITEM-1", "issued" : { "date-parts" : [ [ "2003" ] ] }, "page" : "193-215", "title" : "CPR sampling: the technical background, materials and methods, and issues of consistency and comparability", "type" : "article-journal", "volume" : "58" }, "uris" : [ "http://www.mendeley.com/documents/?uuid=90c54532-8397-44f2-abe8-57252eb58b82" ] } ], "mendeley" : { "formattedCitation" : "(Batten &lt;i&gt;et al.&lt;/i&gt;, 2003)", "plainTextFormattedCitation" : "(Batten et al., 2003)", "previouslyFormattedCitation" : "(Batten &lt;i&gt;et al.&lt;/i&gt;, 2003)" }, "properties" : { "noteIndex" : 0 }, "schema" : "https://github.com/citation-style-language/schema/raw/master/csl-citation.json" }</w:instrText>
      </w:r>
      <w:r w:rsidR="000F01AC" w:rsidRPr="00294BBF">
        <w:rPr>
          <w:color w:val="000000" w:themeColor="text1"/>
        </w:rPr>
        <w:fldChar w:fldCharType="separate"/>
      </w:r>
      <w:r w:rsidR="00E40F45" w:rsidRPr="00294BBF">
        <w:rPr>
          <w:noProof/>
          <w:color w:val="000000" w:themeColor="text1"/>
        </w:rPr>
        <w:t xml:space="preserve">(Batten </w:t>
      </w:r>
      <w:r w:rsidR="006773E4" w:rsidRPr="006773E4">
        <w:rPr>
          <w:i/>
          <w:noProof/>
          <w:color w:val="000000" w:themeColor="text1"/>
        </w:rPr>
        <w:t>et al.</w:t>
      </w:r>
      <w:r w:rsidR="00E40F45" w:rsidRPr="00294BBF">
        <w:rPr>
          <w:noProof/>
          <w:color w:val="000000" w:themeColor="text1"/>
        </w:rPr>
        <w:t>, 2003)</w:t>
      </w:r>
      <w:r w:rsidR="000F01AC" w:rsidRPr="00294BBF">
        <w:rPr>
          <w:color w:val="000000" w:themeColor="text1"/>
        </w:rPr>
        <w:fldChar w:fldCharType="end"/>
      </w:r>
      <w:r w:rsidR="00680497" w:rsidRPr="00294BBF">
        <w:rPr>
          <w:color w:val="000000" w:themeColor="text1"/>
        </w:rPr>
        <w:t xml:space="preserve"> and has </w:t>
      </w:r>
      <w:r w:rsidR="00AB7312" w:rsidRPr="00294BBF">
        <w:rPr>
          <w:color w:val="000000" w:themeColor="text1"/>
        </w:rPr>
        <w:t>been influential in</w:t>
      </w:r>
      <w:r w:rsidR="00680497" w:rsidRPr="00294BBF">
        <w:rPr>
          <w:color w:val="000000" w:themeColor="text1"/>
        </w:rPr>
        <w:t xml:space="preserve"> </w:t>
      </w:r>
      <w:r w:rsidR="00456F2D" w:rsidRPr="00294BBF">
        <w:rPr>
          <w:color w:val="000000" w:themeColor="text1"/>
        </w:rPr>
        <w:t xml:space="preserve">the history of the </w:t>
      </w:r>
      <w:r w:rsidR="0021390D" w:rsidRPr="00294BBF">
        <w:rPr>
          <w:color w:val="000000" w:themeColor="text1"/>
        </w:rPr>
        <w:t xml:space="preserve">blue whiting fishery. </w:t>
      </w:r>
      <w:r w:rsidR="00807144" w:rsidRPr="00294BBF">
        <w:rPr>
          <w:color w:val="000000" w:themeColor="text1"/>
        </w:rPr>
        <w:t xml:space="preserve">The first records of blue whiting larvae in CPR samples were reported </w:t>
      </w:r>
      <w:r w:rsidR="00D344F5" w:rsidRPr="00294BBF">
        <w:rPr>
          <w:color w:val="000000" w:themeColor="text1"/>
        </w:rPr>
        <w:t xml:space="preserve">in the early 1950s </w:t>
      </w:r>
      <w:r w:rsidR="00763109" w:rsidRPr="00294BBF">
        <w:rPr>
          <w:color w:val="000000" w:themeColor="text1"/>
        </w:rPr>
        <w:fldChar w:fldCharType="begin" w:fldLock="1"/>
      </w:r>
      <w:r w:rsidR="00AD6103" w:rsidRPr="00294BBF">
        <w:rPr>
          <w:color w:val="000000" w:themeColor="text1"/>
        </w:rPr>
        <w:instrText>ADDIN CSL_CITATION { "citationItems" : [ { "id" : "ITEM-1", "itemData" : { "author" : [ { "dropping-particle" : "", "family" : "Henderson", "given" : "G. T. D.", "non-dropping-particle" : "", "parse-names" : false, "suffix" : "" } ], "container-title" : "Hull Bulletins of Marine Ecology", "id" : "ITEM-1", "issue" : "24", "issued" : { "date-parts" : [ [ "1953" ] ] }, "page" : "215-252", "title" : "Continuous Plankton Records: The young fish and eggs, 1932-39 and 1946-49.", "type" : "article-journal", "volume" : "3" }, "uris" : [ "http://www.mendeley.com/documents/?uuid=b21d93b4-b0b6-4ccb-a229-367735506561" ] } ], "mendeley" : { "formattedCitation" : "(Henderson, 1953)", "plainTextFormattedCitation" : "(Henderson, 1953)", "previouslyFormattedCitation" : "(Henderson, 1953)" }, "properties" : { "noteIndex" : 0 }, "schema" : "https://github.com/citation-style-language/schema/raw/master/csl-citation.json" }</w:instrText>
      </w:r>
      <w:r w:rsidR="00763109" w:rsidRPr="00294BBF">
        <w:rPr>
          <w:color w:val="000000" w:themeColor="text1"/>
        </w:rPr>
        <w:fldChar w:fldCharType="separate"/>
      </w:r>
      <w:r w:rsidR="00763109" w:rsidRPr="00294BBF">
        <w:rPr>
          <w:noProof/>
          <w:color w:val="000000" w:themeColor="text1"/>
        </w:rPr>
        <w:t>(Henderson, 1953)</w:t>
      </w:r>
      <w:r w:rsidR="00763109" w:rsidRPr="00294BBF">
        <w:rPr>
          <w:color w:val="000000" w:themeColor="text1"/>
        </w:rPr>
        <w:fldChar w:fldCharType="end"/>
      </w:r>
      <w:r w:rsidR="00FB5626" w:rsidRPr="00294BBF">
        <w:rPr>
          <w:color w:val="000000" w:themeColor="text1"/>
        </w:rPr>
        <w:t>. F</w:t>
      </w:r>
      <w:r w:rsidR="0011019C" w:rsidRPr="00294BBF">
        <w:rPr>
          <w:color w:val="000000" w:themeColor="text1"/>
        </w:rPr>
        <w:t xml:space="preserve">urther CPR </w:t>
      </w:r>
      <w:r w:rsidR="00456F2D" w:rsidRPr="00294BBF">
        <w:rPr>
          <w:color w:val="000000" w:themeColor="text1"/>
        </w:rPr>
        <w:t xml:space="preserve">data </w:t>
      </w:r>
      <w:r w:rsidR="00017E3C">
        <w:rPr>
          <w:color w:val="000000" w:themeColor="text1"/>
        </w:rPr>
        <w:t>revealed</w:t>
      </w:r>
      <w:r w:rsidR="00017E3C" w:rsidRPr="00294BBF">
        <w:rPr>
          <w:color w:val="000000" w:themeColor="text1"/>
        </w:rPr>
        <w:t xml:space="preserve"> </w:t>
      </w:r>
      <w:r w:rsidR="0011019C" w:rsidRPr="00294BBF">
        <w:rPr>
          <w:color w:val="000000" w:themeColor="text1"/>
        </w:rPr>
        <w:t xml:space="preserve">a great abundance and </w:t>
      </w:r>
      <w:r w:rsidR="008B031D" w:rsidRPr="00294BBF">
        <w:rPr>
          <w:color w:val="000000" w:themeColor="text1"/>
        </w:rPr>
        <w:t xml:space="preserve">broad </w:t>
      </w:r>
      <w:r w:rsidR="0011019C" w:rsidRPr="00294BBF">
        <w:rPr>
          <w:color w:val="000000" w:themeColor="text1"/>
        </w:rPr>
        <w:t xml:space="preserve">spatial distribution </w:t>
      </w:r>
      <w:r w:rsidR="00556FC2" w:rsidRPr="00294BBF">
        <w:rPr>
          <w:color w:val="000000" w:themeColor="text1"/>
        </w:rPr>
        <w:t xml:space="preserve">of blue whiting larvae in the </w:t>
      </w:r>
      <w:r w:rsidR="00F137F8" w:rsidRPr="00294BBF">
        <w:rPr>
          <w:color w:val="000000" w:themeColor="text1"/>
        </w:rPr>
        <w:t xml:space="preserve">North-East </w:t>
      </w:r>
      <w:r w:rsidR="00556FC2" w:rsidRPr="00294BBF">
        <w:rPr>
          <w:color w:val="000000" w:themeColor="text1"/>
        </w:rPr>
        <w:t>Atlantic,</w:t>
      </w:r>
      <w:r w:rsidR="00BB2800" w:rsidRPr="00294BBF">
        <w:rPr>
          <w:color w:val="000000" w:themeColor="text1"/>
        </w:rPr>
        <w:t xml:space="preserve"> causing</w:t>
      </w:r>
      <w:r w:rsidR="00556FC2" w:rsidRPr="00294BBF">
        <w:rPr>
          <w:color w:val="000000" w:themeColor="text1"/>
        </w:rPr>
        <w:t xml:space="preserve"> </w:t>
      </w:r>
      <w:r w:rsidR="00BB2800" w:rsidRPr="00294BBF">
        <w:rPr>
          <w:color w:val="000000" w:themeColor="text1"/>
        </w:rPr>
        <w:fldChar w:fldCharType="begin" w:fldLock="1"/>
      </w:r>
      <w:r w:rsidR="00AD6103" w:rsidRPr="00294BBF">
        <w:rPr>
          <w:color w:val="000000" w:themeColor="text1"/>
        </w:rPr>
        <w:instrText>ADDIN CSL_CITATION { "citationItems" : [ { "id" : "ITEM-1", "itemData" : { "author" : [ { "dropping-particle" : "", "family" : "Raitt", "given" : "D.F.S.", "non-dropping-particle" : "", "parse-names" : false, "suffix" : "" } ], "container-title" : "Rapports et Proc\u00e8s- Verbeaux des R\u00e9unions. Conseil International pour l\u2019Exploration de la Mer", "id" : "ITEM-1", "issued" : { "date-parts" : [ [ "1968" ] ] }, "page" : "108-115", "title" : "The biology and commercial potential of blue whiting in the north-west Atlantic", "type" : "paper-conference", "volume" : "158" }, "uris" : [ "http://www.mendeley.com/documents/?uuid=dd9a78ad-c9ca-45c5-a716-40e9fe1e2d2e", "http://www.mendeley.com/documents/?uuid=ec29768e-cbde-44d6-b28c-ba3125b72214" ] } ], "mendeley" : { "formattedCitation" : "(Raitt, 1968)", "manualFormatting" : "Raitt (1968)", "plainTextFormattedCitation" : "(Raitt, 1968)", "previouslyFormattedCitation" : "(Raitt, 1968)" }, "properties" : { "noteIndex" : 0 }, "schema" : "https://github.com/citation-style-language/schema/raw/master/csl-citation.json" }</w:instrText>
      </w:r>
      <w:r w:rsidR="00BB2800" w:rsidRPr="00294BBF">
        <w:rPr>
          <w:color w:val="000000" w:themeColor="text1"/>
        </w:rPr>
        <w:fldChar w:fldCharType="separate"/>
      </w:r>
      <w:r w:rsidR="00BB2800" w:rsidRPr="00294BBF">
        <w:rPr>
          <w:noProof/>
          <w:color w:val="000000" w:themeColor="text1"/>
        </w:rPr>
        <w:t>Raitt (1968)</w:t>
      </w:r>
      <w:r w:rsidR="00BB2800" w:rsidRPr="00294BBF">
        <w:rPr>
          <w:color w:val="000000" w:themeColor="text1"/>
        </w:rPr>
        <w:fldChar w:fldCharType="end"/>
      </w:r>
      <w:r w:rsidR="00BB2800" w:rsidRPr="00294BBF">
        <w:rPr>
          <w:color w:val="000000" w:themeColor="text1"/>
        </w:rPr>
        <w:t xml:space="preserve"> </w:t>
      </w:r>
      <w:r w:rsidR="00556FC2" w:rsidRPr="00294BBF">
        <w:rPr>
          <w:color w:val="000000" w:themeColor="text1"/>
        </w:rPr>
        <w:t>to conclude that the spawning stock would be sufficiently large for commercial exploitation</w:t>
      </w:r>
      <w:r w:rsidR="00BB2800" w:rsidRPr="00294BBF">
        <w:rPr>
          <w:color w:val="000000" w:themeColor="text1"/>
        </w:rPr>
        <w:t xml:space="preserve"> and </w:t>
      </w:r>
      <w:r w:rsidR="00F137F8" w:rsidRPr="00294BBF">
        <w:rPr>
          <w:color w:val="000000" w:themeColor="text1"/>
        </w:rPr>
        <w:t>resulting</w:t>
      </w:r>
      <w:r w:rsidR="00BB2800" w:rsidRPr="00294BBF">
        <w:rPr>
          <w:color w:val="000000" w:themeColor="text1"/>
        </w:rPr>
        <w:t xml:space="preserve"> in </w:t>
      </w:r>
      <w:r w:rsidR="0021390D" w:rsidRPr="00294BBF">
        <w:rPr>
          <w:color w:val="000000" w:themeColor="text1"/>
        </w:rPr>
        <w:t>fisheries biologists</w:t>
      </w:r>
      <w:r w:rsidR="00F137F8" w:rsidRPr="00294BBF">
        <w:rPr>
          <w:color w:val="000000" w:themeColor="text1"/>
        </w:rPr>
        <w:t xml:space="preserve"> becoming </w:t>
      </w:r>
      <w:r w:rsidR="00830D98" w:rsidRPr="00294BBF">
        <w:rPr>
          <w:color w:val="000000" w:themeColor="text1"/>
        </w:rPr>
        <w:t>interested in th</w:t>
      </w:r>
      <w:r w:rsidR="0021390D" w:rsidRPr="00294BBF">
        <w:rPr>
          <w:color w:val="000000" w:themeColor="text1"/>
        </w:rPr>
        <w:t>e</w:t>
      </w:r>
      <w:r w:rsidR="00830D98" w:rsidRPr="00294BBF">
        <w:rPr>
          <w:color w:val="000000" w:themeColor="text1"/>
        </w:rPr>
        <w:t xml:space="preserve"> species </w:t>
      </w:r>
      <w:r w:rsidR="00830D98" w:rsidRPr="00294BBF">
        <w:rPr>
          <w:color w:val="000000" w:themeColor="text1"/>
        </w:rPr>
        <w:fldChar w:fldCharType="begin" w:fldLock="1"/>
      </w:r>
      <w:r w:rsidR="004B27B5" w:rsidRPr="00294BBF">
        <w:rPr>
          <w:color w:val="000000" w:themeColor="text1"/>
        </w:rPr>
        <w:instrText>ADDIN CSL_CITATION { "citationItems" : [ { "id" : "ITEM-1", "itemData" : { "author" : [ { "dropping-particle" : "", "family" : "Polonsky", "given" : "A.S.", "non-dropping-particle" : "", "parse-names" : false, "suffix" : "" } ], "container-title" : "Rapports et Proc\u00e8s- verbeaux des R\u00e9unions. Conseil International pour l\u2019Exploration de la Mer", "id" : "ITEM-1", "issued" : { "date-parts" : [ [ "1968" ] ] }, "page" : "105-108", "title" : "Materials on the biology of Poutassou", "type" : "paper-conference" }, "uris" : [ "http://www.mendeley.com/documents/?uuid=580cd588-0ff9-485e-94d6-cbf39aef9391", "http://www.mendeley.com/documents/?uuid=90b7b5b0-9075-42ba-9501-787dc722b877" ] }, { "id" : "ITEM-2", "itemData" : { "author" : [ { "dropping-particle" : "", "family" : "Bainbridge", "given" : "V.", "non-dropping-particle" : "", "parse-names" : false, "suffix" : "" }, { "dropping-particle" : "", "family" : "Cooper", "given" : "G.", "non-dropping-particle" : "", "parse-names" : false, "suffix" : "" } ], "container-title" : "Bull. Mar. Ecol.", "id" : "ITEM-2", "issued" : { "date-parts" : [ [ "1973" ] ] }, "page" : "99-114", "title" : "The distribution and abundance of the larvae of the blue whiting, Micromestistius poutassou (Risso), in the north-east Atlantic, 1948-1970", "type" : "article-journal", "volume" : "8" }, "uris" : [ "http://www.mendeley.com/documents/?uuid=e538b37e-995a-4091-87ea-617a977f66a1", "http://www.mendeley.com/documents/?uuid=9863919e-7218-4fb1-83b0-77ba55193c24" ] } ], "mendeley" : { "formattedCitation" : "(Polonsky, 1968; Bainbridge and Cooper, 1973)", "plainTextFormattedCitation" : "(Polonsky, 1968; Bainbridge and Cooper, 1973)", "previouslyFormattedCitation" : "(Polonsky, 1968; Bainbridge and Cooper, 1973)" }, "properties" : { "noteIndex" : 0 }, "schema" : "https://github.com/citation-style-language/schema/raw/master/csl-citation.json" }</w:instrText>
      </w:r>
      <w:r w:rsidR="00830D98" w:rsidRPr="00294BBF">
        <w:rPr>
          <w:color w:val="000000" w:themeColor="text1"/>
        </w:rPr>
        <w:fldChar w:fldCharType="separate"/>
      </w:r>
      <w:r w:rsidR="00564924" w:rsidRPr="00294BBF">
        <w:rPr>
          <w:noProof/>
          <w:color w:val="000000" w:themeColor="text1"/>
        </w:rPr>
        <w:t>(Polonsky, 1968; Bainbridge and Cooper, 1973)</w:t>
      </w:r>
      <w:r w:rsidR="00830D98" w:rsidRPr="00294BBF">
        <w:rPr>
          <w:color w:val="000000" w:themeColor="text1"/>
        </w:rPr>
        <w:fldChar w:fldCharType="end"/>
      </w:r>
      <w:r w:rsidR="00830D98" w:rsidRPr="00294BBF">
        <w:rPr>
          <w:color w:val="000000" w:themeColor="text1"/>
        </w:rPr>
        <w:t>.</w:t>
      </w:r>
      <w:r w:rsidR="006E52B9" w:rsidRPr="00294BBF">
        <w:rPr>
          <w:color w:val="000000" w:themeColor="text1"/>
        </w:rPr>
        <w:t xml:space="preserve"> </w:t>
      </w:r>
      <w:r w:rsidR="00F137F8" w:rsidRPr="00294BBF">
        <w:rPr>
          <w:color w:val="000000" w:themeColor="text1"/>
        </w:rPr>
        <w:t xml:space="preserve">Since the subsequent development of the fishery in the late 1970s, </w:t>
      </w:r>
      <w:r w:rsidR="0021390D" w:rsidRPr="00294BBF">
        <w:rPr>
          <w:color w:val="000000" w:themeColor="text1"/>
        </w:rPr>
        <w:t xml:space="preserve">CPR larval data has also been </w:t>
      </w:r>
      <w:r w:rsidR="00AD6103" w:rsidRPr="00294BBF">
        <w:rPr>
          <w:color w:val="000000" w:themeColor="text1"/>
        </w:rPr>
        <w:t xml:space="preserve">used to </w:t>
      </w:r>
      <w:r w:rsidR="0021390D" w:rsidRPr="00294BBF">
        <w:rPr>
          <w:color w:val="000000" w:themeColor="text1"/>
        </w:rPr>
        <w:t xml:space="preserve">resolve </w:t>
      </w:r>
      <w:r w:rsidR="00AD6103" w:rsidRPr="00294BBF">
        <w:rPr>
          <w:color w:val="000000" w:themeColor="text1"/>
        </w:rPr>
        <w:t xml:space="preserve">the </w:t>
      </w:r>
      <w:r w:rsidR="0021390D" w:rsidRPr="00294BBF">
        <w:rPr>
          <w:color w:val="000000" w:themeColor="text1"/>
        </w:rPr>
        <w:t>population structure</w:t>
      </w:r>
      <w:r w:rsidR="00AD6103" w:rsidRPr="00294BBF">
        <w:rPr>
          <w:color w:val="000000" w:themeColor="text1"/>
        </w:rPr>
        <w:t xml:space="preserve"> of blue whiting</w:t>
      </w:r>
      <w:r w:rsidR="0021390D" w:rsidRPr="00294BBF">
        <w:rPr>
          <w:color w:val="000000" w:themeColor="text1"/>
        </w:rPr>
        <w:t xml:space="preserve"> </w:t>
      </w:r>
      <w:r w:rsidR="0021390D" w:rsidRPr="00294BBF">
        <w:rPr>
          <w:color w:val="000000" w:themeColor="text1"/>
        </w:rPr>
        <w:fldChar w:fldCharType="begin" w:fldLock="1"/>
      </w:r>
      <w:r w:rsidR="00041FF2" w:rsidRPr="00294BBF">
        <w:rPr>
          <w:color w:val="000000" w:themeColor="text1"/>
        </w:rPr>
        <w:instrText>ADDIN CSL_CITATION { "citationItems" : [ { "id" : "ITEM-1", "itemData" : { "DOI" : "10.1371/journal.pone.0106237", "author" : [ { "dropping-particle" : "", "family" : "Pointin", "given" : "Fabien", "non-dropping-particle" : "", "parse-names" : false, "suffix" : "" }, { "dropping-particle" : "", "family" : "Payne", "given" : "Mark R.", "non-dropping-particle" : "", "parse-names" : false, "suffix" : "" } ], "container-title" : "PloS ONE", "id" : "ITEM-1", "issue" : "9", "issued" : { "date-parts" : [ [ "2014" ] ] }, "page" : "1-11", "title" : "A Resolution to the Blue Whiting (Micromesistius poutassou) Population Paradox?", "type" : "article-journal", "volume" : "9" }, "uris" : [ "http://www.mendeley.com/documents/?uuid=6a6f494c-8d8f-4687-b6e3-cf82728f52eb" ] } ], "mendeley" : { "formattedCitation" : "(Pointin and Payne, 2014)", "plainTextFormattedCitation" : "(Pointin and Payne, 2014)", "previouslyFormattedCitation" : "(Pointin and Payne, 2014)" }, "properties" : { "noteIndex" : 0 }, "schema" : "https://github.com/citation-style-language/schema/raw/master/csl-citation.json" }</w:instrText>
      </w:r>
      <w:r w:rsidR="0021390D" w:rsidRPr="00294BBF">
        <w:rPr>
          <w:color w:val="000000" w:themeColor="text1"/>
        </w:rPr>
        <w:fldChar w:fldCharType="separate"/>
      </w:r>
      <w:r w:rsidR="00041FF2" w:rsidRPr="00294BBF">
        <w:rPr>
          <w:noProof/>
          <w:color w:val="000000" w:themeColor="text1"/>
        </w:rPr>
        <w:t>(Pointin and Payne, 2014)</w:t>
      </w:r>
      <w:r w:rsidR="0021390D" w:rsidRPr="00294BBF">
        <w:rPr>
          <w:color w:val="000000" w:themeColor="text1"/>
        </w:rPr>
        <w:fldChar w:fldCharType="end"/>
      </w:r>
      <w:r w:rsidR="0021390D" w:rsidRPr="00294BBF">
        <w:rPr>
          <w:color w:val="000000" w:themeColor="text1"/>
        </w:rPr>
        <w:t xml:space="preserve">. </w:t>
      </w:r>
      <w:r w:rsidR="00F12147">
        <w:rPr>
          <w:color w:val="000000" w:themeColor="text1"/>
        </w:rPr>
        <w:t xml:space="preserve">In addition, </w:t>
      </w:r>
      <w:r w:rsidR="00A16ABA" w:rsidRPr="00294BBF">
        <w:rPr>
          <w:rFonts w:eastAsia="Droid Sans Fallback"/>
          <w:noProof/>
          <w:color w:val="000000" w:themeColor="text1"/>
          <w:lang w:val="en-US"/>
        </w:rPr>
        <w:t>Hátún</w:t>
      </w:r>
      <w:r w:rsidR="00A16ABA" w:rsidRPr="00294BBF">
        <w:rPr>
          <w:color w:val="000000" w:themeColor="text1"/>
        </w:rPr>
        <w:t xml:space="preserve"> </w:t>
      </w:r>
      <w:r w:rsidR="006773E4" w:rsidRPr="006773E4">
        <w:rPr>
          <w:i/>
          <w:color w:val="000000" w:themeColor="text1"/>
        </w:rPr>
        <w:t>et al.</w:t>
      </w:r>
      <w:r w:rsidR="00643530" w:rsidRPr="00294BBF">
        <w:rPr>
          <w:color w:val="000000" w:themeColor="text1"/>
        </w:rPr>
        <w:t xml:space="preserve"> (2009</w:t>
      </w:r>
      <w:r w:rsidR="00FB5626" w:rsidRPr="00294BBF">
        <w:rPr>
          <w:color w:val="000000" w:themeColor="text1"/>
        </w:rPr>
        <w:t>a</w:t>
      </w:r>
      <w:r w:rsidR="00643530" w:rsidRPr="00294BBF">
        <w:rPr>
          <w:color w:val="000000" w:themeColor="text1"/>
        </w:rPr>
        <w:t>) used a spati</w:t>
      </w:r>
      <w:r w:rsidR="00FB5626" w:rsidRPr="00294BBF">
        <w:rPr>
          <w:color w:val="000000" w:themeColor="text1"/>
        </w:rPr>
        <w:t xml:space="preserve">al subset of CPR data from 1951 to </w:t>
      </w:r>
      <w:r w:rsidR="00643530" w:rsidRPr="00294BBF">
        <w:rPr>
          <w:color w:val="000000" w:themeColor="text1"/>
        </w:rPr>
        <w:t>197</w:t>
      </w:r>
      <w:r w:rsidR="00E764D8" w:rsidRPr="00294BBF">
        <w:rPr>
          <w:color w:val="000000" w:themeColor="text1"/>
        </w:rPr>
        <w:t>0</w:t>
      </w:r>
      <w:r w:rsidR="00643530" w:rsidRPr="00294BBF">
        <w:rPr>
          <w:color w:val="000000" w:themeColor="text1"/>
        </w:rPr>
        <w:t xml:space="preserve"> along a </w:t>
      </w:r>
      <w:r w:rsidR="00FB5626" w:rsidRPr="00294BBF">
        <w:rPr>
          <w:color w:val="000000" w:themeColor="text1"/>
        </w:rPr>
        <w:t>narrow axis across the Rockall T</w:t>
      </w:r>
      <w:r w:rsidR="00643530" w:rsidRPr="00294BBF">
        <w:rPr>
          <w:color w:val="000000" w:themeColor="text1"/>
        </w:rPr>
        <w:t xml:space="preserve">rough to support their </w:t>
      </w:r>
      <w:r w:rsidR="0071704F">
        <w:rPr>
          <w:color w:val="000000" w:themeColor="text1"/>
        </w:rPr>
        <w:t>hypothesised link</w:t>
      </w:r>
      <w:r w:rsidR="0071704F" w:rsidRPr="00294BBF">
        <w:rPr>
          <w:color w:val="000000" w:themeColor="text1"/>
        </w:rPr>
        <w:t xml:space="preserve"> </w:t>
      </w:r>
      <w:r w:rsidR="00643530" w:rsidRPr="00294BBF">
        <w:rPr>
          <w:color w:val="000000" w:themeColor="text1"/>
        </w:rPr>
        <w:t>between the marine environment and blue whiting spawning.</w:t>
      </w:r>
    </w:p>
    <w:p w14:paraId="13101124" w14:textId="17DC860D" w:rsidR="00CB7741" w:rsidRDefault="0021390D" w:rsidP="00D92F62">
      <w:pPr>
        <w:rPr>
          <w:color w:val="000000" w:themeColor="text1"/>
          <w:szCs w:val="24"/>
        </w:rPr>
      </w:pPr>
      <w:r w:rsidRPr="00294BBF">
        <w:rPr>
          <w:color w:val="000000" w:themeColor="text1"/>
        </w:rPr>
        <w:t xml:space="preserve">Since much of this work was performed, the use of species distribution models (SDMs) to characterise the linkage between </w:t>
      </w:r>
      <w:r w:rsidR="0008303A" w:rsidRPr="00294BBF">
        <w:rPr>
          <w:color w:val="000000" w:themeColor="text1"/>
        </w:rPr>
        <w:t xml:space="preserve">environmental </w:t>
      </w:r>
      <w:r w:rsidRPr="00294BBF">
        <w:rPr>
          <w:color w:val="000000" w:themeColor="text1"/>
        </w:rPr>
        <w:t>variables and the distribution of organisms has become commonplace</w:t>
      </w:r>
      <w:r w:rsidR="007574A3" w:rsidRPr="00294BBF">
        <w:rPr>
          <w:color w:val="000000" w:themeColor="text1"/>
        </w:rPr>
        <w:t xml:space="preserve"> </w:t>
      </w:r>
      <w:r w:rsidR="007574A3" w:rsidRPr="00294BBF">
        <w:rPr>
          <w:color w:val="000000" w:themeColor="text1"/>
        </w:rPr>
        <w:fldChar w:fldCharType="begin" w:fldLock="1"/>
      </w:r>
      <w:r w:rsidR="009766C0" w:rsidRPr="00294BBF">
        <w:rPr>
          <w:color w:val="000000" w:themeColor="text1"/>
        </w:rPr>
        <w:instrText>ADDIN CSL_CITATION { "citationItems" : [ { "id" : "ITEM-1", "itemData" : { "DOI" : "10.1146/annurev.ecolsys.l", "ISBN" : "1543-592X", "ISSN" : "1543-592X", "PMID" : "15825738", "author" : [ { "dropping-particle" : "", "family" : "Elith", "given" : "Jane", "non-dropping-particle" : "", "parse-names" : false, "suffix" : "" }, { "dropping-particle" : "", "family" : "Leathwick", "given" : "John R.", "non-dropping-particle" : "", "parse-names" : false, "suffix" : "" } ], "container-title" : "Annu Rev Ecol Syst", "id" : "ITEM-1", "issue" : "2009", "issued" : { "date-parts" : [ [ "2009" ] ] }, "page" : "415-436", "title" : "Species Distribution Models: Ecological Explanation and Prediction Across Space and Time", "type" : "article-journal", "volume" : "40" }, "uris" : [ "http://www.mendeley.com/documents/?uuid=6643d15c-02a2-447b-a55e-8e0626b84fb8", "http://www.mendeley.com/documents/?uuid=c439ebae-f57f-47ab-aed6-84f322ce098d" ] }, { "id" : "ITEM-2", "itemData" : { "DOI" : "10.1016/S0304-3800(00)00354-9", "ISBN" : "0304-3800", "ISSN" : "03043800", "PMID" : "429", "abstract" : "With the rise of new powerful statistical techniques and GIS tools, the development of predictive habitat distribution models has rapidly increased in ecology. Such models are static and probabilistic in nature, since they statistically relate the geographical distribution of species or communities to their present environment. A wide array of models has been developed to cover aspects as diverse as biogeography, conservation biology, climate change research, and habitat or species management. In this paper, we present a review of predictive habitat distribution modeling. The variety of statistical techniques used is growing. Ordinary multiple regression and its generalized form (GLM) are very popular and are often used for modeling species distributions. Other methods include neural networks, ordination and classification methods, Bayesian models, locally weighted approaches (e.g. GAM), environmental envelopes or even combinations of these models. The selection of an appropriate method should not depend solely on statistical considerations. Some models are better suited to reflect theoretical findings on the shape and nature of the species' response (or realized niche). Conceptual considerations include e.g. the trade-off between optimizing accuracy versus optimizing generality. In the field of static distribution modeling, the latter is mostly related to selecting appropriate predictor variables and to designing an appropriate procedure for model selection. New methods, including threshold-independent measures (e.g. receiver operating characteristic (ROC)-plots) and resampling techniques (e.g. bootstrap, cross-validation) have been introduced in ecology for testing the accuracy of predictive models. The choice of an evaluation measure should be driven primarily by the goals of the study. This may possibly lead to the attribution of different weights to the various types of prediction errors (e.g. omission, commission or confusion). Testing the model in a wider range of situations (in space and time) will permit one to define the range of applications for which the model predictions are suitable. In turn, the qualification of the model depends primarily on the goals of the study that define the qualification criteria and on the usability of the model, rather than on statistics alone. ?? 2000 Elsevier Science B.V.", "author" : [ { "dropping-particle" : "", "family" : "Guisan", "given" : "Antoine", "non-dropping-particle" : "", "parse-names" : false, "suffix" : "" }, { "dropping-particle" : "", "family" : "Zimmermann", "given" : "Niklaus E", "non-dropping-particle" : "", "parse-names" : false, "suffix" : "" } ], "container-title" : "Ecological Modelling", "id" : "ITEM-2", "issue" : "2-3", "issued" : { "date-parts" : [ [ "2000" ] ] }, "page" : "147-186", "title" : "Predictive habitat distribution models in ecology", "type" : "article-journal", "volume" : "135" }, "uris" : [ "http://www.mendeley.com/documents/?uuid=9a64d3e6-8616-42a8-a748-6a3f64a545a0" ] } ], "mendeley" : { "formattedCitation" : "(Guisan and Zimmermann, 2000; Elith and Leathwick, 2009)", "plainTextFormattedCitation" : "(Guisan and Zimmermann, 2000; Elith and Leathwick, 2009)", "previouslyFormattedCitation" : "(Guisan and Zimmermann, 2000; Elith and Leathwick, 2009)" }, "properties" : { "noteIndex" : 0 }, "schema" : "https://github.com/citation-style-language/schema/raw/master/csl-citation.json" }</w:instrText>
      </w:r>
      <w:r w:rsidR="007574A3" w:rsidRPr="00294BBF">
        <w:rPr>
          <w:color w:val="000000" w:themeColor="text1"/>
        </w:rPr>
        <w:fldChar w:fldCharType="separate"/>
      </w:r>
      <w:r w:rsidR="009766C0" w:rsidRPr="00294BBF">
        <w:rPr>
          <w:noProof/>
          <w:color w:val="000000" w:themeColor="text1"/>
        </w:rPr>
        <w:t>(Guisan and Zimmermann, 2000; Elith and Leathwick, 2009)</w:t>
      </w:r>
      <w:r w:rsidR="007574A3" w:rsidRPr="00294BBF">
        <w:rPr>
          <w:color w:val="000000" w:themeColor="text1"/>
        </w:rPr>
        <w:fldChar w:fldCharType="end"/>
      </w:r>
      <w:r w:rsidRPr="00294BBF">
        <w:rPr>
          <w:color w:val="000000" w:themeColor="text1"/>
        </w:rPr>
        <w:t>.</w:t>
      </w:r>
      <w:r w:rsidR="000064C2" w:rsidRPr="00294BBF">
        <w:rPr>
          <w:color w:val="000000" w:themeColor="text1"/>
          <w:lang w:val="en-US"/>
        </w:rPr>
        <w:t xml:space="preserve"> </w:t>
      </w:r>
      <w:r w:rsidR="000064C2" w:rsidRPr="00294BBF">
        <w:rPr>
          <w:color w:val="000000" w:themeColor="text1"/>
        </w:rPr>
        <w:t>SDMs</w:t>
      </w:r>
      <w:r w:rsidR="000064C2" w:rsidRPr="00294BBF">
        <w:rPr>
          <w:color w:val="000000" w:themeColor="text1"/>
          <w:lang w:val="en-US"/>
        </w:rPr>
        <w:t xml:space="preserve"> correlate species observations with environmental variables to </w:t>
      </w:r>
      <w:r w:rsidR="0028619D" w:rsidRPr="00294BBF">
        <w:rPr>
          <w:color w:val="000000" w:themeColor="text1"/>
          <w:lang w:val="en-US"/>
        </w:rPr>
        <w:t>characterize</w:t>
      </w:r>
      <w:r w:rsidR="008B031D" w:rsidRPr="00294BBF">
        <w:rPr>
          <w:color w:val="000000" w:themeColor="text1"/>
          <w:lang w:val="en-US"/>
        </w:rPr>
        <w:t xml:space="preserve"> a set of environmental conditions </w:t>
      </w:r>
      <w:r w:rsidR="00CF089B">
        <w:rPr>
          <w:color w:val="000000" w:themeColor="text1"/>
          <w:lang w:val="en-US"/>
        </w:rPr>
        <w:t xml:space="preserve">(the “niche”) </w:t>
      </w:r>
      <w:r w:rsidR="008B031D" w:rsidRPr="00294BBF">
        <w:rPr>
          <w:color w:val="000000" w:themeColor="text1"/>
          <w:lang w:val="en-US"/>
        </w:rPr>
        <w:t xml:space="preserve">where the species can occur. Once the relationship between distribution and the environment is appropriately parameterized, </w:t>
      </w:r>
      <w:r w:rsidR="00844BB3" w:rsidRPr="00294BBF">
        <w:rPr>
          <w:color w:val="000000" w:themeColor="text1"/>
          <w:lang w:val="en-US"/>
        </w:rPr>
        <w:t xml:space="preserve">spatially resolved fields of environmental variables can then be used </w:t>
      </w:r>
      <w:r w:rsidR="00844BB3" w:rsidRPr="00294BBF">
        <w:rPr>
          <w:color w:val="000000" w:themeColor="text1"/>
          <w:lang w:val="en-US"/>
        </w:rPr>
        <w:lastRenderedPageBreak/>
        <w:t xml:space="preserve">with the SDM to </w:t>
      </w:r>
      <w:r w:rsidR="004E72E5" w:rsidRPr="00294BBF">
        <w:rPr>
          <w:color w:val="000000" w:themeColor="text1"/>
          <w:lang w:val="en-US"/>
        </w:rPr>
        <w:t xml:space="preserve">produce </w:t>
      </w:r>
      <w:r w:rsidR="001307C8">
        <w:rPr>
          <w:color w:val="000000" w:themeColor="text1"/>
          <w:lang w:val="en-US"/>
        </w:rPr>
        <w:t xml:space="preserve">predictions </w:t>
      </w:r>
      <w:r w:rsidR="004E72E5" w:rsidRPr="00294BBF">
        <w:rPr>
          <w:color w:val="000000" w:themeColor="text1"/>
          <w:lang w:val="en-US"/>
        </w:rPr>
        <w:t>of</w:t>
      </w:r>
      <w:r w:rsidR="00FB5626" w:rsidRPr="00294BBF">
        <w:rPr>
          <w:color w:val="000000" w:themeColor="text1"/>
          <w:lang w:val="en-US"/>
        </w:rPr>
        <w:t xml:space="preserve"> the </w:t>
      </w:r>
      <w:r w:rsidR="001307C8">
        <w:rPr>
          <w:color w:val="000000" w:themeColor="text1"/>
          <w:lang w:val="en-US"/>
        </w:rPr>
        <w:t xml:space="preserve">potential habitat and/or </w:t>
      </w:r>
      <w:r w:rsidR="00FB5626" w:rsidRPr="00294BBF">
        <w:rPr>
          <w:color w:val="000000" w:themeColor="text1"/>
          <w:lang w:val="en-US"/>
        </w:rPr>
        <w:t>geographical</w:t>
      </w:r>
      <w:r w:rsidR="008B031D" w:rsidRPr="00294BBF">
        <w:rPr>
          <w:color w:val="000000" w:themeColor="text1"/>
        </w:rPr>
        <w:t xml:space="preserve"> distributions of the species</w:t>
      </w:r>
      <w:r w:rsidR="008B031D" w:rsidRPr="00294BBF">
        <w:rPr>
          <w:b/>
          <w:color w:val="000000" w:themeColor="text1"/>
        </w:rPr>
        <w:t xml:space="preserve"> </w:t>
      </w:r>
      <w:r w:rsidR="008B031D" w:rsidRPr="00294BBF">
        <w:rPr>
          <w:b/>
          <w:color w:val="000000" w:themeColor="text1"/>
        </w:rPr>
        <w:fldChar w:fldCharType="begin" w:fldLock="1"/>
      </w:r>
      <w:r w:rsidR="0044442D" w:rsidRPr="00294BBF">
        <w:rPr>
          <w:b/>
          <w:color w:val="000000" w:themeColor="text1"/>
        </w:rPr>
        <w:instrText>ADDIN CSL_CITATION { "citationItems" : [ { "id" : "ITEM-1", "itemData" : { "DOI" : "10.1111/j.1365-2699.2006.01584.x", "ISBN" : "1365-2699", "ISSN" : "03050270", "PMID" : "348", "abstract" : "Species distribution modelling is central to both fundamental and applied research in biogeography. Despite widespread use of models, there are still important conceptual ambiguities as well as biotic and algorithmic uncertainties that need to be investigated in order to increase confidence in model results. We identify and discuss five areas of enquiry that are of high importance for species distribution modelling: (1) clarification of the niche concept; (2) improved designs for sampling data for building models; (3) improved parameterization; (4) improved model selection and predictor contribution; and (5) improved model evaluation. The challenges discussed in this essay do not preclude the need for developments of other areas of research in this field. However, they are critical for allowing the science of species distribution modelling to move forward.", "author" : [ { "dropping-particle" : "", "family" : "Ara\u00fajo", "given" : "Miguel B.", "non-dropping-particle" : "", "parse-names" : false, "suffix" : "" }, { "dropping-particle" : "", "family" : "Guisan", "given" : "Antoine", "non-dropping-particle" : "", "parse-names" : false, "suffix" : "" } ], "container-title" : "Journal of Biogeography", "id" : "ITEM-1", "issue" : "10", "issued" : { "date-parts" : [ [ "2006" ] ] }, "page" : "1677-1688", "title" : "Five (or so) challenges for species distribution modelling", "type" : "article-journal", "volume" : "33" }, "uris" : [ "http://www.mendeley.com/documents/?uuid=b0295adf-22db-42a0-aeb0-70fd476156bd", "http://www.mendeley.com/documents/?uuid=2ccac160-9ead-4670-8d41-2e0b3d1ab7ca" ] }, { "id" : "ITEM-2", "itemData" : { "DOI" : "10.1890/11-1930.1", "ISBN" : "0012-9658", "ISSN" : "0012-9658", "PMID" : "7189", "abstract" : "McNamara and Dall (2011) identified novel relationships between the abundance of a species in different environments, the temporal properties of environmental change, and selection for or against dispersal. Here, the mathematics underlying these relationships in their two-environment model are investigated for arbitrary numbers of environments. The effect they described is quantified as the fitness-abundance covariance. The phase in the life cycle where the population is censused is crucial for the implications of the fitness-abundance covariance. These relationships are shown to connect to the population genetics literature on the Reduction Principle for the evolution of genetic systems and migration. Conditions that produce selection for increased unconditional dispersal are found to be new instances of departures from reduction described by the \"Principle of Partial Control\" proposed for the evolution of modifier genes. According to this principle, variation that only partially controls the processes that transform the transmitted information of organisms may be selected to increase these processes. Mathematical methods of Karlin, Friedland, and Elsner, Johnson, and Neumann, are central in generalizing the analysis. Analysis of the adaptive landscape of the model shows that the evolution of conditional dispersal is very sensitive to the spectrum of genetic variation the population is capable of producing, and suggests that empirical study of particular species will require an evaluation of its variational properties.", "author" : [ { "dropping-particle" : "", "family" : "Ara\u00fajo", "given" : "Miguel B.", "non-dropping-particle" : "", "parse-names" : false, "suffix" : "" }, { "dropping-particle" : "", "family" : "Peterson", "given" : "A. Townsend", "non-dropping-particle" : "", "parse-names" : false, "suffix" : "" } ], "container-title" : "Ecology", "id" : "ITEM-2", "issue" : "7", "issued" : { "date-parts" : [ [ "2012", "7", "22" ] ] }, "page" : "1527-1539", "title" : "Uses and misuses of bioclimatic envelope modeling", "type" : "article-journal", "volume" : "93" }, "uris" : [ "http://www.mendeley.com/documents/?uuid=57b466ae-5742-495e-b499-fd2239466148" ] }, { "id" : "ITEM-3", "itemData" : { "DOI" : "10.1111/j.1461-0248.2008.01277.x", "ISBN" : "1461-0248", "ISSN" : "1461023X", "PMID" : "19292794", "abstract" : "Species distribution models (SDMs) use spatial environmental data to make inferences on species\u2019 range limits and habitat suitability. Conceptually, these models aim to determine and map components of a species\u2019 ecological niche through space and time, and they have become important tools in pure and applied ecology and evolutionary biology. Most approaches are correlative in that they statistically link spatial data to species distribution records. An alternative strategy is to explicitly incorporate the mechanistic links between the functional traits of organisms and their environments into SDMs. Here, we review how the principles of biophysical ecology can be used to link spatial data to the physiological responses and constraints of organisms. This provides a mechanistic view of the fundamental niche which can then be mapped to the landscape to infer range constraints. We show how physiologically based SDMs can be developed for different organisms in different environmental contexts. Mechanistic SDMs have different strengths and weaknesses to correlative approaches, and there are many exciting and unexplored prospects for integrating the two approaches. As physiological knowledge becomes better integrated into SDMs, we will make more robust predictions of range shifts in novel or non-equilibrium contexts such as invasions, translocations, climate change and evolutionary shifts.", "author" : [ { "dropping-particle" : "", "family" : "Kearney", "given" : "Michael", "non-dropping-particle" : "", "parse-names" : false, "suffix" : "" }, { "dropping-particle" : "", "family" : "Porter", "given" : "Warren", "non-dropping-particle" : "", "parse-names" : false, "suffix" : "" } ], "container-title" : "Ecology Letters", "id" : "ITEM-3", "issue" : "4", "issued" : { "date-parts" : [ [ "2009" ] ] }, "page" : "334-350", "title" : "Mechanistic niche modelling: Combining physiological and spatial data to predict species' ranges", "type" : "article-journal", "volume" : "12" }, "uris" : [ "http://www.mendeley.com/documents/?uuid=ee4a03e4-245a-4f82-b3ca-e24b4214e814" ] } ], "mendeley" : { "formattedCitation" : "(Ara\u00fajo and Guisan, 2006; Kearney and Porter, 2009; Ara\u00fajo and Peterson, 2012)", "plainTextFormattedCitation" : "(Ara\u00fajo and Guisan, 2006; Kearney and Porter, 2009; Ara\u00fajo and Peterson, 2012)", "previouslyFormattedCitation" : "(Ara\u00fajo and Guisan, 2006; Kearney and Porter, 2009; Ara\u00fajo and Peterson, 2012)" }, "properties" : { "noteIndex" : 0 }, "schema" : "https://github.com/citation-style-language/schema/raw/master/csl-citation.json" }</w:instrText>
      </w:r>
      <w:r w:rsidR="008B031D" w:rsidRPr="00294BBF">
        <w:rPr>
          <w:b/>
          <w:color w:val="000000" w:themeColor="text1"/>
        </w:rPr>
        <w:fldChar w:fldCharType="separate"/>
      </w:r>
      <w:r w:rsidR="0044442D" w:rsidRPr="00294BBF">
        <w:rPr>
          <w:noProof/>
          <w:color w:val="000000" w:themeColor="text1"/>
        </w:rPr>
        <w:t>(Araújo and Guisan, 2006; Kearney and Porter, 2009; Araújo and Peterson, 2012)</w:t>
      </w:r>
      <w:r w:rsidR="008B031D" w:rsidRPr="00294BBF">
        <w:rPr>
          <w:b/>
          <w:color w:val="000000" w:themeColor="text1"/>
        </w:rPr>
        <w:fldChar w:fldCharType="end"/>
      </w:r>
      <w:r w:rsidR="008B031D" w:rsidRPr="00294BBF">
        <w:rPr>
          <w:color w:val="000000" w:themeColor="text1"/>
        </w:rPr>
        <w:t>.</w:t>
      </w:r>
      <w:r w:rsidR="008F6E2C" w:rsidRPr="00294BBF">
        <w:rPr>
          <w:color w:val="000000" w:themeColor="text1"/>
          <w:szCs w:val="24"/>
        </w:rPr>
        <w:t xml:space="preserve"> </w:t>
      </w:r>
      <w:proofErr w:type="gramStart"/>
      <w:r w:rsidR="00844BB3" w:rsidRPr="00294BBF">
        <w:rPr>
          <w:color w:val="000000" w:themeColor="text1"/>
          <w:szCs w:val="24"/>
        </w:rPr>
        <w:t>A strength</w:t>
      </w:r>
      <w:proofErr w:type="gramEnd"/>
      <w:r w:rsidR="00844BB3" w:rsidRPr="00294BBF">
        <w:rPr>
          <w:color w:val="000000" w:themeColor="text1"/>
          <w:szCs w:val="24"/>
        </w:rPr>
        <w:t xml:space="preserve"> </w:t>
      </w:r>
      <w:r w:rsidR="002B0529" w:rsidRPr="00294BBF">
        <w:rPr>
          <w:color w:val="000000" w:themeColor="text1"/>
          <w:szCs w:val="24"/>
        </w:rPr>
        <w:t xml:space="preserve">of SDMs </w:t>
      </w:r>
      <w:r w:rsidR="00844BB3" w:rsidRPr="00294BBF">
        <w:rPr>
          <w:color w:val="000000" w:themeColor="text1"/>
          <w:szCs w:val="24"/>
        </w:rPr>
        <w:t xml:space="preserve">is their ability to </w:t>
      </w:r>
      <w:r w:rsidR="00C12D2D">
        <w:rPr>
          <w:color w:val="000000" w:themeColor="text1"/>
          <w:szCs w:val="24"/>
        </w:rPr>
        <w:t>estimate</w:t>
      </w:r>
      <w:r w:rsidR="00C12D2D" w:rsidRPr="00294BBF">
        <w:rPr>
          <w:color w:val="000000" w:themeColor="text1"/>
          <w:szCs w:val="24"/>
        </w:rPr>
        <w:t xml:space="preserve"> </w:t>
      </w:r>
      <w:r w:rsidR="007B3878" w:rsidRPr="00294BBF">
        <w:rPr>
          <w:color w:val="000000" w:themeColor="text1"/>
          <w:szCs w:val="24"/>
        </w:rPr>
        <w:t xml:space="preserve">spatial </w:t>
      </w:r>
      <w:r w:rsidR="00844BB3" w:rsidRPr="00294BBF">
        <w:rPr>
          <w:color w:val="000000" w:themeColor="text1"/>
          <w:szCs w:val="24"/>
        </w:rPr>
        <w:t>distributions</w:t>
      </w:r>
      <w:r w:rsidR="001D21D2">
        <w:rPr>
          <w:color w:val="000000" w:themeColor="text1"/>
          <w:szCs w:val="24"/>
        </w:rPr>
        <w:t xml:space="preserve"> and habitat</w:t>
      </w:r>
      <w:r w:rsidR="00844BB3" w:rsidRPr="00294BBF">
        <w:rPr>
          <w:color w:val="000000" w:themeColor="text1"/>
          <w:szCs w:val="24"/>
        </w:rPr>
        <w:t xml:space="preserve"> </w:t>
      </w:r>
      <w:r w:rsidR="007B3878" w:rsidRPr="00294BBF">
        <w:rPr>
          <w:color w:val="000000" w:themeColor="text1"/>
          <w:szCs w:val="24"/>
        </w:rPr>
        <w:t xml:space="preserve">from </w:t>
      </w:r>
      <w:r w:rsidR="00844BB3" w:rsidRPr="00294BBF">
        <w:rPr>
          <w:color w:val="000000" w:themeColor="text1"/>
          <w:szCs w:val="24"/>
        </w:rPr>
        <w:t>pointwise observations</w:t>
      </w:r>
      <w:r w:rsidR="004E72E5" w:rsidRPr="00294BBF">
        <w:rPr>
          <w:color w:val="000000" w:themeColor="text1"/>
          <w:szCs w:val="24"/>
        </w:rPr>
        <w:t xml:space="preserve">, a </w:t>
      </w:r>
      <w:r w:rsidR="00844BB3" w:rsidRPr="00294BBF">
        <w:rPr>
          <w:color w:val="000000" w:themeColor="text1"/>
          <w:szCs w:val="24"/>
        </w:rPr>
        <w:t xml:space="preserve">particularly valuable attribute </w:t>
      </w:r>
      <w:r w:rsidR="00F217DF" w:rsidRPr="00294BBF">
        <w:rPr>
          <w:color w:val="000000" w:themeColor="text1"/>
          <w:szCs w:val="24"/>
        </w:rPr>
        <w:t xml:space="preserve">that can add value to </w:t>
      </w:r>
      <w:r w:rsidR="00844BB3" w:rsidRPr="00294BBF">
        <w:rPr>
          <w:color w:val="000000" w:themeColor="text1"/>
          <w:szCs w:val="24"/>
        </w:rPr>
        <w:t>data that is unevenly distributed in time and</w:t>
      </w:r>
      <w:r w:rsidR="00F24762" w:rsidRPr="00294BBF">
        <w:rPr>
          <w:color w:val="000000" w:themeColor="text1"/>
          <w:szCs w:val="24"/>
        </w:rPr>
        <w:t>/or</w:t>
      </w:r>
      <w:r w:rsidR="00844BB3" w:rsidRPr="00294BBF">
        <w:rPr>
          <w:color w:val="000000" w:themeColor="text1"/>
          <w:szCs w:val="24"/>
        </w:rPr>
        <w:t xml:space="preserve"> space (e.g. CPR</w:t>
      </w:r>
      <w:r w:rsidR="00E21B8A" w:rsidRPr="00294BBF">
        <w:rPr>
          <w:color w:val="000000" w:themeColor="text1"/>
          <w:szCs w:val="24"/>
        </w:rPr>
        <w:t xml:space="preserve"> data</w:t>
      </w:r>
      <w:r w:rsidR="00844BB3" w:rsidRPr="00294BBF">
        <w:rPr>
          <w:color w:val="000000" w:themeColor="text1"/>
          <w:szCs w:val="24"/>
        </w:rPr>
        <w:t xml:space="preserve">). </w:t>
      </w:r>
      <w:r w:rsidR="008B031D" w:rsidRPr="00294BBF">
        <w:rPr>
          <w:color w:val="000000" w:themeColor="text1"/>
          <w:szCs w:val="24"/>
        </w:rPr>
        <w:t>Furthermore, SDMs can be used to both predict and project environmental conditions beyond the condit</w:t>
      </w:r>
      <w:r w:rsidR="009B256A" w:rsidRPr="00294BBF">
        <w:rPr>
          <w:color w:val="000000" w:themeColor="text1"/>
          <w:szCs w:val="24"/>
        </w:rPr>
        <w:t xml:space="preserve">ions where they were developed, which is useful </w:t>
      </w:r>
      <w:r w:rsidR="008B031D" w:rsidRPr="00294BBF">
        <w:rPr>
          <w:color w:val="000000" w:themeColor="text1"/>
          <w:szCs w:val="24"/>
        </w:rPr>
        <w:t xml:space="preserve">when considering </w:t>
      </w:r>
      <w:r w:rsidR="00AB41F1" w:rsidRPr="00294BBF">
        <w:rPr>
          <w:color w:val="000000" w:themeColor="text1"/>
          <w:szCs w:val="24"/>
        </w:rPr>
        <w:t xml:space="preserve">the </w:t>
      </w:r>
      <w:r w:rsidR="008B031D" w:rsidRPr="00294BBF">
        <w:rPr>
          <w:color w:val="000000" w:themeColor="text1"/>
          <w:szCs w:val="24"/>
        </w:rPr>
        <w:t>responses of an organism to climate change</w:t>
      </w:r>
      <w:r w:rsidR="0033450D" w:rsidRPr="00294BBF">
        <w:rPr>
          <w:color w:val="000000" w:themeColor="text1"/>
          <w:szCs w:val="24"/>
        </w:rPr>
        <w:t xml:space="preserve"> or</w:t>
      </w:r>
      <w:r w:rsidR="008B031D" w:rsidRPr="00294BBF">
        <w:rPr>
          <w:color w:val="000000" w:themeColor="text1"/>
          <w:szCs w:val="24"/>
        </w:rPr>
        <w:t xml:space="preserve"> climate variability. </w:t>
      </w:r>
      <w:r w:rsidR="002A6824" w:rsidRPr="00294BBF">
        <w:rPr>
          <w:color w:val="000000" w:themeColor="text1"/>
          <w:szCs w:val="24"/>
        </w:rPr>
        <w:tab/>
      </w:r>
      <w:r w:rsidR="002A6824" w:rsidRPr="00294BBF">
        <w:rPr>
          <w:color w:val="000000" w:themeColor="text1"/>
          <w:szCs w:val="24"/>
        </w:rPr>
        <w:tab/>
      </w:r>
    </w:p>
    <w:p w14:paraId="5893026A" w14:textId="510009A4" w:rsidR="007F5FBA" w:rsidRPr="00294BBF" w:rsidRDefault="0021390D" w:rsidP="00D92F62">
      <w:pPr>
        <w:rPr>
          <w:color w:val="000000" w:themeColor="text1"/>
        </w:rPr>
      </w:pPr>
      <w:r w:rsidRPr="00294BBF">
        <w:rPr>
          <w:rFonts w:eastAsia="Droid Sans Fallback"/>
          <w:color w:val="000000" w:themeColor="text1"/>
        </w:rPr>
        <w:t xml:space="preserve">In this work, we </w:t>
      </w:r>
      <w:r w:rsidR="001D2100" w:rsidRPr="00294BBF">
        <w:rPr>
          <w:rFonts w:eastAsia="Droid Sans Fallback"/>
          <w:color w:val="000000" w:themeColor="text1"/>
        </w:rPr>
        <w:t xml:space="preserve">use </w:t>
      </w:r>
      <w:r w:rsidR="00FB5626" w:rsidRPr="00294BBF">
        <w:rPr>
          <w:rFonts w:eastAsia="Droid Sans Fallback"/>
          <w:color w:val="000000" w:themeColor="text1"/>
        </w:rPr>
        <w:t>SDMs</w:t>
      </w:r>
      <w:r w:rsidR="001D2100" w:rsidRPr="00294BBF">
        <w:rPr>
          <w:rFonts w:eastAsia="Droid Sans Fallback"/>
          <w:color w:val="000000" w:themeColor="text1"/>
        </w:rPr>
        <w:t xml:space="preserve"> </w:t>
      </w:r>
      <w:r w:rsidRPr="00294BBF">
        <w:rPr>
          <w:rFonts w:eastAsia="Droid Sans Fallback"/>
          <w:color w:val="000000" w:themeColor="text1"/>
        </w:rPr>
        <w:t>to elucidate the mechanisms that are important for regulating blue whiting’s spawning distribution</w:t>
      </w:r>
      <w:r w:rsidR="00C15008" w:rsidRPr="00294BBF">
        <w:rPr>
          <w:rFonts w:eastAsia="Droid Sans Fallback"/>
          <w:color w:val="000000" w:themeColor="text1"/>
        </w:rPr>
        <w:t xml:space="preserve">. </w:t>
      </w:r>
      <w:r w:rsidRPr="00294BBF">
        <w:rPr>
          <w:rFonts w:eastAsia="Droid Sans Fallback"/>
          <w:color w:val="000000" w:themeColor="text1"/>
        </w:rPr>
        <w:t xml:space="preserve">Our analysis is based on </w:t>
      </w:r>
      <w:r w:rsidR="00C15008" w:rsidRPr="00294BBF">
        <w:rPr>
          <w:rFonts w:eastAsia="Droid Sans Fallback"/>
          <w:color w:val="000000" w:themeColor="text1"/>
        </w:rPr>
        <w:t>the</w:t>
      </w:r>
      <w:r w:rsidRPr="00294BBF">
        <w:rPr>
          <w:rFonts w:eastAsia="Droid Sans Fallback"/>
          <w:color w:val="000000" w:themeColor="text1"/>
        </w:rPr>
        <w:t xml:space="preserve"> unique and underutilised data set of blue whiting larvae</w:t>
      </w:r>
      <w:r w:rsidRPr="00294BBF">
        <w:rPr>
          <w:color w:val="000000" w:themeColor="text1"/>
        </w:rPr>
        <w:t xml:space="preserve"> obtained </w:t>
      </w:r>
      <w:r w:rsidR="003A5555" w:rsidRPr="00294BBF">
        <w:rPr>
          <w:color w:val="000000" w:themeColor="text1"/>
        </w:rPr>
        <w:t xml:space="preserve">from </w:t>
      </w:r>
      <w:r w:rsidRPr="00294BBF">
        <w:rPr>
          <w:color w:val="000000" w:themeColor="text1"/>
        </w:rPr>
        <w:t>the CPR survey</w:t>
      </w:r>
      <w:r w:rsidR="00307E05" w:rsidRPr="00294BBF">
        <w:rPr>
          <w:color w:val="000000" w:themeColor="text1"/>
        </w:rPr>
        <w:t xml:space="preserve">. </w:t>
      </w:r>
      <w:r w:rsidR="000650CD">
        <w:rPr>
          <w:color w:val="000000" w:themeColor="text1"/>
        </w:rPr>
        <w:t>Building</w:t>
      </w:r>
      <w:r w:rsidR="00B5113A" w:rsidRPr="00294BBF">
        <w:rPr>
          <w:color w:val="000000" w:themeColor="text1"/>
        </w:rPr>
        <w:t xml:space="preserve"> </w:t>
      </w:r>
      <w:r w:rsidR="000650CD">
        <w:rPr>
          <w:color w:val="000000" w:themeColor="text1"/>
        </w:rPr>
        <w:t xml:space="preserve">on </w:t>
      </w:r>
      <w:r w:rsidR="00B5113A" w:rsidRPr="00294BBF">
        <w:rPr>
          <w:color w:val="000000" w:themeColor="text1"/>
        </w:rPr>
        <w:t>previous work</w:t>
      </w:r>
      <w:r w:rsidR="00E764D8" w:rsidRPr="00294BBF">
        <w:rPr>
          <w:color w:val="000000" w:themeColor="text1"/>
        </w:rPr>
        <w:t xml:space="preserve"> </w:t>
      </w:r>
      <w:r w:rsidR="00E764D8" w:rsidRPr="00294BBF">
        <w:rPr>
          <w:color w:val="000000" w:themeColor="text1"/>
        </w:rPr>
        <w:fldChar w:fldCharType="begin" w:fldLock="1"/>
      </w:r>
      <w:r w:rsidR="004D4781" w:rsidRPr="00294BBF">
        <w:rPr>
          <w:color w:val="000000" w:themeColor="text1"/>
        </w:rPr>
        <w:instrText>ADDIN CSL_CITATION { "citationItems" : [ { "id" : "ITEM-1", "itemData" : { "DOI" : "10.1139/F09-037", "ISBN" : "0706-652X", "ISSN" : "0706-652X", "abstract" : "The spawning stock of blue whiting (Micromesistius poutassou), an economically important pelagic gadoid in the North Atlantic Ocean, increased threefold after 1995. The reproductive success of the stock is largely determined during the very early stages of life, but little is known about the spawning dynamics of this species. Here we show that the spawning distribution of blue whiting is variable, regulated by the hydrography west of the British Isles. When the North Atlantic subpolar gyre is strong and spreads its cold, fresh water masses east over Rockall Plateau, the spawning is constrained along the European continental slope and in a southerly position near Porcupine Bank. When the gyre is weak and conditions are relatively saline and warm, the spawning distribution moves northwards along the slope and especially westwards covering Rockall Plateau. The apparent link between the spawning distribution and the subpolar gyre is the first step towards understanding the reproduction variability, which curr...", "author" : [ { "dropping-particle" : "", "family" : "H\u00e1t\u00fan", "given" : "Hj\u00e1lmar", "non-dropping-particle" : "", "parse-names" : false, "suffix" : "" }, { "dropping-particle" : "", "family" : "Payne", "given" : "Mark R.", "non-dropping-particle" : "", "parse-names" : false, "suffix" : "" }, { "dropping-particle" : "", "family" : "Jacobsen", "given" : "Jan Arge", "non-dropping-particle" : "", "parse-names" : false, "suffix" : "" } ], "container-title" : "Canadian Journal of Fisheries and Aquatic Sciences", "id" : "ITEM-1", "issue" : "5", "issued" : { "date-parts" : [ [ "2009" ] ] }, "page" : "759-770", "title" : "The North Atlantic subpolar gyre regulates the spawning distribution of blue whiting (&lt;i&gt;Micromesistius poutassou&lt;/i&gt;)", "type" : "article-journal", "volume" : "66" }, "uris" : [ "http://www.mendeley.com/documents/?uuid=64800076-bdad-4ea8-80e8-e6477e10c58a" ] } ], "mendeley" : { "formattedCitation" : "(H\u00e1t\u00fan, Payne and Jacobsen, 2009)", "manualFormatting" : "(e.g. H\u00e1t\u00fan et al., 2009b)", "plainTextFormattedCitation" : "(H\u00e1t\u00fan, Payne and Jacobsen, 2009)", "previouslyFormattedCitation" : "(H\u00e1t\u00fan, Payne and Jacobsen, 2009)" }, "properties" : { "noteIndex" : 0 }, "schema" : "https://github.com/citation-style-language/schema/raw/master/csl-citation.json" }</w:instrText>
      </w:r>
      <w:r w:rsidR="00E764D8" w:rsidRPr="00294BBF">
        <w:rPr>
          <w:color w:val="000000" w:themeColor="text1"/>
        </w:rPr>
        <w:fldChar w:fldCharType="separate"/>
      </w:r>
      <w:r w:rsidR="00763109" w:rsidRPr="00294BBF">
        <w:rPr>
          <w:noProof/>
          <w:color w:val="000000" w:themeColor="text1"/>
        </w:rPr>
        <w:t>(</w:t>
      </w:r>
      <w:r w:rsidR="00B4384B" w:rsidRPr="00294BBF">
        <w:rPr>
          <w:noProof/>
          <w:color w:val="000000" w:themeColor="text1"/>
        </w:rPr>
        <w:t xml:space="preserve">e.g. </w:t>
      </w:r>
      <w:r w:rsidR="00763109" w:rsidRPr="00294BBF">
        <w:rPr>
          <w:noProof/>
          <w:color w:val="000000" w:themeColor="text1"/>
        </w:rPr>
        <w:t xml:space="preserve">Hátún </w:t>
      </w:r>
      <w:r w:rsidR="006773E4" w:rsidRPr="006773E4">
        <w:rPr>
          <w:i/>
          <w:noProof/>
          <w:color w:val="000000" w:themeColor="text1"/>
        </w:rPr>
        <w:t>et al.</w:t>
      </w:r>
      <w:r w:rsidR="00763109" w:rsidRPr="00294BBF">
        <w:rPr>
          <w:noProof/>
          <w:color w:val="000000" w:themeColor="text1"/>
        </w:rPr>
        <w:t>, 2009</w:t>
      </w:r>
      <w:r w:rsidR="004D4781" w:rsidRPr="00294BBF">
        <w:rPr>
          <w:noProof/>
          <w:color w:val="000000" w:themeColor="text1"/>
        </w:rPr>
        <w:t>b</w:t>
      </w:r>
      <w:r w:rsidR="00763109" w:rsidRPr="00294BBF">
        <w:rPr>
          <w:noProof/>
          <w:color w:val="000000" w:themeColor="text1"/>
        </w:rPr>
        <w:t>)</w:t>
      </w:r>
      <w:r w:rsidR="00E764D8" w:rsidRPr="00294BBF">
        <w:rPr>
          <w:color w:val="000000" w:themeColor="text1"/>
        </w:rPr>
        <w:fldChar w:fldCharType="end"/>
      </w:r>
      <w:r w:rsidR="00E764D8" w:rsidRPr="00294BBF">
        <w:rPr>
          <w:color w:val="000000" w:themeColor="text1"/>
        </w:rPr>
        <w:t xml:space="preserve">, </w:t>
      </w:r>
      <w:r w:rsidR="00B5113A" w:rsidRPr="00294BBF">
        <w:rPr>
          <w:color w:val="000000" w:themeColor="text1"/>
        </w:rPr>
        <w:t xml:space="preserve">we use </w:t>
      </w:r>
      <w:r w:rsidR="00C67861">
        <w:rPr>
          <w:color w:val="000000" w:themeColor="text1"/>
        </w:rPr>
        <w:t>an expanded</w:t>
      </w:r>
      <w:r w:rsidR="00C67861" w:rsidRPr="00294BBF">
        <w:rPr>
          <w:color w:val="000000" w:themeColor="text1"/>
        </w:rPr>
        <w:t xml:space="preserve"> </w:t>
      </w:r>
      <w:r w:rsidR="00B5113A" w:rsidRPr="00294BBF">
        <w:rPr>
          <w:color w:val="000000" w:themeColor="text1"/>
        </w:rPr>
        <w:t xml:space="preserve">set of </w:t>
      </w:r>
      <w:r w:rsidR="00D345CB" w:rsidRPr="00294BBF">
        <w:rPr>
          <w:color w:val="000000" w:themeColor="text1"/>
        </w:rPr>
        <w:t xml:space="preserve">blue whiting </w:t>
      </w:r>
      <w:r w:rsidR="00B5113A" w:rsidRPr="00294BBF">
        <w:rPr>
          <w:color w:val="000000" w:themeColor="text1"/>
        </w:rPr>
        <w:t>CPR ob</w:t>
      </w:r>
      <w:r w:rsidR="00FB5626" w:rsidRPr="00294BBF">
        <w:rPr>
          <w:color w:val="000000" w:themeColor="text1"/>
        </w:rPr>
        <w:t>servations</w:t>
      </w:r>
      <w:r w:rsidR="00581530">
        <w:rPr>
          <w:color w:val="000000" w:themeColor="text1"/>
        </w:rPr>
        <w:t xml:space="preserve"> </w:t>
      </w:r>
      <w:r w:rsidR="00DC4B45">
        <w:rPr>
          <w:color w:val="000000" w:themeColor="text1"/>
        </w:rPr>
        <w:t xml:space="preserve">with </w:t>
      </w:r>
      <w:r w:rsidR="00FB5626" w:rsidRPr="00294BBF">
        <w:rPr>
          <w:color w:val="000000" w:themeColor="text1"/>
        </w:rPr>
        <w:t xml:space="preserve">an </w:t>
      </w:r>
      <w:r w:rsidR="00581530">
        <w:rPr>
          <w:color w:val="000000" w:themeColor="text1"/>
        </w:rPr>
        <w:t>additional</w:t>
      </w:r>
      <w:r w:rsidR="00581530" w:rsidRPr="00294BBF">
        <w:rPr>
          <w:color w:val="000000" w:themeColor="text1"/>
        </w:rPr>
        <w:t xml:space="preserve"> </w:t>
      </w:r>
      <w:r w:rsidR="00FB5626" w:rsidRPr="00294BBF">
        <w:rPr>
          <w:color w:val="000000" w:themeColor="text1"/>
        </w:rPr>
        <w:t>3</w:t>
      </w:r>
      <w:r w:rsidR="00B5113A" w:rsidRPr="00294BBF">
        <w:rPr>
          <w:color w:val="000000" w:themeColor="text1"/>
        </w:rPr>
        <w:t>5 years of data</w:t>
      </w:r>
      <w:r w:rsidR="00100D2F">
        <w:rPr>
          <w:color w:val="000000" w:themeColor="text1"/>
        </w:rPr>
        <w:t xml:space="preserve"> together with </w:t>
      </w:r>
      <w:r w:rsidR="009D1016" w:rsidRPr="00294BBF">
        <w:rPr>
          <w:color w:val="000000" w:themeColor="text1"/>
        </w:rPr>
        <w:t>modern SDM modelling techniques</w:t>
      </w:r>
      <w:r w:rsidR="008C5644" w:rsidRPr="00294BBF">
        <w:rPr>
          <w:color w:val="000000" w:themeColor="text1"/>
        </w:rPr>
        <w:t xml:space="preserve"> to develop a quantitative model</w:t>
      </w:r>
      <w:r w:rsidR="00456B1A" w:rsidRPr="00294BBF">
        <w:rPr>
          <w:color w:val="000000" w:themeColor="text1"/>
        </w:rPr>
        <w:t xml:space="preserve"> of </w:t>
      </w:r>
      <w:r w:rsidR="00FB5626" w:rsidRPr="00294BBF">
        <w:rPr>
          <w:color w:val="000000" w:themeColor="text1"/>
        </w:rPr>
        <w:t xml:space="preserve">the </w:t>
      </w:r>
      <w:r w:rsidR="00456B1A" w:rsidRPr="00294BBF">
        <w:rPr>
          <w:color w:val="000000" w:themeColor="text1"/>
        </w:rPr>
        <w:t>distribution</w:t>
      </w:r>
      <w:r w:rsidR="009D1016" w:rsidRPr="00294BBF">
        <w:rPr>
          <w:color w:val="000000" w:themeColor="text1"/>
        </w:rPr>
        <w:t>.</w:t>
      </w:r>
      <w:r w:rsidR="00B5113A" w:rsidRPr="00294BBF">
        <w:rPr>
          <w:color w:val="000000" w:themeColor="text1"/>
        </w:rPr>
        <w:t xml:space="preserve"> </w:t>
      </w:r>
      <w:r w:rsidRPr="00294BBF">
        <w:rPr>
          <w:color w:val="000000" w:themeColor="text1"/>
        </w:rPr>
        <w:t>W</w:t>
      </w:r>
      <w:r w:rsidRPr="00294BBF">
        <w:rPr>
          <w:rFonts w:eastAsia="Droid Sans Fallback"/>
          <w:color w:val="000000" w:themeColor="text1"/>
        </w:rPr>
        <w:t>e first investigate the spawning distribution of blue whiting in time and space with the aim of developing a better picture of the modes of variability seen in the distribution</w:t>
      </w:r>
      <w:r w:rsidR="00172F24" w:rsidRPr="00294BBF">
        <w:rPr>
          <w:rFonts w:eastAsia="Droid Sans Fallback"/>
          <w:color w:val="000000" w:themeColor="text1"/>
        </w:rPr>
        <w:t xml:space="preserve"> and </w:t>
      </w:r>
      <w:r w:rsidR="003A7885" w:rsidRPr="00294BBF">
        <w:rPr>
          <w:rFonts w:eastAsia="Droid Sans Fallback"/>
          <w:color w:val="000000" w:themeColor="text1"/>
        </w:rPr>
        <w:t>confirming</w:t>
      </w:r>
      <w:r w:rsidR="00172F24" w:rsidRPr="00294BBF">
        <w:rPr>
          <w:rFonts w:eastAsia="Droid Sans Fallback"/>
          <w:color w:val="000000" w:themeColor="text1"/>
        </w:rPr>
        <w:t xml:space="preserve"> previous results</w:t>
      </w:r>
      <w:r w:rsidRPr="00294BBF">
        <w:rPr>
          <w:rFonts w:eastAsia="Droid Sans Fallback"/>
          <w:color w:val="000000" w:themeColor="text1"/>
        </w:rPr>
        <w:t>.</w:t>
      </w:r>
      <w:r w:rsidRPr="00294BBF">
        <w:rPr>
          <w:color w:val="000000" w:themeColor="text1"/>
        </w:rPr>
        <w:t xml:space="preserve"> </w:t>
      </w:r>
      <w:r w:rsidR="00B4751E" w:rsidRPr="00294BBF">
        <w:rPr>
          <w:color w:val="000000" w:themeColor="text1"/>
        </w:rPr>
        <w:t>Then we examine</w:t>
      </w:r>
      <w:r w:rsidRPr="00294BBF">
        <w:rPr>
          <w:color w:val="000000" w:themeColor="text1"/>
        </w:rPr>
        <w:t xml:space="preserve"> the role played by</w:t>
      </w:r>
      <w:r w:rsidR="006430E4" w:rsidRPr="00294BBF">
        <w:rPr>
          <w:color w:val="000000" w:themeColor="text1"/>
        </w:rPr>
        <w:t xml:space="preserve"> the</w:t>
      </w:r>
      <w:r w:rsidRPr="00294BBF">
        <w:rPr>
          <w:color w:val="000000" w:themeColor="text1"/>
        </w:rPr>
        <w:t xml:space="preserve"> marine </w:t>
      </w:r>
      <w:r w:rsidR="00C206EE" w:rsidRPr="00294BBF">
        <w:rPr>
          <w:color w:val="000000" w:themeColor="text1"/>
        </w:rPr>
        <w:t xml:space="preserve">environment </w:t>
      </w:r>
      <w:r w:rsidRPr="00294BBF">
        <w:rPr>
          <w:color w:val="000000" w:themeColor="text1"/>
        </w:rPr>
        <w:t xml:space="preserve">in determining the spawning distribution of blue whiting relative to other processes, such as migration dynamics or bathymetric features. Finally, we </w:t>
      </w:r>
      <w:r w:rsidR="00D92F62" w:rsidRPr="00294BBF">
        <w:rPr>
          <w:color w:val="000000" w:themeColor="text1"/>
        </w:rPr>
        <w:t xml:space="preserve">validate </w:t>
      </w:r>
      <w:r w:rsidRPr="00294BBF">
        <w:rPr>
          <w:color w:val="000000" w:themeColor="text1"/>
        </w:rPr>
        <w:t xml:space="preserve">our model results </w:t>
      </w:r>
      <w:r w:rsidR="00D92F62" w:rsidRPr="00294BBF">
        <w:rPr>
          <w:color w:val="000000" w:themeColor="text1"/>
        </w:rPr>
        <w:t xml:space="preserve">by comparing them </w:t>
      </w:r>
      <w:r w:rsidRPr="00294BBF">
        <w:rPr>
          <w:color w:val="000000" w:themeColor="text1"/>
        </w:rPr>
        <w:t xml:space="preserve">to </w:t>
      </w:r>
      <w:r w:rsidR="00D92F62" w:rsidRPr="00294BBF">
        <w:rPr>
          <w:color w:val="000000" w:themeColor="text1"/>
        </w:rPr>
        <w:t xml:space="preserve">completely </w:t>
      </w:r>
      <w:r w:rsidRPr="00294BBF">
        <w:rPr>
          <w:color w:val="000000" w:themeColor="text1"/>
        </w:rPr>
        <w:t xml:space="preserve">independent observations </w:t>
      </w:r>
      <w:r w:rsidR="00D92F62" w:rsidRPr="00294BBF">
        <w:rPr>
          <w:color w:val="000000" w:themeColor="text1"/>
        </w:rPr>
        <w:t xml:space="preserve">from fisheries and scientific surveys </w:t>
      </w:r>
      <w:r w:rsidRPr="00294BBF">
        <w:rPr>
          <w:color w:val="000000" w:themeColor="text1"/>
        </w:rPr>
        <w:t xml:space="preserve">of the spawning distribution.  </w:t>
      </w:r>
    </w:p>
    <w:p w14:paraId="7C35416E" w14:textId="47DEB682" w:rsidR="00C27032" w:rsidRPr="00294BBF" w:rsidRDefault="00BA1420" w:rsidP="00C27032">
      <w:pPr>
        <w:pStyle w:val="Overskrift1"/>
        <w:rPr>
          <w:color w:val="000000" w:themeColor="text1"/>
        </w:rPr>
      </w:pPr>
      <w:bookmarkStart w:id="5" w:name="__RefHeading___Toc7056_1780423817"/>
      <w:bookmarkStart w:id="6" w:name="_Toc444066954"/>
      <w:bookmarkStart w:id="7" w:name="_Toc487401358"/>
      <w:r w:rsidRPr="00294BBF">
        <w:rPr>
          <w:color w:val="000000" w:themeColor="text1"/>
        </w:rPr>
        <w:t>MATERIALS AND METHODS</w:t>
      </w:r>
      <w:bookmarkEnd w:id="5"/>
      <w:bookmarkEnd w:id="6"/>
      <w:bookmarkEnd w:id="7"/>
    </w:p>
    <w:p w14:paraId="3ADF51FB" w14:textId="1E490E4A" w:rsidR="00C70B57" w:rsidRPr="00294BBF" w:rsidRDefault="00F434A7" w:rsidP="00B4384B">
      <w:pPr>
        <w:pStyle w:val="Overskrift3"/>
        <w:rPr>
          <w:b w:val="0"/>
          <w:color w:val="000000" w:themeColor="text1"/>
        </w:rPr>
      </w:pPr>
      <w:bookmarkStart w:id="8" w:name="_Toc487401359"/>
      <w:r w:rsidRPr="00294BBF">
        <w:rPr>
          <w:color w:val="000000" w:themeColor="text1"/>
        </w:rPr>
        <w:lastRenderedPageBreak/>
        <w:t>Analysis</w:t>
      </w:r>
      <w:r w:rsidR="00161B41" w:rsidRPr="00294BBF">
        <w:rPr>
          <w:color w:val="000000" w:themeColor="text1"/>
        </w:rPr>
        <w:t xml:space="preserve"> s</w:t>
      </w:r>
      <w:r w:rsidR="00C70B57" w:rsidRPr="00294BBF">
        <w:rPr>
          <w:color w:val="000000" w:themeColor="text1"/>
        </w:rPr>
        <w:t>trategy</w:t>
      </w:r>
      <w:bookmarkEnd w:id="8"/>
      <w:r w:rsidR="00C70B57" w:rsidRPr="00294BBF">
        <w:rPr>
          <w:color w:val="000000" w:themeColor="text1"/>
        </w:rPr>
        <w:t xml:space="preserve"> </w:t>
      </w:r>
    </w:p>
    <w:p w14:paraId="2458E440" w14:textId="2843CBC4" w:rsidR="00C70B57" w:rsidRPr="00294BBF" w:rsidRDefault="00A306EF" w:rsidP="00C70B57">
      <w:pPr>
        <w:rPr>
          <w:rFonts w:eastAsia="Droid Sans Fallback"/>
          <w:color w:val="000000" w:themeColor="text1"/>
          <w:lang w:val="en-NZ"/>
        </w:rPr>
      </w:pPr>
      <w:r w:rsidRPr="00294BBF">
        <w:rPr>
          <w:color w:val="000000" w:themeColor="text1"/>
        </w:rPr>
        <w:t>O</w:t>
      </w:r>
      <w:r w:rsidR="006B09C9" w:rsidRPr="00294BBF">
        <w:rPr>
          <w:color w:val="000000" w:themeColor="text1"/>
        </w:rPr>
        <w:t xml:space="preserve">ur analysis of the dynamics of blue whiting spawning distribution, and the factors controlling them, </w:t>
      </w:r>
      <w:r w:rsidRPr="00294BBF">
        <w:rPr>
          <w:color w:val="000000" w:themeColor="text1"/>
        </w:rPr>
        <w:t>is based primarily on</w:t>
      </w:r>
      <w:r w:rsidR="006B09C9" w:rsidRPr="00294BBF">
        <w:rPr>
          <w:color w:val="000000" w:themeColor="text1"/>
        </w:rPr>
        <w:t xml:space="preserve"> data obtained from the </w:t>
      </w:r>
      <w:r w:rsidR="00B4384B" w:rsidRPr="00294BBF">
        <w:rPr>
          <w:color w:val="000000" w:themeColor="text1"/>
        </w:rPr>
        <w:t>C</w:t>
      </w:r>
      <w:r w:rsidR="006B09C9" w:rsidRPr="00294BBF">
        <w:rPr>
          <w:color w:val="000000" w:themeColor="text1"/>
        </w:rPr>
        <w:t>ontinuous</w:t>
      </w:r>
      <w:r w:rsidR="00B4384B" w:rsidRPr="00294BBF">
        <w:rPr>
          <w:color w:val="000000" w:themeColor="text1"/>
        </w:rPr>
        <w:t xml:space="preserve"> Plankton R</w:t>
      </w:r>
      <w:r w:rsidR="006B09C9" w:rsidRPr="00294BBF">
        <w:rPr>
          <w:color w:val="000000" w:themeColor="text1"/>
        </w:rPr>
        <w:t>ecorder (CPR).</w:t>
      </w:r>
      <w:r w:rsidR="00833839" w:rsidRPr="00294BBF">
        <w:rPr>
          <w:color w:val="000000" w:themeColor="text1"/>
        </w:rPr>
        <w:t xml:space="preserve"> We first applied</w:t>
      </w:r>
      <w:r w:rsidR="00C70B57" w:rsidRPr="00294BBF">
        <w:rPr>
          <w:color w:val="000000" w:themeColor="text1"/>
        </w:rPr>
        <w:t xml:space="preserve"> space-time interpolation models (STI) to estimate average spawning distributions </w:t>
      </w:r>
      <w:r w:rsidR="00833839" w:rsidRPr="00294BBF">
        <w:rPr>
          <w:color w:val="000000" w:themeColor="text1"/>
        </w:rPr>
        <w:t xml:space="preserve">from this data, </w:t>
      </w:r>
      <w:r w:rsidR="00C70B57" w:rsidRPr="00294BBF">
        <w:rPr>
          <w:color w:val="000000" w:themeColor="text1"/>
        </w:rPr>
        <w:t>and how the</w:t>
      </w:r>
      <w:r w:rsidR="00833839" w:rsidRPr="00294BBF">
        <w:rPr>
          <w:color w:val="000000" w:themeColor="text1"/>
        </w:rPr>
        <w:t xml:space="preserve"> distribution</w:t>
      </w:r>
      <w:r w:rsidR="00C70B57" w:rsidRPr="00294BBF">
        <w:rPr>
          <w:color w:val="000000" w:themeColor="text1"/>
        </w:rPr>
        <w:t xml:space="preserve"> relate</w:t>
      </w:r>
      <w:r w:rsidR="00833839" w:rsidRPr="00294BBF">
        <w:rPr>
          <w:color w:val="000000" w:themeColor="text1"/>
        </w:rPr>
        <w:t>s</w:t>
      </w:r>
      <w:r w:rsidR="00C70B57" w:rsidRPr="00294BBF">
        <w:rPr>
          <w:color w:val="000000" w:themeColor="text1"/>
        </w:rPr>
        <w:t xml:space="preserve"> to marine </w:t>
      </w:r>
      <w:r w:rsidR="00C206EE" w:rsidRPr="00294BBF">
        <w:rPr>
          <w:color w:val="000000" w:themeColor="text1"/>
        </w:rPr>
        <w:t xml:space="preserve">climatic </w:t>
      </w:r>
      <w:r w:rsidR="00C70B57" w:rsidRPr="00294BBF">
        <w:rPr>
          <w:color w:val="000000" w:themeColor="text1"/>
        </w:rPr>
        <w:t xml:space="preserve">regimes. </w:t>
      </w:r>
      <w:r w:rsidR="00064E23">
        <w:rPr>
          <w:color w:val="000000" w:themeColor="text1"/>
        </w:rPr>
        <w:t>S</w:t>
      </w:r>
      <w:r w:rsidR="00C70B57" w:rsidRPr="00294BBF">
        <w:rPr>
          <w:color w:val="000000" w:themeColor="text1"/>
        </w:rPr>
        <w:t>pecies distribution model</w:t>
      </w:r>
      <w:r w:rsidR="00064E23">
        <w:rPr>
          <w:color w:val="000000" w:themeColor="text1"/>
        </w:rPr>
        <w:t>s</w:t>
      </w:r>
      <w:r w:rsidR="00C70B57" w:rsidRPr="00294BBF">
        <w:rPr>
          <w:color w:val="000000" w:themeColor="text1"/>
        </w:rPr>
        <w:t xml:space="preserve"> (SDM) </w:t>
      </w:r>
      <w:r w:rsidR="00064E23">
        <w:rPr>
          <w:color w:val="000000" w:themeColor="text1"/>
        </w:rPr>
        <w:t xml:space="preserve">were </w:t>
      </w:r>
      <w:r w:rsidR="00D043DD" w:rsidRPr="00294BBF">
        <w:rPr>
          <w:color w:val="000000" w:themeColor="text1"/>
        </w:rPr>
        <w:t xml:space="preserve">then </w:t>
      </w:r>
      <w:r w:rsidR="00C70B57" w:rsidRPr="00294BBF">
        <w:rPr>
          <w:color w:val="000000" w:themeColor="text1"/>
        </w:rPr>
        <w:t xml:space="preserve">developed to allow </w:t>
      </w:r>
      <w:r w:rsidR="00C03CA8" w:rsidRPr="00294BBF">
        <w:rPr>
          <w:color w:val="000000" w:themeColor="text1"/>
        </w:rPr>
        <w:t xml:space="preserve">quantitative </w:t>
      </w:r>
      <w:r w:rsidR="00C70B57" w:rsidRPr="00294BBF">
        <w:rPr>
          <w:color w:val="000000" w:themeColor="text1"/>
        </w:rPr>
        <w:t xml:space="preserve">characterisation of the key </w:t>
      </w:r>
      <w:r w:rsidR="00833839" w:rsidRPr="00294BBF">
        <w:rPr>
          <w:color w:val="000000" w:themeColor="text1"/>
        </w:rPr>
        <w:t>environmental processes</w:t>
      </w:r>
      <w:r w:rsidR="00C70B57" w:rsidRPr="00294BBF">
        <w:rPr>
          <w:color w:val="000000" w:themeColor="text1"/>
        </w:rPr>
        <w:t xml:space="preserve"> </w:t>
      </w:r>
      <w:r w:rsidR="00C03CA8" w:rsidRPr="00294BBF">
        <w:rPr>
          <w:color w:val="000000" w:themeColor="text1"/>
        </w:rPr>
        <w:t xml:space="preserve">driving </w:t>
      </w:r>
      <w:r w:rsidR="00972E38" w:rsidRPr="00294BBF">
        <w:rPr>
          <w:color w:val="000000" w:themeColor="text1"/>
        </w:rPr>
        <w:t>variability in the spawning distribution</w:t>
      </w:r>
      <w:r w:rsidR="007C608A" w:rsidRPr="00294BBF">
        <w:rPr>
          <w:color w:val="000000" w:themeColor="text1"/>
        </w:rPr>
        <w:t xml:space="preserve">. </w:t>
      </w:r>
      <w:r w:rsidR="00833839" w:rsidRPr="00294BBF">
        <w:rPr>
          <w:color w:val="000000" w:themeColor="text1"/>
        </w:rPr>
        <w:t xml:space="preserve">The </w:t>
      </w:r>
      <w:r w:rsidR="00833839" w:rsidRPr="00294BBF">
        <w:rPr>
          <w:rFonts w:eastAsia="Droid Sans Fallback"/>
          <w:color w:val="000000" w:themeColor="text1"/>
          <w:lang w:val="en-NZ"/>
        </w:rPr>
        <w:t>factors identified as important by the SDM</w:t>
      </w:r>
      <w:r w:rsidR="00F434A7" w:rsidRPr="00294BBF">
        <w:rPr>
          <w:rFonts w:eastAsia="Droid Sans Fallback"/>
          <w:color w:val="000000" w:themeColor="text1"/>
          <w:lang w:val="en-NZ"/>
        </w:rPr>
        <w:t xml:space="preserve"> </w:t>
      </w:r>
      <w:r w:rsidR="00A43B16" w:rsidRPr="00294BBF">
        <w:rPr>
          <w:rFonts w:eastAsia="Droid Sans Fallback"/>
          <w:color w:val="000000" w:themeColor="text1"/>
          <w:lang w:val="en-NZ"/>
        </w:rPr>
        <w:t xml:space="preserve">were examined in detail using a </w:t>
      </w:r>
      <w:r w:rsidR="002A45E7" w:rsidRPr="00294BBF">
        <w:rPr>
          <w:rFonts w:eastAsia="Droid Sans Fallback"/>
          <w:color w:val="000000" w:themeColor="text1"/>
          <w:lang w:val="en-NZ"/>
        </w:rPr>
        <w:t xml:space="preserve">standard </w:t>
      </w:r>
      <w:r w:rsidR="00A43B16" w:rsidRPr="00294BBF">
        <w:rPr>
          <w:rFonts w:eastAsia="Droid Sans Fallback"/>
          <w:color w:val="000000" w:themeColor="text1"/>
          <w:lang w:val="en-NZ"/>
        </w:rPr>
        <w:t>suite of model checking tools</w:t>
      </w:r>
      <w:r w:rsidR="00F434A7" w:rsidRPr="00294BBF">
        <w:rPr>
          <w:rFonts w:eastAsia="Droid Sans Fallback"/>
          <w:color w:val="000000" w:themeColor="text1"/>
          <w:lang w:val="en-NZ"/>
        </w:rPr>
        <w:t>.</w:t>
      </w:r>
      <w:r w:rsidR="006B3B20" w:rsidRPr="00294BBF">
        <w:rPr>
          <w:color w:val="000000" w:themeColor="text1"/>
        </w:rPr>
        <w:t xml:space="preserve"> </w:t>
      </w:r>
      <w:r w:rsidR="00833839" w:rsidRPr="00294BBF">
        <w:rPr>
          <w:rFonts w:eastAsia="Droid Sans Fallback"/>
          <w:color w:val="000000" w:themeColor="text1"/>
          <w:lang w:val="en-NZ"/>
        </w:rPr>
        <w:t xml:space="preserve">Finally, the </w:t>
      </w:r>
      <w:r w:rsidR="00144D97">
        <w:rPr>
          <w:rFonts w:eastAsia="Droid Sans Fallback"/>
          <w:color w:val="000000" w:themeColor="text1"/>
          <w:lang w:val="en-NZ"/>
        </w:rPr>
        <w:t xml:space="preserve">CPR-based </w:t>
      </w:r>
      <w:r w:rsidR="004D0732">
        <w:rPr>
          <w:rFonts w:eastAsia="Droid Sans Fallback"/>
          <w:color w:val="000000" w:themeColor="text1"/>
          <w:lang w:val="en-NZ"/>
        </w:rPr>
        <w:t xml:space="preserve">results were </w:t>
      </w:r>
      <w:r w:rsidR="00F434A7" w:rsidRPr="00294BBF">
        <w:rPr>
          <w:rFonts w:eastAsia="Droid Sans Fallback"/>
          <w:color w:val="000000" w:themeColor="text1"/>
          <w:lang w:val="en-NZ"/>
        </w:rPr>
        <w:t>verifi</w:t>
      </w:r>
      <w:r w:rsidR="004D0732">
        <w:rPr>
          <w:rFonts w:eastAsia="Droid Sans Fallback"/>
          <w:color w:val="000000" w:themeColor="text1"/>
          <w:lang w:val="en-NZ"/>
        </w:rPr>
        <w:t>ed</w:t>
      </w:r>
      <w:r w:rsidR="00F434A7" w:rsidRPr="00294BBF">
        <w:rPr>
          <w:rFonts w:eastAsia="Droid Sans Fallback"/>
          <w:color w:val="000000" w:themeColor="text1"/>
          <w:lang w:val="en-NZ"/>
        </w:rPr>
        <w:t xml:space="preserve"> against independent data sources from fisheries and scientific surveys.</w:t>
      </w:r>
    </w:p>
    <w:p w14:paraId="221C174B" w14:textId="41A2D8A5" w:rsidR="00C27032" w:rsidRPr="00294BBF" w:rsidRDefault="00C27032" w:rsidP="00490B2E">
      <w:pPr>
        <w:pStyle w:val="Overskrift3"/>
        <w:rPr>
          <w:color w:val="000000" w:themeColor="text1"/>
        </w:rPr>
      </w:pPr>
      <w:bookmarkStart w:id="9" w:name="_Toc487401360"/>
      <w:r w:rsidRPr="00294BBF">
        <w:rPr>
          <w:color w:val="000000" w:themeColor="text1"/>
        </w:rPr>
        <w:t>Cont</w:t>
      </w:r>
      <w:r w:rsidR="00161B41" w:rsidRPr="00294BBF">
        <w:rPr>
          <w:color w:val="000000" w:themeColor="text1"/>
        </w:rPr>
        <w:t>inuous Plankton Recorder (CPR) d</w:t>
      </w:r>
      <w:r w:rsidRPr="00294BBF">
        <w:rPr>
          <w:color w:val="000000" w:themeColor="text1"/>
        </w:rPr>
        <w:t>ata</w:t>
      </w:r>
      <w:bookmarkEnd w:id="9"/>
    </w:p>
    <w:p w14:paraId="4228648B" w14:textId="727A5ECC" w:rsidR="00E71870" w:rsidRDefault="00CD6D57" w:rsidP="002A6824">
      <w:pPr>
        <w:rPr>
          <w:color w:val="000000" w:themeColor="text1"/>
        </w:rPr>
      </w:pPr>
      <w:r w:rsidRPr="00294BBF">
        <w:rPr>
          <w:color w:val="000000" w:themeColor="text1"/>
        </w:rPr>
        <w:t>Blue whiting larva</w:t>
      </w:r>
      <w:r w:rsidR="001A555C" w:rsidRPr="00294BBF">
        <w:rPr>
          <w:color w:val="000000" w:themeColor="text1"/>
        </w:rPr>
        <w:t>l</w:t>
      </w:r>
      <w:r w:rsidRPr="00294BBF">
        <w:rPr>
          <w:color w:val="000000" w:themeColor="text1"/>
        </w:rPr>
        <w:t xml:space="preserve"> data</w:t>
      </w:r>
      <w:r w:rsidR="00C27032" w:rsidRPr="00294BBF">
        <w:rPr>
          <w:color w:val="000000" w:themeColor="text1"/>
        </w:rPr>
        <w:t xml:space="preserve"> from the Continuous Plankton Recorder (CPR) survey </w:t>
      </w:r>
      <w:r w:rsidR="008B567B" w:rsidRPr="00294BBF">
        <w:rPr>
          <w:color w:val="000000" w:themeColor="text1"/>
        </w:rPr>
        <w:fldChar w:fldCharType="begin" w:fldLock="1"/>
      </w:r>
      <w:r w:rsidR="0044442D" w:rsidRPr="00294BBF">
        <w:rPr>
          <w:color w:val="000000" w:themeColor="text1"/>
        </w:rPr>
        <w:instrText>ADDIN CSL_CITATION { "citationItems" : [ { "id" : "ITEM-1", "itemData" : { "DOI" : "10.1016/j.pocean.2003.08.002", "ISBN" : "0079-6611", "ISSN" : "00796611", "abstract" : "Alister Hardy conceived the Continuous Plankton Recorder (CPR) survey in the 1920s as a means of mapping near-surface plankton in space and time, interpreting the changing fortunes of the fisheries and relating plankton changes to hydrometeorology and climatic change. The seed he planted has grown to become the most extensive long-term survey of marine organisms in the world and the breadth of his vision becomes ever more apparent. The survey has now run for over 70 years and its value increases with every passing decade. Operating from \u2018ships of opportunity\u2019 the machines used are robust, reliable and easy to handle. Wherever possible, all the sampling and analytical methods have not been changed to maintain the consistency of the time series. Computerisation and the development of new statistical approaches have increased our ability to handle the large quantities of information generated and enhance the sensitivity of the data analyses. This overview, based on almost 900 papers, recounts the various phases in the history of the survey. It starts with the Indicator Survey (1921\u20131934), the deployment of the first CPR on the Discovery Expedition (1924\u20131927) and the early CPR survey in the North Sea (1931\u20131939). The survey reopened in 1946 after the Second World War and expanded across the North Atlantic to North America from 1959. Taxonomic studies were initiated and an emphasis was placed on patterns of distribution, which were seen to reflect the varying oceanographic conditions. The years 1968\u20131976 saw further expansion with operations even in the American Great Lakes, publication of a Plankton Atlas and initial evidence for a downward trend in plankton biomass. At about this time electronic instrumentation was attached to CPRs to make additional measurements and work was started on the development of a new generation of undulating Continuous Plankton and Environmental Recorders (CPERs). In 1976 the survey moved to Plymouth. Scientific priorities in the UK changed in the subsequent decade and funding became more difficult to secure even though some of the CPR papers being published at the time are now regarded as classics in plankton ecology. In 1988 the UK Natural Environment Research Council (NERC) decided to close the survey. An international rescue operation led to the creation of the Sir Alister Hardy Foundation for Ocean Science (SAHFOS) in 1990, which has continued with consortium funding from a number of countries, and from 1999 again included\u2026", "author" : [ { "dropping-particle" : "", "family" : "Reid", "given" : "P.C.", "non-dropping-particle" : "", "parse-names" : false, "suffix" : "" }, { "dropping-particle" : "", "family" : "Colebrook", "given" : "J.M.", "non-dropping-particle" : "", "parse-names" : false, "suffix" : "" }, { "dropping-particle" : "", "family" : "Matthews", "given" : "J.B.L.", "non-dropping-particle" : "", "parse-names" : false, "suffix" : "" }, { "dropping-particle" : "", "family" : "Aiken", "given" : "J.", "non-dropping-particle" : "", "parse-names" : false, "suffix" : "" }, { "dropping-particle" : "", "family" : "Team", "given" : "Continuous Plankton Recorder", "non-dropping-particle" : "", "parse-names" : false, "suffix" : "" } ], "container-title" : "Progress in Oceanography", "id" : "ITEM-1", "issued" : { "date-parts" : [ [ "2003" ] ] }, "page" : "117-173", "title" : "The Continuous Plankton Recorder: concepts and history, from Plankton Indicators to undulating recorders", "type" : "article-journal", "volume" : "58" }, "uris" : [ "http://www.mendeley.com/documents/?uuid=cae2ca4f-e045-40a7-a51d-f6486a627280", "http://www.mendeley.com/documents/?uuid=b85a1d7b-896a-4b54-9b1d-38b6df2c8571" ] }, { "id" : "ITEM-2", "itemData" : { "author" : [ { "dropping-particle" : "", "family" : "Bainbridge", "given" : "V.", "non-dropping-particle" : "", "parse-names" : false, "suffix" : "" }, { "dropping-particle" : "", "family" : "Cooper", "given" : "G.", "non-dropping-particle" : "", "parse-names" : false, "suffix" : "" } ], "container-title" : "Bull. Mar. Ecol.", "id" : "ITEM-2", "issued" : { "date-parts" : [ [ "1973" ] ] }, "page" : "99-114", "title" : "The distribution and abundance of the larvae of the blue whiting, Micromestistius poutassou (Risso), in the north-east Atlantic, 1948-1970", "type" : "article-journal", "volume" : "8" }, "uris" : [ "http://www.mendeley.com/documents/?uuid=e538b37e-995a-4091-87ea-617a977f66a1", "http://www.mendeley.com/documents/?uuid=9863919e-7218-4fb1-83b0-77ba55193c24" ] } ], "mendeley" : { "formattedCitation" : "(Bainbridge and Cooper, 1973; Reid &lt;i&gt;et al.&lt;/i&gt;, 2003)", "plainTextFormattedCitation" : "(Bainbridge and Cooper, 1973; Reid et al., 2003)", "previouslyFormattedCitation" : "(Bainbridge and Cooper, 1973; Reid &lt;i&gt;et al.&lt;/i&gt;, 2003)" }, "properties" : { "noteIndex" : 0 }, "schema" : "https://github.com/citation-style-language/schema/raw/master/csl-citation.json" }</w:instrText>
      </w:r>
      <w:r w:rsidR="008B567B" w:rsidRPr="00294BBF">
        <w:rPr>
          <w:color w:val="000000" w:themeColor="text1"/>
        </w:rPr>
        <w:fldChar w:fldCharType="separate"/>
      </w:r>
      <w:r w:rsidR="0044442D" w:rsidRPr="00294BBF">
        <w:rPr>
          <w:noProof/>
          <w:color w:val="000000" w:themeColor="text1"/>
        </w:rPr>
        <w:t xml:space="preserve">(Bainbridge and Cooper, 1973; Reid </w:t>
      </w:r>
      <w:r w:rsidR="006773E4" w:rsidRPr="006773E4">
        <w:rPr>
          <w:i/>
          <w:noProof/>
          <w:color w:val="000000" w:themeColor="text1"/>
        </w:rPr>
        <w:t>et al.</w:t>
      </w:r>
      <w:r w:rsidR="0044442D" w:rsidRPr="00294BBF">
        <w:rPr>
          <w:noProof/>
          <w:color w:val="000000" w:themeColor="text1"/>
        </w:rPr>
        <w:t>, 2003)</w:t>
      </w:r>
      <w:r w:rsidR="008B567B" w:rsidRPr="00294BBF">
        <w:rPr>
          <w:color w:val="000000" w:themeColor="text1"/>
        </w:rPr>
        <w:fldChar w:fldCharType="end"/>
      </w:r>
      <w:r w:rsidR="00C27032" w:rsidRPr="00294BBF">
        <w:rPr>
          <w:color w:val="000000" w:themeColor="text1"/>
        </w:rPr>
        <w:t xml:space="preserve"> </w:t>
      </w:r>
      <w:r w:rsidR="00B80035" w:rsidRPr="00294BBF">
        <w:rPr>
          <w:color w:val="000000" w:themeColor="text1"/>
        </w:rPr>
        <w:t xml:space="preserve">from 1951 to 2005 </w:t>
      </w:r>
      <w:r w:rsidRPr="00294BBF">
        <w:rPr>
          <w:color w:val="000000" w:themeColor="text1"/>
        </w:rPr>
        <w:t>were obtained from</w:t>
      </w:r>
      <w:r w:rsidR="00C27032" w:rsidRPr="00294BBF">
        <w:rPr>
          <w:color w:val="000000" w:themeColor="text1"/>
        </w:rPr>
        <w:t xml:space="preserve"> the Sir </w:t>
      </w:r>
      <w:proofErr w:type="spellStart"/>
      <w:r w:rsidR="00C27032" w:rsidRPr="00294BBF">
        <w:rPr>
          <w:color w:val="000000" w:themeColor="text1"/>
        </w:rPr>
        <w:t>Alister</w:t>
      </w:r>
      <w:proofErr w:type="spellEnd"/>
      <w:r w:rsidR="00C27032" w:rsidRPr="00294BBF">
        <w:rPr>
          <w:color w:val="000000" w:themeColor="text1"/>
        </w:rPr>
        <w:t xml:space="preserve"> Hardy Foundation for Ocean Science (SAHFOS), Plymouth, UK. The CPR is a plankton sampling </w:t>
      </w:r>
      <w:r w:rsidRPr="00294BBF">
        <w:rPr>
          <w:color w:val="000000" w:themeColor="text1"/>
        </w:rPr>
        <w:t>device</w:t>
      </w:r>
      <w:r w:rsidR="00C27032" w:rsidRPr="00294BBF">
        <w:rPr>
          <w:color w:val="000000" w:themeColor="text1"/>
        </w:rPr>
        <w:t xml:space="preserve"> that is towed behind vessels of opportunity at 7 to 10 m depth, allowing for continuous sampling of the upper mixed water column across major commercial shipping routes </w:t>
      </w:r>
      <w:r w:rsidR="008B567B" w:rsidRPr="00294BBF">
        <w:rPr>
          <w:color w:val="000000" w:themeColor="text1"/>
        </w:rPr>
        <w:fldChar w:fldCharType="begin" w:fldLock="1"/>
      </w:r>
      <w:r w:rsidR="0044442D" w:rsidRPr="00294BBF">
        <w:rPr>
          <w:color w:val="000000" w:themeColor="text1"/>
        </w:rPr>
        <w:instrText>ADDIN CSL_CITATION { "citationItems" : [ { "id" : "ITEM-1", "itemData" : { "DOI" : "10.1016/j.pocean.2005.09.011", "ISBN" : "0079-6611", "ISSN" : "00796611", "abstract" : "The continuous plankton recorder (CPR) survey is the largest multi-decadal plankton monitoring programme in the world. It was initiated in 1931 and by the end of 2004 had counted 207,619 samples and identified 437 phyto- and zooplankton taxa throughout the North Atlantic. CPR data are used extensively by the research community and in recent years have been used increasingly to underpin marine management. Here, we take a critical look at how best to use CPR data. We first describe the CPR itself, CPR sampling, and plankton counting procedures. We discuss the spatial and temporal biases in the Survey, summarise environmental data that have not previously been available, and describe the new data access policy. We supply information essential to using CPR data, including descriptions of each CPR taxonomic entity, the idiosyncrasies associated with counting many of the taxa, the logic behind taxonomic changes in the Survey, the semi-quantitative nature of CPR sampling, and recommendations on choosing the spatial and temporal scale of study. This forms the basis for a broader discussion on how to use CPR data for deriving ecologically meaningful indices based on size, functional groups and biomass that can be used to support research and management. This contribution should be useful for plankton ecologists, modellers and policy makers that actively use CPR data. ?? 2005 Elsevier Ltd. All rights reserved.", "author" : [ { "dropping-particle" : "", "family" : "Richardson", "given" : "A. J.", "non-dropping-particle" : "", "parse-names" : false, "suffix" : "" }, { "dropping-particle" : "", "family" : "Walne", "given" : "A.W.", "non-dropping-particle" : "", "parse-names" : false, "suffix" : "" }, { "dropping-particle" : "", "family" : "John", "given" : "A.W.G.", "non-dropping-particle" : "", "parse-names" : false, "suffix" : "" }, { "dropping-particle" : "", "family" : "Jonas", "given" : "T.D.", "non-dropping-particle" : "", "parse-names" : false, "suffix" : "" }, { "dropping-particle" : "", "family" : "Lindley", "given" : "J.A.", "non-dropping-particle" : "", "parse-names" : false, "suffix" : "" }, { "dropping-particle" : "", "family" : "Sims", "given" : "D.W.", "non-dropping-particle" : "", "parse-names" : false, "suffix" : "" }, { "dropping-particle" : "", "family" : "Stevens", "given" : "D.", "non-dropping-particle" : "", "parse-names" : false, "suffix" : "" }, { "dropping-particle" : "", "family" : "Witt", "given" : "M.", "non-dropping-particle" : "", "parse-names" : false, "suffix" : "" } ], "container-title" : "Progress in Oceanography", "id" : "ITEM-1", "issue" : "1", "issued" : { "date-parts" : [ [ "2006", "1" ] ] }, "page" : "27-74", "title" : "Using continuous plankton recorder data", "type" : "article-journal", "volume" : "68" }, "uris" : [ "http://www.mendeley.com/documents/?uuid=a40e1cc6-9003-4990-982e-a3f0669656d9" ] }, { "id" : "ITEM-2", "itemData" : { "DOI" : "10.1016/j.pocean.2003.08.002", "ISBN" : "0079-6611", "ISSN" : "00796611", "abstract" : "Alister Hardy conceived the Continuous Plankton Recorder (CPR) survey in the 1920s as a means of mapping near-surface plankton in space and time, interpreting the changing fortunes of the fisheries and relating plankton changes to hydrometeorology and climatic change. The seed he planted has grown to become the most extensive long-term survey of marine organisms in the world and the breadth of his vision becomes ever more apparent. The survey has now run for over 70 years and its value increases with every passing decade. Operating from \u2018ships of opportunity\u2019 the machines used are robust, reliable and easy to handle. Wherever possible, all the sampling and analytical methods have not been changed to maintain the consistency of the time series. Computerisation and the development of new statistical approaches have increased our ability to handle the large quantities of information generated and enhance the sensitivity of the data analyses. This overview, based on almost 900 papers, recounts the various phases in the history of the survey. It starts with the Indicator Survey (1921\u20131934), the deployment of the first CPR on the Discovery Expedition (1924\u20131927) and the early CPR survey in the North Sea (1931\u20131939). The survey reopened in 1946 after the Second World War and expanded across the North Atlantic to North America from 1959. Taxonomic studies were initiated and an emphasis was placed on patterns of distribution, which were seen to reflect the varying oceanographic conditions. The years 1968\u20131976 saw further expansion with operations even in the American Great Lakes, publication of a Plankton Atlas and initial evidence for a downward trend in plankton biomass. At about this time electronic instrumentation was attached to CPRs to make additional measurements and work was started on the development of a new generation of undulating Continuous Plankton and Environmental Recorders (CPERs). In 1976 the survey moved to Plymouth. Scientific priorities in the UK changed in the subsequent decade and funding became more difficult to secure even though some of the CPR papers being published at the time are now regarded as classics in plankton ecology. In 1988 the UK Natural Environment Research Council (NERC) decided to close the survey. An international rescue operation led to the creation of the Sir Alister Hardy Foundation for Ocean Science (SAHFOS) in 1990, which has continued with consortium funding from a number of countries, and from 1999 again included\u2026", "author" : [ { "dropping-particle" : "", "family" : "Reid", "given" : "P.C.", "non-dropping-particle" : "", "parse-names" : false, "suffix" : "" }, { "dropping-particle" : "", "family" : "Colebrook", "given" : "J.M.", "non-dropping-particle" : "", "parse-names" : false, "suffix" : "" }, { "dropping-particle" : "", "family" : "Matthews", "given" : "J.B.L.", "non-dropping-particle" : "", "parse-names" : false, "suffix" : "" }, { "dropping-particle" : "", "family" : "Aiken", "given" : "J.", "non-dropping-particle" : "", "parse-names" : false, "suffix" : "" }, { "dropping-particle" : "", "family" : "Team", "given" : "Continuous Plankton Recorder", "non-dropping-particle" : "", "parse-names" : false, "suffix" : "" } ], "container-title" : "Progress in Oceanography", "id" : "ITEM-2", "issued" : { "date-parts" : [ [ "2003" ] ] }, "page" : "117-173", "title" : "The Continuous Plankton Recorder: concepts and history, from Plankton Indicators to undulating recorders", "type" : "article-journal", "volume" : "58" }, "uris" : [ "http://www.mendeley.com/documents/?uuid=b85a1d7b-896a-4b54-9b1d-38b6df2c8571", "http://www.mendeley.com/documents/?uuid=cae2ca4f-e045-40a7-a51d-f6486a627280" ] } ], "mendeley" : { "formattedCitation" : "(Reid &lt;i&gt;et al.&lt;/i&gt;, 2003; Richardson &lt;i&gt;et al.&lt;/i&gt;, 2006)", "plainTextFormattedCitation" : "(Reid et al., 2003; Richardson et al., 2006)", "previouslyFormattedCitation" : "(Reid &lt;i&gt;et al.&lt;/i&gt;, 2003; Richardson &lt;i&gt;et al.&lt;/i&gt;, 2006)" }, "properties" : { "noteIndex" : 0 }, "schema" : "https://github.com/citation-style-language/schema/raw/master/csl-citation.json" }</w:instrText>
      </w:r>
      <w:r w:rsidR="008B567B" w:rsidRPr="00294BBF">
        <w:rPr>
          <w:color w:val="000000" w:themeColor="text1"/>
        </w:rPr>
        <w:fldChar w:fldCharType="separate"/>
      </w:r>
      <w:r w:rsidR="0044442D" w:rsidRPr="00294BBF">
        <w:rPr>
          <w:noProof/>
          <w:color w:val="000000" w:themeColor="text1"/>
        </w:rPr>
        <w:t xml:space="preserve">(Reid </w:t>
      </w:r>
      <w:r w:rsidR="006773E4" w:rsidRPr="006773E4">
        <w:rPr>
          <w:i/>
          <w:noProof/>
          <w:color w:val="000000" w:themeColor="text1"/>
        </w:rPr>
        <w:t>et al.</w:t>
      </w:r>
      <w:r w:rsidR="0044442D" w:rsidRPr="00294BBF">
        <w:rPr>
          <w:noProof/>
          <w:color w:val="000000" w:themeColor="text1"/>
        </w:rPr>
        <w:t xml:space="preserve">, 2003; Richardson </w:t>
      </w:r>
      <w:r w:rsidR="006773E4" w:rsidRPr="006773E4">
        <w:rPr>
          <w:i/>
          <w:noProof/>
          <w:color w:val="000000" w:themeColor="text1"/>
        </w:rPr>
        <w:t>et al.</w:t>
      </w:r>
      <w:r w:rsidR="0044442D" w:rsidRPr="00294BBF">
        <w:rPr>
          <w:noProof/>
          <w:color w:val="000000" w:themeColor="text1"/>
        </w:rPr>
        <w:t>, 2006)</w:t>
      </w:r>
      <w:r w:rsidR="008B567B" w:rsidRPr="00294BBF">
        <w:rPr>
          <w:color w:val="000000" w:themeColor="text1"/>
        </w:rPr>
        <w:fldChar w:fldCharType="end"/>
      </w:r>
      <w:r w:rsidR="00C27032" w:rsidRPr="00294BBF">
        <w:rPr>
          <w:color w:val="000000" w:themeColor="text1"/>
        </w:rPr>
        <w:t>.</w:t>
      </w:r>
      <w:r w:rsidRPr="00294BBF">
        <w:rPr>
          <w:color w:val="000000" w:themeColor="text1"/>
        </w:rPr>
        <w:t xml:space="preserve"> </w:t>
      </w:r>
      <w:r w:rsidR="00F10BB5" w:rsidRPr="00294BBF">
        <w:rPr>
          <w:color w:val="000000" w:themeColor="text1"/>
        </w:rPr>
        <w:t>W</w:t>
      </w:r>
      <w:r w:rsidR="00C27032" w:rsidRPr="00294BBF">
        <w:rPr>
          <w:color w:val="000000" w:themeColor="text1"/>
        </w:rPr>
        <w:t xml:space="preserve">ater enters </w:t>
      </w:r>
      <w:r w:rsidR="00F10BB5" w:rsidRPr="00294BBF">
        <w:rPr>
          <w:color w:val="000000" w:themeColor="text1"/>
        </w:rPr>
        <w:t xml:space="preserve">the </w:t>
      </w:r>
      <w:r w:rsidR="00AF0DEE" w:rsidRPr="00294BBF">
        <w:rPr>
          <w:color w:val="000000" w:themeColor="text1"/>
        </w:rPr>
        <w:t>device</w:t>
      </w:r>
      <w:r w:rsidR="00F10BB5" w:rsidRPr="00294BBF">
        <w:rPr>
          <w:color w:val="000000" w:themeColor="text1"/>
        </w:rPr>
        <w:t xml:space="preserve"> </w:t>
      </w:r>
      <w:r w:rsidR="00C27032" w:rsidRPr="00294BBF">
        <w:rPr>
          <w:color w:val="000000" w:themeColor="text1"/>
        </w:rPr>
        <w:t>through a small (12</w:t>
      </w:r>
      <w:r w:rsidR="00B75EFE" w:rsidRPr="00294BBF">
        <w:rPr>
          <w:color w:val="000000" w:themeColor="text1"/>
        </w:rPr>
        <w:t>.</w:t>
      </w:r>
      <w:r w:rsidR="00C27032" w:rsidRPr="00294BBF">
        <w:rPr>
          <w:color w:val="000000" w:themeColor="text1"/>
        </w:rPr>
        <w:t xml:space="preserve">7 </w:t>
      </w:r>
      <w:r w:rsidR="00B75EFE" w:rsidRPr="00294BBF">
        <w:rPr>
          <w:color w:val="000000" w:themeColor="text1"/>
        </w:rPr>
        <w:t>mm</w:t>
      </w:r>
      <w:r w:rsidR="00C27032" w:rsidRPr="00294BBF">
        <w:rPr>
          <w:color w:val="000000" w:themeColor="text1"/>
        </w:rPr>
        <w:t xml:space="preserve">) </w:t>
      </w:r>
      <w:r w:rsidR="00E37CBC" w:rsidRPr="00294BBF">
        <w:rPr>
          <w:color w:val="000000" w:themeColor="text1"/>
        </w:rPr>
        <w:t xml:space="preserve">square </w:t>
      </w:r>
      <w:r w:rsidR="00C27032" w:rsidRPr="00294BBF">
        <w:rPr>
          <w:color w:val="000000" w:themeColor="text1"/>
        </w:rPr>
        <w:t xml:space="preserve">opening in </w:t>
      </w:r>
      <w:r w:rsidRPr="00294BBF">
        <w:rPr>
          <w:color w:val="000000" w:themeColor="text1"/>
        </w:rPr>
        <w:t xml:space="preserve">the </w:t>
      </w:r>
      <w:r w:rsidR="00C27032" w:rsidRPr="00294BBF">
        <w:rPr>
          <w:color w:val="000000" w:themeColor="text1"/>
        </w:rPr>
        <w:t xml:space="preserve">front of the recorder, and is subsequently filtered </w:t>
      </w:r>
      <w:r w:rsidRPr="00294BBF">
        <w:rPr>
          <w:color w:val="000000" w:themeColor="text1"/>
        </w:rPr>
        <w:t>through</w:t>
      </w:r>
      <w:r w:rsidR="00C27032" w:rsidRPr="00294BBF">
        <w:rPr>
          <w:color w:val="000000" w:themeColor="text1"/>
        </w:rPr>
        <w:t xml:space="preserve"> a 270 µm silk screen </w:t>
      </w:r>
      <w:r w:rsidRPr="00294BBF">
        <w:rPr>
          <w:color w:val="000000" w:themeColor="text1"/>
        </w:rPr>
        <w:t>that</w:t>
      </w:r>
      <w:r w:rsidR="00C27032" w:rsidRPr="00294BBF">
        <w:rPr>
          <w:color w:val="000000" w:themeColor="text1"/>
        </w:rPr>
        <w:t xml:space="preserve"> </w:t>
      </w:r>
      <w:r w:rsidRPr="00294BBF">
        <w:rPr>
          <w:color w:val="000000" w:themeColor="text1"/>
        </w:rPr>
        <w:t xml:space="preserve">is </w:t>
      </w:r>
      <w:r w:rsidR="00C27032" w:rsidRPr="00294BBF">
        <w:rPr>
          <w:color w:val="000000" w:themeColor="text1"/>
        </w:rPr>
        <w:t xml:space="preserve">continuously replaced and preserved in formalin </w:t>
      </w:r>
      <w:r w:rsidR="008B567B" w:rsidRPr="00294BBF">
        <w:rPr>
          <w:color w:val="000000" w:themeColor="text1"/>
        </w:rPr>
        <w:fldChar w:fldCharType="begin" w:fldLock="1"/>
      </w:r>
      <w:r w:rsidR="000C1E4B" w:rsidRPr="00294BBF">
        <w:rPr>
          <w:color w:val="000000" w:themeColor="text1"/>
        </w:rPr>
        <w:instrText>ADDIN CSL_CITATION { "citationItems" : [ { "id" : "ITEM-1", "itemData" : { "DOI" : "10.1016/j.pocean.2005.09.011", "ISBN" : "0079-6611", "ISSN" : "00796611", "abstract" : "The continuous plankton recorder (CPR) survey is the largest multi-decadal plankton monitoring programme in the world. It was initiated in 1931 and by the end of 2004 had counted 207,619 samples and identified 437 phyto- and zooplankton taxa throughout the North Atlantic. CPR data are used extensively by the research community and in recent years have been used increasingly to underpin marine management. Here, we take a critical look at how best to use CPR data. We first describe the CPR itself, CPR sampling, and plankton counting procedures. We discuss the spatial and temporal biases in the Survey, summarise environmental data that have not previously been available, and describe the new data access policy. We supply information essential to using CPR data, including descriptions of each CPR taxonomic entity, the idiosyncrasies associated with counting many of the taxa, the logic behind taxonomic changes in the Survey, the semi-quantitative nature of CPR sampling, and recommendations on choosing the spatial and temporal scale of study. This forms the basis for a broader discussion on how to use CPR data for deriving ecologically meaningful indices based on size, functional groups and biomass that can be used to support research and management. This contribution should be useful for plankton ecologists, modellers and policy makers that actively use CPR data. ?? 2005 Elsevier Ltd. All rights reserved.", "author" : [ { "dropping-particle" : "", "family" : "Richardson", "given" : "A. J.", "non-dropping-particle" : "", "parse-names" : false, "suffix" : "" }, { "dropping-particle" : "", "family" : "Walne", "given" : "A.W.", "non-dropping-particle" : "", "parse-names" : false, "suffix" : "" }, { "dropping-particle" : "", "family" : "John", "given" : "A.W.G.", "non-dropping-particle" : "", "parse-names" : false, "suffix" : "" }, { "dropping-particle" : "", "family" : "Jonas", "given" : "T.D.", "non-dropping-particle" : "", "parse-names" : false, "suffix" : "" }, { "dropping-particle" : "", "family" : "Lindley", "given" : "J.A.", "non-dropping-particle" : "", "parse-names" : false, "suffix" : "" }, { "dropping-particle" : "", "family" : "Sims", "given" : "D.W.", "non-dropping-particle" : "", "parse-names" : false, "suffix" : "" }, { "dropping-particle" : "", "family" : "Stevens", "given" : "D.", "non-dropping-particle" : "", "parse-names" : false, "suffix" : "" }, { "dropping-particle" : "", "family" : "Witt", "given" : "M.", "non-dropping-particle" : "", "parse-names" : false, "suffix" : "" } ], "container-title" : "Progress in Oceanography", "id" : "ITEM-1", "issue" : "1", "issued" : { "date-parts" : [ [ "2006", "1" ] ] }, "page" : "27-74", "title" : "Using continuous plankton recorder data", "type" : "article-journal", "volume" : "68" }, "uris" : [ "http://www.mendeley.com/documents/?uuid=a40e1cc6-9003-4990-982e-a3f0669656d9"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instrText>
      </w:r>
      <w:r w:rsidR="008B567B" w:rsidRPr="00294BBF">
        <w:rPr>
          <w:color w:val="000000" w:themeColor="text1"/>
        </w:rPr>
        <w:fldChar w:fldCharType="separate"/>
      </w:r>
      <w:r w:rsidR="00CA4BB7" w:rsidRPr="00294BBF">
        <w:rPr>
          <w:noProof/>
          <w:color w:val="000000" w:themeColor="text1"/>
        </w:rPr>
        <w:t xml:space="preserve">(Richardson </w:t>
      </w:r>
      <w:r w:rsidR="006773E4" w:rsidRPr="006773E4">
        <w:rPr>
          <w:i/>
          <w:noProof/>
          <w:color w:val="000000" w:themeColor="text1"/>
        </w:rPr>
        <w:t>et al.</w:t>
      </w:r>
      <w:r w:rsidR="00CA4BB7" w:rsidRPr="00294BBF">
        <w:rPr>
          <w:noProof/>
          <w:color w:val="000000" w:themeColor="text1"/>
        </w:rPr>
        <w:t>, 2006)</w:t>
      </w:r>
      <w:r w:rsidR="008B567B" w:rsidRPr="00294BBF">
        <w:rPr>
          <w:color w:val="000000" w:themeColor="text1"/>
        </w:rPr>
        <w:fldChar w:fldCharType="end"/>
      </w:r>
      <w:r w:rsidR="008B567B" w:rsidRPr="00294BBF">
        <w:rPr>
          <w:color w:val="000000" w:themeColor="text1"/>
        </w:rPr>
        <w:t xml:space="preserve">. </w:t>
      </w:r>
      <w:r w:rsidRPr="00294BBF">
        <w:rPr>
          <w:color w:val="000000" w:themeColor="text1"/>
        </w:rPr>
        <w:t>On shore,</w:t>
      </w:r>
      <w:r w:rsidR="00C27032" w:rsidRPr="00294BBF">
        <w:rPr>
          <w:color w:val="000000" w:themeColor="text1"/>
        </w:rPr>
        <w:t xml:space="preserve"> the silk is divided into samples corresponding to 10 nautical miles of tow</w:t>
      </w:r>
      <w:r w:rsidR="00F96BCA">
        <w:rPr>
          <w:color w:val="000000" w:themeColor="text1"/>
        </w:rPr>
        <w:t>ing</w:t>
      </w:r>
      <w:r w:rsidRPr="00294BBF">
        <w:rPr>
          <w:color w:val="000000" w:themeColor="text1"/>
        </w:rPr>
        <w:t xml:space="preserve"> and</w:t>
      </w:r>
      <w:r w:rsidR="00C27032" w:rsidRPr="00294BBF">
        <w:rPr>
          <w:color w:val="000000" w:themeColor="text1"/>
        </w:rPr>
        <w:t xml:space="preserve"> analysed under a microscope by taxonomist</w:t>
      </w:r>
      <w:r w:rsidR="00DF7ADE" w:rsidRPr="00294BBF">
        <w:rPr>
          <w:color w:val="000000" w:themeColor="text1"/>
        </w:rPr>
        <w:t>s</w:t>
      </w:r>
      <w:r w:rsidR="00C27032" w:rsidRPr="00294BBF">
        <w:rPr>
          <w:color w:val="000000" w:themeColor="text1"/>
        </w:rPr>
        <w:t xml:space="preserve"> </w:t>
      </w:r>
      <w:r w:rsidR="008B567B" w:rsidRPr="00294BBF">
        <w:rPr>
          <w:color w:val="000000" w:themeColor="text1"/>
        </w:rPr>
        <w:fldChar w:fldCharType="begin" w:fldLock="1"/>
      </w:r>
      <w:r w:rsidR="000C1E4B" w:rsidRPr="00294BBF">
        <w:rPr>
          <w:color w:val="000000" w:themeColor="text1"/>
        </w:rPr>
        <w:instrText>ADDIN CSL_CITATION { "citationItems" : [ { "id" : "ITEM-1", "itemData" : { "DOI" : "10.1016/j.pocean.2005.09.011", "ISBN" : "0079-6611", "ISSN" : "00796611", "abstract" : "The continuous plankton recorder (CPR) survey is the largest multi-decadal plankton monitoring programme in the world. It was initiated in 1931 and by the end of 2004 had counted 207,619 samples and identified 437 phyto- and zooplankton taxa throughout the North Atlantic. CPR data are used extensively by the research community and in recent years have been used increasingly to underpin marine management. Here, we take a critical look at how best to use CPR data. We first describe the CPR itself, CPR sampling, and plankton counting procedures. We discuss the spatial and temporal biases in the Survey, summarise environmental data that have not previously been available, and describe the new data access policy. We supply information essential to using CPR data, including descriptions of each CPR taxonomic entity, the idiosyncrasies associated with counting many of the taxa, the logic behind taxonomic changes in the Survey, the semi-quantitative nature of CPR sampling, and recommendations on choosing the spatial and temporal scale of study. This forms the basis for a broader discussion on how to use CPR data for deriving ecologically meaningful indices based on size, functional groups and biomass that can be used to support research and management. This contribution should be useful for plankton ecologists, modellers and policy makers that actively use CPR data. ?? 2005 Elsevier Ltd. All rights reserved.", "author" : [ { "dropping-particle" : "", "family" : "Richardson", "given" : "A. J.", "non-dropping-particle" : "", "parse-names" : false, "suffix" : "" }, { "dropping-particle" : "", "family" : "Walne", "given" : "A.W.", "non-dropping-particle" : "", "parse-names" : false, "suffix" : "" }, { "dropping-particle" : "", "family" : "John", "given" : "A.W.G.", "non-dropping-particle" : "", "parse-names" : false, "suffix" : "" }, { "dropping-particle" : "", "family" : "Jonas", "given" : "T.D.", "non-dropping-particle" : "", "parse-names" : false, "suffix" : "" }, { "dropping-particle" : "", "family" : "Lindley", "given" : "J.A.", "non-dropping-particle" : "", "parse-names" : false, "suffix" : "" }, { "dropping-particle" : "", "family" : "Sims", "given" : "D.W.", "non-dropping-particle" : "", "parse-names" : false, "suffix" : "" }, { "dropping-particle" : "", "family" : "Stevens", "given" : "D.", "non-dropping-particle" : "", "parse-names" : false, "suffix" : "" }, { "dropping-particle" : "", "family" : "Witt", "given" : "M.", "non-dropping-particle" : "", "parse-names" : false, "suffix" : "" } ], "container-title" : "Progress in Oceanography", "id" : "ITEM-1", "issue" : "1", "issued" : { "date-parts" : [ [ "2006", "1" ] ] }, "page" : "27-74", "title" : "Using continuous plankton recorder data", "type" : "article-journal", "volume" : "68" }, "uris" : [ "http://www.mendeley.com/documents/?uuid=a40e1cc6-9003-4990-982e-a3f0669656d9"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instrText>
      </w:r>
      <w:r w:rsidR="008B567B" w:rsidRPr="00294BBF">
        <w:rPr>
          <w:color w:val="000000" w:themeColor="text1"/>
        </w:rPr>
        <w:fldChar w:fldCharType="separate"/>
      </w:r>
      <w:r w:rsidR="00CA4BB7" w:rsidRPr="00294BBF">
        <w:rPr>
          <w:noProof/>
          <w:color w:val="000000" w:themeColor="text1"/>
        </w:rPr>
        <w:t xml:space="preserve">(Richardson </w:t>
      </w:r>
      <w:r w:rsidR="006773E4" w:rsidRPr="006773E4">
        <w:rPr>
          <w:i/>
          <w:noProof/>
          <w:color w:val="000000" w:themeColor="text1"/>
        </w:rPr>
        <w:t>et al.</w:t>
      </w:r>
      <w:r w:rsidR="00CA4BB7" w:rsidRPr="00294BBF">
        <w:rPr>
          <w:noProof/>
          <w:color w:val="000000" w:themeColor="text1"/>
        </w:rPr>
        <w:t>, 2006)</w:t>
      </w:r>
      <w:r w:rsidR="008B567B" w:rsidRPr="00294BBF">
        <w:rPr>
          <w:color w:val="000000" w:themeColor="text1"/>
        </w:rPr>
        <w:fldChar w:fldCharType="end"/>
      </w:r>
      <w:r w:rsidR="008B567B" w:rsidRPr="00294BBF">
        <w:rPr>
          <w:color w:val="000000" w:themeColor="text1"/>
        </w:rPr>
        <w:t>.</w:t>
      </w:r>
      <w:r w:rsidR="002A6824" w:rsidRPr="00294BBF">
        <w:rPr>
          <w:color w:val="000000" w:themeColor="text1"/>
        </w:rPr>
        <w:t xml:space="preserve"> The position in space and time of </w:t>
      </w:r>
      <w:r w:rsidR="002A6824" w:rsidRPr="00294BBF">
        <w:rPr>
          <w:color w:val="000000" w:themeColor="text1"/>
        </w:rPr>
        <w:lastRenderedPageBreak/>
        <w:t xml:space="preserve">CPR measurements are characterized by the </w:t>
      </w:r>
      <w:r w:rsidR="00384DC7" w:rsidRPr="00294BBF">
        <w:rPr>
          <w:color w:val="000000" w:themeColor="text1"/>
        </w:rPr>
        <w:t xml:space="preserve">spatial and temporal mid-points </w:t>
      </w:r>
      <w:r w:rsidR="00384DC7" w:rsidRPr="00294BBF">
        <w:rPr>
          <w:color w:val="000000" w:themeColor="text1"/>
        </w:rPr>
        <w:fldChar w:fldCharType="begin" w:fldLock="1"/>
      </w:r>
      <w:r w:rsidR="00384DC7" w:rsidRPr="00294BBF">
        <w:rPr>
          <w:color w:val="000000" w:themeColor="text1"/>
        </w:rPr>
        <w:instrText>ADDIN CSL_CITATION { "citationItems" : [ { "id" : "ITEM-1", "itemData" : { "DOI" : "10.1016/j.pocean.2005.09.011", "ISBN" : "0079-6611", "ISSN" : "00796611", "abstract" : "The continuous plankton recorder (CPR) survey is the largest multi-decadal plankton monitoring programme in the world. It was initiated in 1931 and by the end of 2004 had counted 207,619 samples and identified 437 phyto- and zooplankton taxa throughout the North Atlantic. CPR data are used extensively by the research community and in recent years have been used increasingly to underpin marine management. Here, we take a critical look at how best to use CPR data. We first describe the CPR itself, CPR sampling, and plankton counting procedures. We discuss the spatial and temporal biases in the Survey, summarise environmental data that have not previously been available, and describe the new data access policy. We supply information essential to using CPR data, including descriptions of each CPR taxonomic entity, the idiosyncrasies associated with counting many of the taxa, the logic behind taxonomic changes in the Survey, the semi-quantitative nature of CPR sampling, and recommendations on choosing the spatial and temporal scale of study. This forms the basis for a broader discussion on how to use CPR data for deriving ecologically meaningful indices based on size, functional groups and biomass that can be used to support research and management. This contribution should be useful for plankton ecologists, modellers and policy makers that actively use CPR data. ?? 2005 Elsevier Ltd. All rights reserved.", "author" : [ { "dropping-particle" : "", "family" : "Richardson", "given" : "A. J.", "non-dropping-particle" : "", "parse-names" : false, "suffix" : "" }, { "dropping-particle" : "", "family" : "Walne", "given" : "A.W.", "non-dropping-particle" : "", "parse-names" : false, "suffix" : "" }, { "dropping-particle" : "", "family" : "John", "given" : "A.W.G.", "non-dropping-particle" : "", "parse-names" : false, "suffix" : "" }, { "dropping-particle" : "", "family" : "Jonas", "given" : "T.D.", "non-dropping-particle" : "", "parse-names" : false, "suffix" : "" }, { "dropping-particle" : "", "family" : "Lindley", "given" : "J.A.", "non-dropping-particle" : "", "parse-names" : false, "suffix" : "" }, { "dropping-particle" : "", "family" : "Sims", "given" : "D.W.", "non-dropping-particle" : "", "parse-names" : false, "suffix" : "" }, { "dropping-particle" : "", "family" : "Stevens", "given" : "D.", "non-dropping-particle" : "", "parse-names" : false, "suffix" : "" }, { "dropping-particle" : "", "family" : "Witt", "given" : "M.", "non-dropping-particle" : "", "parse-names" : false, "suffix" : "" } ], "container-title" : "Progress in Oceanography", "id" : "ITEM-1", "issue" : "1", "issued" : { "date-parts" : [ [ "2006", "1" ] ] }, "page" : "27-74", "title" : "Using continuous plankton recorder data", "type" : "article-journal", "volume" : "68" }, "uris" : [ "http://www.mendeley.com/documents/?uuid=a40e1cc6-9003-4990-982e-a3f0669656d9"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instrText>
      </w:r>
      <w:r w:rsidR="00384DC7" w:rsidRPr="00294BBF">
        <w:rPr>
          <w:color w:val="000000" w:themeColor="text1"/>
        </w:rPr>
        <w:fldChar w:fldCharType="separate"/>
      </w:r>
      <w:r w:rsidR="00384DC7" w:rsidRPr="00294BBF">
        <w:rPr>
          <w:noProof/>
          <w:color w:val="000000" w:themeColor="text1"/>
        </w:rPr>
        <w:t xml:space="preserve">(Richardson </w:t>
      </w:r>
      <w:r w:rsidR="006773E4" w:rsidRPr="006773E4">
        <w:rPr>
          <w:i/>
          <w:noProof/>
          <w:color w:val="000000" w:themeColor="text1"/>
        </w:rPr>
        <w:t>et al.</w:t>
      </w:r>
      <w:r w:rsidR="00384DC7" w:rsidRPr="00294BBF">
        <w:rPr>
          <w:noProof/>
          <w:color w:val="000000" w:themeColor="text1"/>
        </w:rPr>
        <w:t>, 2006)</w:t>
      </w:r>
      <w:r w:rsidR="00384DC7" w:rsidRPr="00294BBF">
        <w:rPr>
          <w:color w:val="000000" w:themeColor="text1"/>
        </w:rPr>
        <w:fldChar w:fldCharType="end"/>
      </w:r>
      <w:r w:rsidR="00384DC7" w:rsidRPr="00294BBF">
        <w:rPr>
          <w:color w:val="000000" w:themeColor="text1"/>
        </w:rPr>
        <w:t>.</w:t>
      </w:r>
    </w:p>
    <w:p w14:paraId="3D528AFB" w14:textId="589C21B7" w:rsidR="00564924" w:rsidRPr="00294BBF" w:rsidRDefault="00A722E1" w:rsidP="002A6824">
      <w:pPr>
        <w:rPr>
          <w:color w:val="000000" w:themeColor="text1"/>
        </w:rPr>
      </w:pPr>
      <w:r w:rsidRPr="00294BBF">
        <w:rPr>
          <w:color w:val="000000" w:themeColor="text1"/>
        </w:rPr>
        <w:t xml:space="preserve">For the purposes of this analysis, </w:t>
      </w:r>
      <w:r w:rsidR="00D62526" w:rsidRPr="00294BBF">
        <w:rPr>
          <w:color w:val="000000" w:themeColor="text1"/>
        </w:rPr>
        <w:t xml:space="preserve">and following previous work </w:t>
      </w:r>
      <w:r w:rsidR="00D62526" w:rsidRPr="00294BBF">
        <w:rPr>
          <w:color w:val="000000" w:themeColor="text1"/>
        </w:rPr>
        <w:fldChar w:fldCharType="begin" w:fldLock="1"/>
      </w:r>
      <w:r w:rsidR="00041FF2" w:rsidRPr="00294BBF">
        <w:rPr>
          <w:color w:val="000000" w:themeColor="text1"/>
        </w:rPr>
        <w:instrText>ADDIN CSL_CITATION { "citationItems" : [ { "id" : "ITEM-1", "itemData" : { "DOI" : "10.1371/journal.pone.0106237", "author" : [ { "dropping-particle" : "", "family" : "Pointin", "given" : "Fabien", "non-dropping-particle" : "", "parse-names" : false, "suffix" : "" }, { "dropping-particle" : "", "family" : "Payne", "given" : "Mark R.", "non-dropping-particle" : "", "parse-names" : false, "suffix" : "" } ], "container-title" : "PloS ONE", "id" : "ITEM-1", "issue" : "9", "issued" : { "date-parts" : [ [ "2014" ] ] }, "page" : "1-11", "title" : "A Resolution to the Blue Whiting (Micromesistius poutassou) Population Paradox?", "type" : "article-journal", "volume" : "9" }, "uris" : [ "http://www.mendeley.com/documents/?uuid=6a6f494c-8d8f-4687-b6e3-cf82728f52eb" ] } ], "mendeley" : { "formattedCitation" : "(Pointin and Payne, 2014)", "plainTextFormattedCitation" : "(Pointin and Payne, 2014)", "previouslyFormattedCitation" : "(Pointin and Payne, 2014)" }, "properties" : { "noteIndex" : 0 }, "schema" : "https://github.com/citation-style-language/schema/raw/master/csl-citation.json" }</w:instrText>
      </w:r>
      <w:r w:rsidR="00D62526" w:rsidRPr="00294BBF">
        <w:rPr>
          <w:color w:val="000000" w:themeColor="text1"/>
        </w:rPr>
        <w:fldChar w:fldCharType="separate"/>
      </w:r>
      <w:r w:rsidR="00041FF2" w:rsidRPr="00294BBF">
        <w:rPr>
          <w:noProof/>
          <w:color w:val="000000" w:themeColor="text1"/>
        </w:rPr>
        <w:t>(Pointin and Payne, 2014)</w:t>
      </w:r>
      <w:r w:rsidR="00D62526" w:rsidRPr="00294BBF">
        <w:rPr>
          <w:color w:val="000000" w:themeColor="text1"/>
        </w:rPr>
        <w:fldChar w:fldCharType="end"/>
      </w:r>
      <w:r w:rsidR="00D62526" w:rsidRPr="00294BBF">
        <w:rPr>
          <w:color w:val="000000" w:themeColor="text1"/>
        </w:rPr>
        <w:t xml:space="preserve"> </w:t>
      </w:r>
      <w:r w:rsidRPr="00294BBF">
        <w:rPr>
          <w:color w:val="000000" w:themeColor="text1"/>
        </w:rPr>
        <w:t>t</w:t>
      </w:r>
      <w:r w:rsidR="00C27032" w:rsidRPr="00294BBF">
        <w:rPr>
          <w:color w:val="000000" w:themeColor="text1"/>
        </w:rPr>
        <w:t>he CPR data was geographically restricted to the region where blue whiting larvae were most commonly observed (</w:t>
      </w:r>
      <w:r w:rsidR="00433CC3" w:rsidRPr="00294BBF">
        <w:rPr>
          <w:noProof/>
          <w:color w:val="000000" w:themeColor="text1"/>
        </w:rPr>
        <w:t>Fig. 2</w:t>
      </w:r>
      <w:r w:rsidR="00C27032" w:rsidRPr="00294BBF">
        <w:rPr>
          <w:color w:val="000000" w:themeColor="text1"/>
        </w:rPr>
        <w:t>a), and to the period between February and June, cover</w:t>
      </w:r>
      <w:r w:rsidR="00C206EE" w:rsidRPr="00294BBF">
        <w:rPr>
          <w:color w:val="000000" w:themeColor="text1"/>
        </w:rPr>
        <w:t>ing more than 99% of all larval-</w:t>
      </w:r>
      <w:r w:rsidR="00C27032" w:rsidRPr="00294BBF">
        <w:rPr>
          <w:color w:val="000000" w:themeColor="text1"/>
        </w:rPr>
        <w:t>presences (</w:t>
      </w:r>
      <w:r w:rsidR="00433CC3" w:rsidRPr="00294BBF">
        <w:rPr>
          <w:noProof/>
          <w:color w:val="000000" w:themeColor="text1"/>
        </w:rPr>
        <w:t>Fig. 2</w:t>
      </w:r>
      <w:r w:rsidR="00331A37" w:rsidRPr="00294BBF">
        <w:rPr>
          <w:color w:val="000000" w:themeColor="text1"/>
        </w:rPr>
        <w:t xml:space="preserve">b; </w:t>
      </w:r>
      <w:r w:rsidR="00DF7ADE" w:rsidRPr="00294BBF">
        <w:rPr>
          <w:color w:val="000000" w:themeColor="text1"/>
        </w:rPr>
        <w:fldChar w:fldCharType="begin" w:fldLock="1"/>
      </w:r>
      <w:r w:rsidR="00041FF2" w:rsidRPr="00294BBF">
        <w:rPr>
          <w:color w:val="000000" w:themeColor="text1"/>
        </w:rPr>
        <w:instrText>ADDIN CSL_CITATION { "citationItems" : [ { "id" : "ITEM-1", "itemData" : { "DOI" : "10.1371/journal.pone.0106237", "author" : [ { "dropping-particle" : "", "family" : "Pointin", "given" : "Fabien", "non-dropping-particle" : "", "parse-names" : false, "suffix" : "" }, { "dropping-particle" : "", "family" : "Payne", "given" : "Mark R.", "non-dropping-particle" : "", "parse-names" : false, "suffix" : "" } ], "container-title" : "PloS ONE", "id" : "ITEM-1", "issue" : "9", "issued" : { "date-parts" : [ [ "2014" ] ] }, "page" : "1-11", "title" : "A Resolution to the Blue Whiting (Micromesistius poutassou) Population Paradox?", "type" : "article-journal", "volume" : "9" }, "uris" : [ "http://www.mendeley.com/documents/?uuid=6a6f494c-8d8f-4687-b6e3-cf82728f52eb" ] } ], "mendeley" : { "formattedCitation" : "(Pointin and Payne, 2014)", "manualFormatting" : " Pointin and Payne 2014", "plainTextFormattedCitation" : "(Pointin and Payne, 2014)", "previouslyFormattedCitation" : "(Pointin and Payne, 2014)" }, "properties" : { "noteIndex" : 0 }, "schema" : "https://github.com/citation-style-language/schema/raw/master/csl-citation.json" }</w:instrText>
      </w:r>
      <w:r w:rsidR="00DF7ADE" w:rsidRPr="00294BBF">
        <w:rPr>
          <w:color w:val="000000" w:themeColor="text1"/>
        </w:rPr>
        <w:fldChar w:fldCharType="separate"/>
      </w:r>
      <w:r w:rsidR="00DF7ADE" w:rsidRPr="00294BBF">
        <w:rPr>
          <w:noProof/>
          <w:color w:val="000000" w:themeColor="text1"/>
        </w:rPr>
        <w:t xml:space="preserve"> Pointin and Payne 2014</w:t>
      </w:r>
      <w:r w:rsidR="00DF7ADE" w:rsidRPr="00294BBF">
        <w:rPr>
          <w:color w:val="000000" w:themeColor="text1"/>
        </w:rPr>
        <w:fldChar w:fldCharType="end"/>
      </w:r>
      <w:r w:rsidR="00682513" w:rsidRPr="00294BBF">
        <w:rPr>
          <w:color w:val="000000" w:themeColor="text1"/>
        </w:rPr>
        <w:t xml:space="preserve">). </w:t>
      </w:r>
      <w:r w:rsidR="003B7BBE" w:rsidRPr="00294BBF">
        <w:rPr>
          <w:color w:val="000000" w:themeColor="text1"/>
        </w:rPr>
        <w:t>The CPR data consisted of 34</w:t>
      </w:r>
      <w:r w:rsidR="00736CCD">
        <w:rPr>
          <w:color w:val="000000" w:themeColor="text1"/>
        </w:rPr>
        <w:t> </w:t>
      </w:r>
      <w:r w:rsidR="003B7BBE" w:rsidRPr="00294BBF">
        <w:rPr>
          <w:color w:val="000000" w:themeColor="text1"/>
        </w:rPr>
        <w:t xml:space="preserve">422 CPR observations </w:t>
      </w:r>
      <w:r w:rsidR="00D6687B" w:rsidRPr="00294BBF">
        <w:rPr>
          <w:color w:val="000000" w:themeColor="text1"/>
        </w:rPr>
        <w:t>over 54</w:t>
      </w:r>
      <w:r w:rsidR="003B7BBE" w:rsidRPr="00294BBF">
        <w:rPr>
          <w:color w:val="000000" w:themeColor="text1"/>
        </w:rPr>
        <w:t xml:space="preserve"> years</w:t>
      </w:r>
      <w:r w:rsidR="001E7A15" w:rsidRPr="00294BBF">
        <w:rPr>
          <w:color w:val="000000" w:themeColor="text1"/>
        </w:rPr>
        <w:t xml:space="preserve"> (1951</w:t>
      </w:r>
      <w:r w:rsidR="00A35B4F" w:rsidRPr="00294BBF">
        <w:rPr>
          <w:color w:val="000000" w:themeColor="text1"/>
        </w:rPr>
        <w:t xml:space="preserve"> </w:t>
      </w:r>
      <w:r w:rsidR="001E7A15" w:rsidRPr="00294BBF">
        <w:rPr>
          <w:color w:val="000000" w:themeColor="text1"/>
        </w:rPr>
        <w:t>-</w:t>
      </w:r>
      <w:r w:rsidR="00A35B4F" w:rsidRPr="00294BBF">
        <w:rPr>
          <w:color w:val="000000" w:themeColor="text1"/>
        </w:rPr>
        <w:t xml:space="preserve"> </w:t>
      </w:r>
      <w:r w:rsidR="001E7A15" w:rsidRPr="00294BBF">
        <w:rPr>
          <w:color w:val="000000" w:themeColor="text1"/>
        </w:rPr>
        <w:t>2005)</w:t>
      </w:r>
      <w:r w:rsidR="00D6687B" w:rsidRPr="00294BBF">
        <w:rPr>
          <w:color w:val="000000" w:themeColor="text1"/>
        </w:rPr>
        <w:t xml:space="preserve"> </w:t>
      </w:r>
      <w:r w:rsidR="003B7BBE" w:rsidRPr="00294BBF">
        <w:rPr>
          <w:color w:val="000000" w:themeColor="text1"/>
        </w:rPr>
        <w:t>including 1</w:t>
      </w:r>
      <w:r w:rsidR="00550D88">
        <w:rPr>
          <w:color w:val="000000" w:themeColor="text1"/>
        </w:rPr>
        <w:t> </w:t>
      </w:r>
      <w:r w:rsidR="003B7BBE" w:rsidRPr="00294BBF">
        <w:rPr>
          <w:color w:val="000000" w:themeColor="text1"/>
        </w:rPr>
        <w:t>122 presences</w:t>
      </w:r>
      <w:r w:rsidR="00650D6F" w:rsidRPr="00294BBF">
        <w:rPr>
          <w:color w:val="000000" w:themeColor="text1"/>
        </w:rPr>
        <w:t xml:space="preserve"> of blue whiting larvae</w:t>
      </w:r>
      <w:r w:rsidR="003B7BBE" w:rsidRPr="00294BBF">
        <w:rPr>
          <w:color w:val="000000" w:themeColor="text1"/>
        </w:rPr>
        <w:t xml:space="preserve"> between February to June (</w:t>
      </w:r>
      <w:r w:rsidR="00433CC3" w:rsidRPr="00294BBF">
        <w:rPr>
          <w:noProof/>
          <w:color w:val="000000" w:themeColor="text1"/>
        </w:rPr>
        <w:t>Fig. 2</w:t>
      </w:r>
      <w:r w:rsidR="007F5FBA" w:rsidRPr="00294BBF">
        <w:rPr>
          <w:color w:val="000000" w:themeColor="text1"/>
        </w:rPr>
        <w:t>b).</w:t>
      </w:r>
    </w:p>
    <w:p w14:paraId="5EEAF937" w14:textId="43C3A1B3" w:rsidR="00B8609F" w:rsidRPr="00294BBF" w:rsidRDefault="00CB7A98" w:rsidP="00490B2E">
      <w:pPr>
        <w:pStyle w:val="Overskrift3"/>
        <w:rPr>
          <w:color w:val="000000" w:themeColor="text1"/>
        </w:rPr>
      </w:pPr>
      <w:bookmarkStart w:id="10" w:name="_Toc487401361"/>
      <w:r w:rsidRPr="00294BBF">
        <w:rPr>
          <w:color w:val="000000" w:themeColor="text1"/>
        </w:rPr>
        <w:t>Physical</w:t>
      </w:r>
      <w:r w:rsidR="00161B41" w:rsidRPr="00294BBF">
        <w:rPr>
          <w:color w:val="000000" w:themeColor="text1"/>
        </w:rPr>
        <w:t xml:space="preserve"> and o</w:t>
      </w:r>
      <w:r w:rsidR="0011242A" w:rsidRPr="00294BBF">
        <w:rPr>
          <w:color w:val="000000" w:themeColor="text1"/>
        </w:rPr>
        <w:t>ceanographic</w:t>
      </w:r>
      <w:r w:rsidR="00161B41" w:rsidRPr="00294BBF">
        <w:rPr>
          <w:color w:val="000000" w:themeColor="text1"/>
        </w:rPr>
        <w:t xml:space="preserve"> d</w:t>
      </w:r>
      <w:r w:rsidR="00B8609F" w:rsidRPr="00294BBF">
        <w:rPr>
          <w:color w:val="000000" w:themeColor="text1"/>
        </w:rPr>
        <w:t>ata</w:t>
      </w:r>
      <w:r w:rsidR="00505067" w:rsidRPr="00294BBF">
        <w:rPr>
          <w:color w:val="000000" w:themeColor="text1"/>
        </w:rPr>
        <w:t xml:space="preserve"> </w:t>
      </w:r>
      <w:bookmarkEnd w:id="10"/>
    </w:p>
    <w:p w14:paraId="4EC91D47" w14:textId="225FE3F4" w:rsidR="008C16CE" w:rsidRDefault="00EA39AB" w:rsidP="00564924">
      <w:pPr>
        <w:rPr>
          <w:color w:val="000000" w:themeColor="text1"/>
        </w:rPr>
      </w:pPr>
      <w:r w:rsidRPr="00294BBF">
        <w:rPr>
          <w:color w:val="000000" w:themeColor="text1"/>
        </w:rPr>
        <w:t>T</w:t>
      </w:r>
      <w:r w:rsidR="00F85C30" w:rsidRPr="00294BBF">
        <w:rPr>
          <w:color w:val="000000" w:themeColor="text1"/>
        </w:rPr>
        <w:t xml:space="preserve">he </w:t>
      </w:r>
      <w:r w:rsidR="00F6795F">
        <w:rPr>
          <w:color w:val="000000" w:themeColor="text1"/>
        </w:rPr>
        <w:t xml:space="preserve">UK </w:t>
      </w:r>
      <w:r w:rsidR="00646D36" w:rsidRPr="00294BBF">
        <w:rPr>
          <w:color w:val="000000" w:themeColor="text1"/>
        </w:rPr>
        <w:t xml:space="preserve">Met Office Hadley Centre’s </w:t>
      </w:r>
      <w:r w:rsidR="00F85C30" w:rsidRPr="00294BBF">
        <w:rPr>
          <w:color w:val="000000" w:themeColor="text1"/>
        </w:rPr>
        <w:t xml:space="preserve">EN4 </w:t>
      </w:r>
      <w:r w:rsidRPr="00294BBF">
        <w:rPr>
          <w:color w:val="000000" w:themeColor="text1"/>
        </w:rPr>
        <w:t>ocean analysis product</w:t>
      </w:r>
      <w:r w:rsidR="00F85C30" w:rsidRPr="00294BBF">
        <w:rPr>
          <w:color w:val="000000" w:themeColor="text1"/>
        </w:rPr>
        <w:t xml:space="preserve"> (version EN4.1.1)</w:t>
      </w:r>
      <w:r w:rsidRPr="00294BBF">
        <w:rPr>
          <w:color w:val="000000" w:themeColor="text1"/>
        </w:rPr>
        <w:t xml:space="preserve"> was </w:t>
      </w:r>
      <w:r w:rsidR="00564924" w:rsidRPr="00294BBF">
        <w:rPr>
          <w:color w:val="000000" w:themeColor="text1"/>
        </w:rPr>
        <w:t xml:space="preserve">used </w:t>
      </w:r>
      <w:r w:rsidR="00392C42" w:rsidRPr="00294BBF">
        <w:rPr>
          <w:color w:val="000000" w:themeColor="text1"/>
        </w:rPr>
        <w:t xml:space="preserve">as the primary source of </w:t>
      </w:r>
      <w:r w:rsidRPr="00294BBF">
        <w:rPr>
          <w:color w:val="000000" w:themeColor="text1"/>
        </w:rPr>
        <w:t>oceanographic data</w:t>
      </w:r>
      <w:r w:rsidR="00177D26" w:rsidRPr="00294BBF">
        <w:rPr>
          <w:color w:val="000000" w:themeColor="text1"/>
        </w:rPr>
        <w:t xml:space="preserve"> in the analysis</w:t>
      </w:r>
      <w:r w:rsidRPr="00294BBF">
        <w:rPr>
          <w:color w:val="000000" w:themeColor="text1"/>
        </w:rPr>
        <w:t xml:space="preserve"> </w:t>
      </w:r>
      <w:r w:rsidRPr="00294BBF">
        <w:rPr>
          <w:color w:val="000000" w:themeColor="text1"/>
        </w:rPr>
        <w:fldChar w:fldCharType="begin" w:fldLock="1"/>
      </w:r>
      <w:r w:rsidR="00E40F45" w:rsidRPr="00294BBF">
        <w:rPr>
          <w:color w:val="000000" w:themeColor="text1"/>
        </w:rPr>
        <w:instrText>ADDIN CSL_CITATION { "citationItems" : [ { "id" : "ITEM-1", "itemData" : { "DOI" : "10.1002/2013JC009067", "ISSN" : "21699291", "abstract" : "[1] We present version 4 of the Met Office Hadley Centre \u2018\u2018EN\u2019\u2019 series of data sets of global quality controlled ocean temperature and salinity profiles and monthly objective analyses, which covers the period 1900 to present. We briefly describe the EN4 data sources, processing, quality control procedures, and the method of generating the analyses. In particular, we highlight improvements relative to previous versions, which include a new duplicate profile removal procedure and the inclusion of three new quality control checks. We discuss in detail a novel method for providing uncertainty estimates for the objective analyses and improving the background error variance estimates used by the analysis system. These were calculated using an iterative method that is relatively robust to initial misspecification of background error variances. We also show how the method can be used to identify issues with the analyses such as those caused by misspecification of error variances and demonstrate the impact of changes in the observing system on the uncertainty in the analyses.", "author" : [ { "dropping-particle" : "", "family" : "Good", "given" : "Simon A.", "non-dropping-particle" : "", "parse-names" : false, "suffix" : "" }, { "dropping-particle" : "", "family" : "Martin", "given" : "Matthew J.", "non-dropping-particle" : "", "parse-names" : false, "suffix" : "" }, { "dropping-particle" : "", "family" : "Rayner", "given" : "Nick A.", "non-dropping-particle" : "", "parse-names" : false, "suffix" : "" } ], "container-title" : "Journal of Geophysical Research: Oceans", "id" : "ITEM-1", "issue" : "12", "issued" : { "date-parts" : [ [ "2013" ] ] }, "page" : "6704-6716", "title" : "EN4: Quality controlled ocean temperature and salinity profiles and monthly objective analyses with uncertainty estimates", "type" : "article-journal", "volume" : "118" }, "uris" : [ "http://www.mendeley.com/documents/?uuid=24fedf60-8157-40ae-935d-80c3831bb936", "http://www.mendeley.com/documents/?uuid=ead36b9f-354a-4745-bfe8-df9633f1f365" ] } ], "mendeley" : { "formattedCitation" : "(Good &lt;i&gt;et al.&lt;/i&gt;, 2013)", "plainTextFormattedCitation" : "(Good et al., 2013)", "previouslyFormattedCitation" : "(Good &lt;i&gt;et al.&lt;/i&gt;, 2013)" }, "properties" : { "noteIndex" : 0 }, "schema" : "https://github.com/citation-style-language/schema/raw/master/csl-citation.json" }</w:instrText>
      </w:r>
      <w:r w:rsidRPr="00294BBF">
        <w:rPr>
          <w:color w:val="000000" w:themeColor="text1"/>
        </w:rPr>
        <w:fldChar w:fldCharType="separate"/>
      </w:r>
      <w:r w:rsidR="00E40F45" w:rsidRPr="00294BBF">
        <w:rPr>
          <w:noProof/>
          <w:color w:val="000000" w:themeColor="text1"/>
        </w:rPr>
        <w:t xml:space="preserve">(Good </w:t>
      </w:r>
      <w:r w:rsidR="006773E4" w:rsidRPr="006773E4">
        <w:rPr>
          <w:i/>
          <w:noProof/>
          <w:color w:val="000000" w:themeColor="text1"/>
        </w:rPr>
        <w:t>et al.</w:t>
      </w:r>
      <w:r w:rsidR="00E40F45" w:rsidRPr="00294BBF">
        <w:rPr>
          <w:noProof/>
          <w:color w:val="000000" w:themeColor="text1"/>
        </w:rPr>
        <w:t>, 2013)</w:t>
      </w:r>
      <w:r w:rsidRPr="00294BBF">
        <w:rPr>
          <w:color w:val="000000" w:themeColor="text1"/>
        </w:rPr>
        <w:fldChar w:fldCharType="end"/>
      </w:r>
      <w:r w:rsidRPr="00294BBF">
        <w:rPr>
          <w:color w:val="000000" w:themeColor="text1"/>
        </w:rPr>
        <w:t xml:space="preserve">. EN4 is based solely on observational data, and </w:t>
      </w:r>
      <w:r w:rsidR="00F85C30" w:rsidRPr="00294BBF">
        <w:rPr>
          <w:color w:val="000000" w:themeColor="text1"/>
        </w:rPr>
        <w:t>provides monthly, quality controlled objective analyses with a 1 degree spatial resolution</w:t>
      </w:r>
      <w:r w:rsidR="005F4E6A" w:rsidRPr="00294BBF">
        <w:rPr>
          <w:color w:val="000000" w:themeColor="text1"/>
        </w:rPr>
        <w:t xml:space="preserve"> and associated </w:t>
      </w:r>
      <w:r w:rsidR="00A65F9F" w:rsidRPr="00294BBF">
        <w:rPr>
          <w:color w:val="000000" w:themeColor="text1"/>
        </w:rPr>
        <w:t xml:space="preserve">estimates of </w:t>
      </w:r>
      <w:r w:rsidR="005F4E6A" w:rsidRPr="00294BBF">
        <w:rPr>
          <w:color w:val="000000" w:themeColor="text1"/>
        </w:rPr>
        <w:t>uncertainty</w:t>
      </w:r>
      <w:r w:rsidR="00F85C30" w:rsidRPr="00294BBF">
        <w:rPr>
          <w:color w:val="000000" w:themeColor="text1"/>
        </w:rPr>
        <w:t>.</w:t>
      </w:r>
      <w:r w:rsidR="00DF2C0D" w:rsidRPr="00294BBF">
        <w:rPr>
          <w:color w:val="000000" w:themeColor="text1"/>
        </w:rPr>
        <w:t xml:space="preserve"> </w:t>
      </w:r>
    </w:p>
    <w:p w14:paraId="7906395B" w14:textId="37E51444" w:rsidR="00797C3B" w:rsidRDefault="008D2A1C" w:rsidP="00564924">
      <w:pPr>
        <w:rPr>
          <w:color w:val="000000" w:themeColor="text1"/>
        </w:rPr>
      </w:pPr>
      <w:r w:rsidRPr="00294BBF">
        <w:rPr>
          <w:color w:val="000000" w:themeColor="text1"/>
        </w:rPr>
        <w:t>A key feature of this data set</w:t>
      </w:r>
      <w:r w:rsidR="00D6687B" w:rsidRPr="00294BBF">
        <w:rPr>
          <w:color w:val="000000" w:themeColor="text1"/>
        </w:rPr>
        <w:t>,</w:t>
      </w:r>
      <w:r w:rsidRPr="00294BBF">
        <w:rPr>
          <w:color w:val="000000" w:themeColor="text1"/>
        </w:rPr>
        <w:t xml:space="preserve"> </w:t>
      </w:r>
      <w:r w:rsidR="00D6687B" w:rsidRPr="00294BBF">
        <w:rPr>
          <w:color w:val="000000" w:themeColor="text1"/>
        </w:rPr>
        <w:t>in the context of this analysis,</w:t>
      </w:r>
      <w:r w:rsidRPr="00294BBF">
        <w:rPr>
          <w:color w:val="000000" w:themeColor="text1"/>
        </w:rPr>
        <w:t xml:space="preserve"> is that it is also depth resolved, consisting of estimates of conditions at 42 vertical levels</w:t>
      </w:r>
      <w:r w:rsidR="002710B5">
        <w:rPr>
          <w:color w:val="000000" w:themeColor="text1"/>
        </w:rPr>
        <w:t>:</w:t>
      </w:r>
      <w:r w:rsidR="008C16CE">
        <w:rPr>
          <w:color w:val="000000" w:themeColor="text1"/>
        </w:rPr>
        <w:t xml:space="preserve"> blue whiting adults and larvae utilise a range of vertical habitats, however, and the appropriate choice of  depth layer requires careful consideration. </w:t>
      </w:r>
      <w:r w:rsidR="00516D44" w:rsidRPr="00294BBF">
        <w:rPr>
          <w:color w:val="000000" w:themeColor="text1"/>
        </w:rPr>
        <w:t>S</w:t>
      </w:r>
      <w:r w:rsidR="00D6687B" w:rsidRPr="00294BBF">
        <w:rPr>
          <w:color w:val="000000" w:themeColor="text1"/>
        </w:rPr>
        <w:t>pawning blue whiting</w:t>
      </w:r>
      <w:r w:rsidRPr="00294BBF">
        <w:rPr>
          <w:color w:val="000000" w:themeColor="text1"/>
        </w:rPr>
        <w:t xml:space="preserve"> </w:t>
      </w:r>
      <w:r w:rsidR="00516D44" w:rsidRPr="00294BBF">
        <w:rPr>
          <w:color w:val="000000" w:themeColor="text1"/>
        </w:rPr>
        <w:t xml:space="preserve">adults </w:t>
      </w:r>
      <w:r w:rsidR="00564924" w:rsidRPr="00294BBF">
        <w:rPr>
          <w:color w:val="000000" w:themeColor="text1"/>
        </w:rPr>
        <w:t>are typically observed at depth</w:t>
      </w:r>
      <w:r w:rsidRPr="00294BBF">
        <w:rPr>
          <w:color w:val="000000" w:themeColor="text1"/>
        </w:rPr>
        <w:t xml:space="preserve"> </w:t>
      </w:r>
      <w:r w:rsidR="002235E6" w:rsidRPr="00294BBF">
        <w:rPr>
          <w:color w:val="000000" w:themeColor="text1"/>
        </w:rPr>
        <w:t>ranges from 300 m to 500 or 600</w:t>
      </w:r>
      <w:r w:rsidR="00564924" w:rsidRPr="00294BBF">
        <w:rPr>
          <w:color w:val="000000" w:themeColor="text1"/>
        </w:rPr>
        <w:t xml:space="preserve"> </w:t>
      </w:r>
      <w:r w:rsidR="002235E6" w:rsidRPr="00294BBF">
        <w:rPr>
          <w:color w:val="000000" w:themeColor="text1"/>
        </w:rPr>
        <w:t xml:space="preserve">m </w:t>
      </w:r>
      <w:r w:rsidR="002235E6" w:rsidRPr="00294BBF">
        <w:rPr>
          <w:color w:val="000000" w:themeColor="text1"/>
        </w:rPr>
        <w:fldChar w:fldCharType="begin" w:fldLock="1"/>
      </w:r>
      <w:r w:rsidR="0044442D" w:rsidRPr="00294BBF">
        <w:rPr>
          <w:color w:val="000000" w:themeColor="text1"/>
        </w:rPr>
        <w:instrText>ADDIN CSL_CITATION { "citationItems" : [ { "id" : "ITEM-1", "itemData" : { "author" : [ { "dropping-particle" : "", "family" : "ICES", "given" : "", "non-dropping-particle" : "", "parse-names" : false, "suffix" : "" } ], "chapter-number" : "9.3.5", "container-title" : "ICES Advice 2014 Book 9", "id" : "ITEM-1", "issued" : { "date-parts" : [ [ "2014" ] ] }, "page" : "1-14", "title" : "Widely distributed and migratory stocks. Blue Whiting (Subareas I \u2013 IX , XII , and XIV). ICES (International Council for the Exploration of the Sea)", "type" : "chapter" }, "uris" : [ "http://www.mendeley.com/documents/?uuid=659faca6-55f9-473a-91fc-39b6e2011b7b", "http://www.mendeley.com/documents/?uuid=5dbc841d-87a3-46bd-88cc-2b599c591364" ] }, { "id" : "ITEM-2", "itemData" : { "author" : [ { "dropping-particle" : "", "family" : "ICES", "given" : "", "non-dropping-particle" : "", "parse-names" : false, "suffix" : "" } ], "id" : "ITEM-2", "issued" : { "date-parts" : [ [ "1996" ] ] }, "number-of-pages" : "1-23", "title" : "Report Of the Joint Norwegian-Russian Acoustic Survey on Blue Blue Whiting during Spring 1996. ICES CM H:12", "type" : "report" }, "uris" : [ "http://www.mendeley.com/documents/?uuid=9bb0ebd2-61a3-41f4-8a8e-fc1d30920c44", "http://www.mendeley.com/documents/?uuid=cfa79ff6-dd6d-440c-87d6-3442780e312a" ] } ], "mendeley" : { "formattedCitation" : "(ICES, 1996; ICES, 2014)", "plainTextFormattedCitation" : "(ICES, 1996; ICES, 2014)", "previouslyFormattedCitation" : "(ICES, 1996; ICES, 2014)" }, "properties" : { "noteIndex" : 0 }, "schema" : "https://github.com/citation-style-language/schema/raw/master/csl-citation.json" }</w:instrText>
      </w:r>
      <w:r w:rsidR="002235E6" w:rsidRPr="00294BBF">
        <w:rPr>
          <w:color w:val="000000" w:themeColor="text1"/>
        </w:rPr>
        <w:fldChar w:fldCharType="separate"/>
      </w:r>
      <w:r w:rsidR="0044442D" w:rsidRPr="00294BBF">
        <w:rPr>
          <w:noProof/>
          <w:color w:val="000000" w:themeColor="text1"/>
        </w:rPr>
        <w:t>(ICES, 1996; ICES, 2014)</w:t>
      </w:r>
      <w:r w:rsidR="002235E6" w:rsidRPr="00294BBF">
        <w:rPr>
          <w:color w:val="000000" w:themeColor="text1"/>
        </w:rPr>
        <w:fldChar w:fldCharType="end"/>
      </w:r>
      <w:r w:rsidR="002235E6" w:rsidRPr="00294BBF">
        <w:rPr>
          <w:color w:val="000000" w:themeColor="text1"/>
        </w:rPr>
        <w:t xml:space="preserve">, with the majority of eggs and non-feeding larvae reported at depths between 300 - 400 m </w:t>
      </w:r>
      <w:r w:rsidR="002235E6" w:rsidRPr="00294BBF">
        <w:rPr>
          <w:color w:val="000000" w:themeColor="text1"/>
        </w:rPr>
        <w:fldChar w:fldCharType="begin" w:fldLock="1"/>
      </w:r>
      <w:r w:rsidR="00E40F45" w:rsidRPr="00294BBF">
        <w:rPr>
          <w:color w:val="000000" w:themeColor="text1"/>
        </w:rPr>
        <w:instrText>ADDIN CSL_CITATION { "citationItems" : [ { "id" : "ITEM-1", "itemData" : { "DOI" : "10.3354/meps187213", "ISSN" : "01718630", "abstract" : "In March/April 1994 a hydrographic and ichthyoplankton survey was conducted in the area of Porcupine Bank, west of Ireland, to study the distribution and feeding of blue whiting larvae. The Porcupine Bank area was characterized by 2 distinguishable water masses separated by a thermal front: (1) the warm and saline waters of the secondary shelf edge current (sSEC) and (2) the cooler and less saline waters above Porcupine Bank associated with an anticyclonic circulation. Highest concentrations of recently hatched larvae &lt;4.0 mm standard length (SL) occurred in waters of the sSEC, while larvae &gt;4.0 mm SL were more abundant in the cool waters above Porcupine Bank and larvae &gt;5.0 mm SL were exclusively found above the bank. Copepod nauplii density was extremely low, with an overall mean density of 5.2 1-' Nauplii were most abundant in the water of the sSEC. However, proportionally more large calanoid nauplii were observed above Porcupine Bank. The diet of blue whiting larvae also varied among water masses, with larvae having higher feeding incidences and numerical feeding intensities in the sSEC but significantly higher feeding intensities by weight and, thus, a higher energetic gain in the waters above the bank. These contrasts resulted from differences in the composition of the larval diet. Larvae in the sSEC preyed heavily on tintinnids and small cyclopoid nauplii, while larvae above Porcupine Bank also ingested large calanoid nauplii. In addition, blue whiting larvae had different selectivity patterns depending on the foraging environment, with larvae retained above Porcupine Bank selecting strongly for calanoid nauplii, which were never selected for by larvae in the sSEC. Instead those larvae demonstrated a preference for smaller cyclopoid nauplii. In summary, we conclude that in 1994 blue whiting larvae benefited from being retained above Porcupine Bank not only by maintaining a close horizontal distribution but also by utilizing the more favorable feeding environment above the bank. KEY", "author" : [ { "dropping-particle" : "", "family" : "Hillgruber", "given" : "Nicola", "non-dropping-particle" : "", "parse-names" : false, "suffix" : "" }, { "dropping-particle" : "", "family" : "Kloppmann", "given" : "Matthias", "non-dropping-particle" : "", "parse-names" : false, "suffix" : "" } ], "container-title" : "Marine Ecology Progress Series", "id" : "ITEM-1", "issue" : "1996", "issued" : { "date-parts" : [ [ "1999" ] ] }, "page" : "213-225", "title" : "Distribution and feeding of blue whiting &lt;i&gt;Micromesistius poutassou&lt;/i&gt; larvae in relation to different water masses in the Porcupine Bank area, west of Ireland", "type" : "article-journal", "volume" : "187" }, "uris" : [ "http://www.mendeley.com/documents/?uuid=4b0476af-af8e-4e76-a296-102f63ef593d", "http://www.mendeley.com/documents/?uuid=09715642-49a7-4227-af7f-cc3343890a90" ] } ], "mendeley" : { "formattedCitation" : "(Hillgruber and Kloppmann, 1999)", "plainTextFormattedCitation" : "(Hillgruber and Kloppmann, 1999)", "previouslyFormattedCitation" : "(Hillgruber and Kloppmann, 1999)" }, "properties" : { "noteIndex" : 0 }, "schema" : "https://github.com/citation-style-language/schema/raw/master/csl-citation.json" }</w:instrText>
      </w:r>
      <w:r w:rsidR="002235E6" w:rsidRPr="00294BBF">
        <w:rPr>
          <w:color w:val="000000" w:themeColor="text1"/>
        </w:rPr>
        <w:fldChar w:fldCharType="separate"/>
      </w:r>
      <w:r w:rsidR="00E40F45" w:rsidRPr="00294BBF">
        <w:rPr>
          <w:noProof/>
          <w:color w:val="000000" w:themeColor="text1"/>
        </w:rPr>
        <w:t>(Hillgruber and Kloppmann, 1999)</w:t>
      </w:r>
      <w:r w:rsidR="002235E6" w:rsidRPr="00294BBF">
        <w:rPr>
          <w:color w:val="000000" w:themeColor="text1"/>
        </w:rPr>
        <w:fldChar w:fldCharType="end"/>
      </w:r>
      <w:r w:rsidR="002235E6" w:rsidRPr="00294BBF">
        <w:rPr>
          <w:color w:val="000000" w:themeColor="text1"/>
        </w:rPr>
        <w:t xml:space="preserve">; 300 - 600 m </w:t>
      </w:r>
      <w:r w:rsidR="002235E6" w:rsidRPr="00294BBF">
        <w:rPr>
          <w:color w:val="000000" w:themeColor="text1"/>
        </w:rPr>
        <w:fldChar w:fldCharType="begin" w:fldLock="1"/>
      </w:r>
      <w:r w:rsidR="00E40F45" w:rsidRPr="00294BBF">
        <w:rPr>
          <w:color w:val="000000" w:themeColor="text1"/>
        </w:rPr>
        <w:instrText>ADDIN CSL_CITATION { "citationItems" : [ { "id" : "ITEM-1", "itemData" : { "DOI" : "10.1016/S0165-7836(00)00242-3", "ISBN" : "0165-7836", "ISSN" : "01657836", "abstract" : "A mathematical model of the vertical distribution of fish eggs and larvae in response to changes in their buoyancy was developed and applied to eggs and larvae of blue whiting (Micromesistius poutassou). The model balances buoyancy and vertical mixing and allows for changes in buoyancy during development, as well as for variations in the physical properties of the water column with depth. Input data for the buoyancy of eggs and larvae were derived from experiments using a density-gradient column; the neutral buoyancy of blue whiting eggs was observed to increase over the duration of embryonic development from a salinity of below 34 to near 40 while larvae immediately after hatching were neutrally buoyant in a salinity of around 36.6. Input data for the vertical distribution of blue whiting eggs at hatching were derived from the results of plankton sampling to the west of the British Isles. These showed early stage eggs to be distributed in most abundance in the depth range 460-580m, with relatively little observed change through the remainder of embryonic development, and for larvae to became progressively concentrated in the upper 50 m of the water column. For both eggs and larvae, the model results were in close agreement with field observations. The lack of any marked displacement of the egg distributions was shown to be a reflection of their change from being initially buoyant, to sinking in the water column during the later phases of development, this behaviour being an adaptation to their bathypelagic habit. The model results also indicated that the ascent of the larvae from the spawning depths to the near-surface layers could be due entirely to buoyancy-induced passive rising of the larvae. (C) 2001 Elsevier Science B.V. All rights reserved.", "author" : [ { "dropping-particle" : "", "family" : "\u00c5dlandsvik", "given" : "Bj\u00f8rn", "non-dropping-particle" : "", "parse-names" : false, "suffix" : "" }, { "dropping-particle" : "", "family" : "Coombs", "given" : "S. H.", "non-dropping-particle" : "", "parse-names" : false, "suffix" : "" }, { "dropping-particle" : "", "family" : "Sundby", "given" : "S", "non-dropping-particle" : "", "parse-names" : false, "suffix" : "" }, { "dropping-particle" : "", "family" : "Temple", "given" : "G", "non-dropping-particle" : "", "parse-names" : false, "suffix" : "" } ], "container-title" : "Fisheries Research", "id" : "ITEM-1", "issued" : { "date-parts" : [ [ "2001" ] ] }, "page" : "59-72", "title" : "Buoyancy and vertical distribution of eggs and larvae of blue whiting (&lt;i&gt;Micromesistius poutassou&lt;/i&gt;): observations and modelling", "type" : "article-journal", "volume" : "50" }, "uris" : [ "http://www.mendeley.com/documents/?uuid=b6de8dcf-7a77-4342-830e-94d1f035a9c6" ] } ], "mendeley" : { "formattedCitation" : "(\u00c5dlandsvik &lt;i&gt;et al.&lt;/i&gt;, 2001)", "plainTextFormattedCitation" : "(\u00c5dlandsvik et al., 2001)", "previouslyFormattedCitation" : "(\u00c5dlandsvik &lt;i&gt;et al.&lt;/i&gt;, 2001)" }, "properties" : { "noteIndex" : 0 }, "schema" : "https://github.com/citation-style-language/schema/raw/master/csl-citation.json" }</w:instrText>
      </w:r>
      <w:r w:rsidR="002235E6" w:rsidRPr="00294BBF">
        <w:rPr>
          <w:color w:val="000000" w:themeColor="text1"/>
        </w:rPr>
        <w:fldChar w:fldCharType="separate"/>
      </w:r>
      <w:r w:rsidR="00E40F45" w:rsidRPr="00294BBF">
        <w:rPr>
          <w:noProof/>
          <w:color w:val="000000" w:themeColor="text1"/>
        </w:rPr>
        <w:t xml:space="preserve">(Ådlandsvik </w:t>
      </w:r>
      <w:r w:rsidR="006773E4" w:rsidRPr="006773E4">
        <w:rPr>
          <w:i/>
          <w:noProof/>
          <w:color w:val="000000" w:themeColor="text1"/>
        </w:rPr>
        <w:t>et al.</w:t>
      </w:r>
      <w:r w:rsidR="00E40F45" w:rsidRPr="00294BBF">
        <w:rPr>
          <w:noProof/>
          <w:color w:val="000000" w:themeColor="text1"/>
        </w:rPr>
        <w:t>, 2001)</w:t>
      </w:r>
      <w:r w:rsidR="002235E6" w:rsidRPr="00294BBF">
        <w:rPr>
          <w:color w:val="000000" w:themeColor="text1"/>
        </w:rPr>
        <w:fldChar w:fldCharType="end"/>
      </w:r>
      <w:r w:rsidR="002235E6" w:rsidRPr="00294BBF">
        <w:rPr>
          <w:color w:val="000000" w:themeColor="text1"/>
        </w:rPr>
        <w:t xml:space="preserve"> or 250 - 600 m (eggs: 250 - 450 and larvae </w:t>
      </w:r>
      <w:r w:rsidR="002235E6" w:rsidRPr="00294BBF">
        <w:rPr>
          <w:rFonts w:cs="Times New Roman"/>
          <w:color w:val="000000" w:themeColor="text1"/>
        </w:rPr>
        <w:t xml:space="preserve">≤ </w:t>
      </w:r>
      <w:r w:rsidR="002235E6" w:rsidRPr="00294BBF">
        <w:rPr>
          <w:color w:val="000000" w:themeColor="text1"/>
        </w:rPr>
        <w:t xml:space="preserve">2.5mm length: 300 - 600; </w:t>
      </w:r>
      <w:r w:rsidR="002235E6" w:rsidRPr="00294BBF">
        <w:rPr>
          <w:color w:val="000000" w:themeColor="text1"/>
        </w:rPr>
        <w:fldChar w:fldCharType="begin" w:fldLock="1"/>
      </w:r>
      <w:r w:rsidR="00E40F45" w:rsidRPr="00294BBF">
        <w:rPr>
          <w:color w:val="000000" w:themeColor="text1"/>
        </w:rPr>
        <w:instrText>ADDIN CSL_CITATION { "citationItems" : [ { "id" : "ITEM-1", "itemData" : { "author" : [ { "dropping-particle" : "", "family" : "Coombs", "given" : "S. H.", "non-dropping-particle" : "", "parse-names" : false, "suffix" : "" }, { "dropping-particle" : "", "family" : "Pipe", "given" : "R K", "non-dropping-particle" : "", "parse-names" : false, "suffix" : "" }, { "dropping-particle" : "", "family" : "Mitchell", "given" : "C. E.", "non-dropping-particle" : "", "parse-names" : false, "suffix" : "" } ], "container-title" : "Rapports et Proc\u00e8s- Verbeaux des R\u00e9unions. Conseil International pour l\u2019Exploration de la Mer", "id" : "ITEM-1", "issued" : { "date-parts" : [ [ "1981" ] ] }, "page" : "188-195", "title" : "The Vertical Distribution of Eggs and Larvae of Blue Whiting (&lt;i&gt;Micromesistius poutassou&lt;/i&gt;) and Mackerel (&lt;i&gt;Scomber Scombrus&lt;/i&gt;) in the Eastern North Atlantic and North Sea", "type" : "article-journal", "volume" : "178" }, "uris" : [ "http://www.mendeley.com/documents/?uuid=fe7ef1f3-94f2-4544-997e-46d37f919525", "http://www.mendeley.com/documents/?uuid=2a224ea2-ebf1-4ed5-a2ef-d701bb6230f1" ] } ], "mendeley" : { "formattedCitation" : "(Coombs &lt;i&gt;et al.&lt;/i&gt;, 1981)", "manualFormatting" : "according to Coombs et al., 1981)", "plainTextFormattedCitation" : "(Coombs et al., 1981)", "previouslyFormattedCitation" : "(Coombs &lt;i&gt;et al.&lt;/i&gt;, 1981)" }, "properties" : { "noteIndex" : 0 }, "schema" : "https://github.com/citation-style-language/schema/raw/master/csl-citation.json" }</w:instrText>
      </w:r>
      <w:r w:rsidR="002235E6" w:rsidRPr="00294BBF">
        <w:rPr>
          <w:color w:val="000000" w:themeColor="text1"/>
        </w:rPr>
        <w:fldChar w:fldCharType="separate"/>
      </w:r>
      <w:r w:rsidR="002235E6" w:rsidRPr="00294BBF">
        <w:rPr>
          <w:noProof/>
          <w:color w:val="000000" w:themeColor="text1"/>
        </w:rPr>
        <w:t xml:space="preserve">according to Coombs </w:t>
      </w:r>
      <w:r w:rsidR="006773E4" w:rsidRPr="006773E4">
        <w:rPr>
          <w:i/>
          <w:noProof/>
          <w:color w:val="000000" w:themeColor="text1"/>
        </w:rPr>
        <w:t>et al.</w:t>
      </w:r>
      <w:r w:rsidR="002235E6" w:rsidRPr="00294BBF">
        <w:rPr>
          <w:noProof/>
          <w:color w:val="000000" w:themeColor="text1"/>
        </w:rPr>
        <w:t>, 1981)</w:t>
      </w:r>
      <w:r w:rsidR="002235E6" w:rsidRPr="00294BBF">
        <w:rPr>
          <w:color w:val="000000" w:themeColor="text1"/>
        </w:rPr>
        <w:fldChar w:fldCharType="end"/>
      </w:r>
      <w:r w:rsidR="002235E6" w:rsidRPr="00294BBF">
        <w:rPr>
          <w:color w:val="000000" w:themeColor="text1"/>
        </w:rPr>
        <w:t xml:space="preserve">. After spawning, </w:t>
      </w:r>
      <w:r w:rsidR="00EB5C85" w:rsidRPr="00294BBF">
        <w:rPr>
          <w:color w:val="000000" w:themeColor="text1"/>
        </w:rPr>
        <w:t xml:space="preserve">the larvae </w:t>
      </w:r>
      <w:r w:rsidR="007C37F1" w:rsidRPr="00294BBF">
        <w:rPr>
          <w:rStyle w:val="Svagfremhvning"/>
          <w:i w:val="0"/>
          <w:color w:val="000000" w:themeColor="text1"/>
        </w:rPr>
        <w:t xml:space="preserve">require around 20 - 25 days to complete the ascent </w:t>
      </w:r>
      <w:r w:rsidR="007C37F1" w:rsidRPr="00294BBF">
        <w:rPr>
          <w:rStyle w:val="Svagfremhvning"/>
          <w:i w:val="0"/>
          <w:color w:val="000000" w:themeColor="text1"/>
        </w:rPr>
        <w:lastRenderedPageBreak/>
        <w:t xml:space="preserve">from </w:t>
      </w:r>
      <w:r w:rsidR="00564924" w:rsidRPr="00294BBF">
        <w:rPr>
          <w:rStyle w:val="Svagfremhvning"/>
          <w:i w:val="0"/>
          <w:color w:val="000000" w:themeColor="text1"/>
        </w:rPr>
        <w:t>the</w:t>
      </w:r>
      <w:r w:rsidR="007C37F1" w:rsidRPr="00294BBF">
        <w:rPr>
          <w:rStyle w:val="Svagfremhvning"/>
          <w:i w:val="0"/>
          <w:color w:val="000000" w:themeColor="text1"/>
        </w:rPr>
        <w:t xml:space="preserve"> depth </w:t>
      </w:r>
      <w:r w:rsidR="00564924" w:rsidRPr="00294BBF">
        <w:rPr>
          <w:rStyle w:val="Svagfremhvning"/>
          <w:i w:val="0"/>
          <w:color w:val="000000" w:themeColor="text1"/>
        </w:rPr>
        <w:t xml:space="preserve">at which they are spawned </w:t>
      </w:r>
      <w:r w:rsidR="007C37F1" w:rsidRPr="00294BBF">
        <w:rPr>
          <w:rStyle w:val="Svagfremhvning"/>
          <w:i w:val="0"/>
          <w:color w:val="000000" w:themeColor="text1"/>
        </w:rPr>
        <w:t>to the sea surface</w:t>
      </w:r>
      <w:r w:rsidR="00D62526" w:rsidRPr="00294BBF">
        <w:rPr>
          <w:rStyle w:val="Svagfremhvning"/>
          <w:i w:val="0"/>
          <w:color w:val="000000" w:themeColor="text1"/>
        </w:rPr>
        <w:t xml:space="preserve"> </w:t>
      </w:r>
      <w:r w:rsidR="00D62526" w:rsidRPr="00294BBF">
        <w:rPr>
          <w:rStyle w:val="Svagfremhvning"/>
          <w:i w:val="0"/>
          <w:color w:val="000000" w:themeColor="text1"/>
        </w:rPr>
        <w:fldChar w:fldCharType="begin" w:fldLock="1"/>
      </w:r>
      <w:r w:rsidR="00E40F45" w:rsidRPr="00294BBF">
        <w:rPr>
          <w:rStyle w:val="Svagfremhvning"/>
          <w:i w:val="0"/>
          <w:color w:val="000000" w:themeColor="text1"/>
        </w:rPr>
        <w:instrText>ADDIN CSL_CITATION { "citationItems" : [ { "id" : "ITEM-1", "itemData" : { "DOI" : "10.1016/S0165-7836(00)00242-3", "ISBN" : "0165-7836", "ISSN" : "01657836", "abstract" : "A mathematical model of the vertical distribution of fish eggs and larvae in response to changes in their buoyancy was developed and applied to eggs and larvae of blue whiting (Micromesistius poutassou). The model balances buoyancy and vertical mixing and allows for changes in buoyancy during development, as well as for variations in the physical properties of the water column with depth. Input data for the buoyancy of eggs and larvae were derived from experiments using a density-gradient column; the neutral buoyancy of blue whiting eggs was observed to increase over the duration of embryonic development from a salinity of below 34 to near 40 while larvae immediately after hatching were neutrally buoyant in a salinity of around 36.6. Input data for the vertical distribution of blue whiting eggs at hatching were derived from the results of plankton sampling to the west of the British Isles. These showed early stage eggs to be distributed in most abundance in the depth range 460-580m, with relatively little observed change through the remainder of embryonic development, and for larvae to became progressively concentrated in the upper 50 m of the water column. For both eggs and larvae, the model results were in close agreement with field observations. The lack of any marked displacement of the egg distributions was shown to be a reflection of their change from being initially buoyant, to sinking in the water column during the later phases of development, this behaviour being an adaptation to their bathypelagic habit. The model results also indicated that the ascent of the larvae from the spawning depths to the near-surface layers could be due entirely to buoyancy-induced passive rising of the larvae. (C) 2001 Elsevier Science B.V. All rights reserved.", "author" : [ { "dropping-particle" : "", "family" : "\u00c5dlandsvik", "given" : "Bj\u00f8rn", "non-dropping-particle" : "", "parse-names" : false, "suffix" : "" }, { "dropping-particle" : "", "family" : "Coombs", "given" : "S. H.", "non-dropping-particle" : "", "parse-names" : false, "suffix" : "" }, { "dropping-particle" : "", "family" : "Sundby", "given" : "S", "non-dropping-particle" : "", "parse-names" : false, "suffix" : "" }, { "dropping-particle" : "", "family" : "Temple", "given" : "G", "non-dropping-particle" : "", "parse-names" : false, "suffix" : "" } ], "container-title" : "Fisheries Research", "id" : "ITEM-1", "issued" : { "date-parts" : [ [ "2001" ] ] }, "page" : "59-72", "title" : "Buoyancy and vertical distribution of eggs and larvae of blue whiting (&lt;i&gt;Micromesistius poutassou&lt;/i&gt;): observations and modelling", "type" : "article-journal", "volume" : "50" }, "uris" : [ "http://www.mendeley.com/documents/?uuid=b6de8dcf-7a77-4342-830e-94d1f035a9c6" ] } ], "mendeley" : { "formattedCitation" : "(\u00c5dlandsvik &lt;i&gt;et al.&lt;/i&gt;, 2001)", "plainTextFormattedCitation" : "(\u00c5dlandsvik et al., 2001)", "previouslyFormattedCitation" : "(\u00c5dlandsvik &lt;i&gt;et al.&lt;/i&gt;, 2001)" }, "properties" : { "noteIndex" : 0 }, "schema" : "https://github.com/citation-style-language/schema/raw/master/csl-citation.json" }</w:instrText>
      </w:r>
      <w:r w:rsidR="00D62526" w:rsidRPr="00294BBF">
        <w:rPr>
          <w:rStyle w:val="Svagfremhvning"/>
          <w:i w:val="0"/>
          <w:color w:val="000000" w:themeColor="text1"/>
        </w:rPr>
        <w:fldChar w:fldCharType="separate"/>
      </w:r>
      <w:r w:rsidR="00E40F45" w:rsidRPr="00294BBF">
        <w:rPr>
          <w:rStyle w:val="Svagfremhvning"/>
          <w:i w:val="0"/>
          <w:noProof/>
          <w:color w:val="000000" w:themeColor="text1"/>
        </w:rPr>
        <w:t xml:space="preserve">(Ådlandsvik </w:t>
      </w:r>
      <w:r w:rsidR="006773E4" w:rsidRPr="006773E4">
        <w:rPr>
          <w:rStyle w:val="Svagfremhvning"/>
          <w:noProof/>
          <w:color w:val="000000" w:themeColor="text1"/>
        </w:rPr>
        <w:t>et al.</w:t>
      </w:r>
      <w:r w:rsidR="00E40F45" w:rsidRPr="00294BBF">
        <w:rPr>
          <w:rStyle w:val="Svagfremhvning"/>
          <w:i w:val="0"/>
          <w:noProof/>
          <w:color w:val="000000" w:themeColor="text1"/>
        </w:rPr>
        <w:t>, 2001)</w:t>
      </w:r>
      <w:r w:rsidR="00D62526" w:rsidRPr="00294BBF">
        <w:rPr>
          <w:rStyle w:val="Svagfremhvning"/>
          <w:i w:val="0"/>
          <w:color w:val="000000" w:themeColor="text1"/>
        </w:rPr>
        <w:fldChar w:fldCharType="end"/>
      </w:r>
      <w:r w:rsidR="009C0C19" w:rsidRPr="00294BBF">
        <w:rPr>
          <w:rStyle w:val="Svagfremhvning"/>
          <w:i w:val="0"/>
          <w:color w:val="000000" w:themeColor="text1"/>
        </w:rPr>
        <w:t>, where they can first be detected in the CPR</w:t>
      </w:r>
      <w:r w:rsidR="00D62526" w:rsidRPr="00294BBF">
        <w:rPr>
          <w:rStyle w:val="Svagfremhvning"/>
          <w:i w:val="0"/>
          <w:color w:val="000000" w:themeColor="text1"/>
        </w:rPr>
        <w:t>.</w:t>
      </w:r>
      <w:r w:rsidR="009C0C19" w:rsidRPr="00294BBF">
        <w:rPr>
          <w:color w:val="000000" w:themeColor="text1"/>
        </w:rPr>
        <w:t xml:space="preserve"> </w:t>
      </w:r>
      <w:r w:rsidR="00DE6362" w:rsidRPr="00294BBF">
        <w:rPr>
          <w:color w:val="000000" w:themeColor="text1"/>
        </w:rPr>
        <w:t>T</w:t>
      </w:r>
      <w:r w:rsidR="0011242A" w:rsidRPr="00294BBF">
        <w:rPr>
          <w:color w:val="000000" w:themeColor="text1"/>
        </w:rPr>
        <w:t xml:space="preserve">he majority of larvae found </w:t>
      </w:r>
      <w:r w:rsidR="00DE6362" w:rsidRPr="00294BBF">
        <w:rPr>
          <w:color w:val="000000" w:themeColor="text1"/>
        </w:rPr>
        <w:t xml:space="preserve">in </w:t>
      </w:r>
      <w:r w:rsidR="0011242A" w:rsidRPr="00294BBF">
        <w:rPr>
          <w:color w:val="000000" w:themeColor="text1"/>
        </w:rPr>
        <w:t xml:space="preserve">the CPR samples are smaller than 6 mm in length </w:t>
      </w:r>
      <w:r w:rsidR="00564924" w:rsidRPr="00294BBF">
        <w:rPr>
          <w:color w:val="000000" w:themeColor="text1"/>
        </w:rPr>
        <w:fldChar w:fldCharType="begin" w:fldLock="1"/>
      </w:r>
      <w:r w:rsidR="004B27B5" w:rsidRPr="00294BBF">
        <w:rPr>
          <w:color w:val="000000" w:themeColor="text1"/>
        </w:rPr>
        <w:instrText>ADDIN CSL_CITATION { "citationItems" : [ { "id" : "ITEM-1", "itemData" : { "author" : [ { "dropping-particle" : "", "family" : "Bainbridge", "given" : "V.", "non-dropping-particle" : "", "parse-names" : false, "suffix" : "" }, { "dropping-particle" : "", "family" : "Cooper", "given" : "G.", "non-dropping-particle" : "", "parse-names" : false, "suffix" : "" } ], "container-title" : "Bull. Mar. Ecol.", "id" : "ITEM-1", "issued" : { "date-parts" : [ [ "1973" ] ] }, "page" : "99-114", "title" : "The distribution and abundance of the larvae of the blue whiting, Micromestistius poutassou (Risso), in the north-east Atlantic, 1948-1970", "type" : "article-journal", "volume" : "8" }, "uris" : [ "http://www.mendeley.com/documents/?uuid=9863919e-7218-4fb1-83b0-77ba55193c24" ] } ], "mendeley" : { "formattedCitation" : "(Bainbridge and Cooper, 1973)", "plainTextFormattedCitation" : "(Bainbridge and Cooper, 1973)", "previouslyFormattedCitation" : "(Bainbridge and Cooper, 1973)" }, "properties" : { "noteIndex" : 0 }, "schema" : "https://github.com/citation-style-language/schema/raw/master/csl-citation.json" }</w:instrText>
      </w:r>
      <w:r w:rsidR="00564924" w:rsidRPr="00294BBF">
        <w:rPr>
          <w:color w:val="000000" w:themeColor="text1"/>
        </w:rPr>
        <w:fldChar w:fldCharType="separate"/>
      </w:r>
      <w:r w:rsidR="00564924" w:rsidRPr="00294BBF">
        <w:rPr>
          <w:noProof/>
          <w:color w:val="000000" w:themeColor="text1"/>
        </w:rPr>
        <w:t>(Bainbridge and Cooper, 1973)</w:t>
      </w:r>
      <w:r w:rsidR="00564924" w:rsidRPr="00294BBF">
        <w:rPr>
          <w:color w:val="000000" w:themeColor="text1"/>
        </w:rPr>
        <w:fldChar w:fldCharType="end"/>
      </w:r>
      <w:r w:rsidR="00DE6362" w:rsidRPr="00294BBF">
        <w:rPr>
          <w:color w:val="000000" w:themeColor="text1"/>
        </w:rPr>
        <w:t xml:space="preserve">: from an </w:t>
      </w:r>
      <w:r w:rsidR="0011242A" w:rsidRPr="00294BBF">
        <w:rPr>
          <w:color w:val="000000" w:themeColor="text1"/>
        </w:rPr>
        <w:t xml:space="preserve">average growth rate of &gt; 0.3 mm per day </w:t>
      </w:r>
      <w:r w:rsidR="004B27B5" w:rsidRPr="00294BBF">
        <w:rPr>
          <w:color w:val="000000" w:themeColor="text1"/>
        </w:rPr>
        <w:fldChar w:fldCharType="begin" w:fldLock="1"/>
      </w:r>
      <w:r w:rsidR="004B27B5" w:rsidRPr="00294BBF">
        <w:rPr>
          <w:color w:val="000000" w:themeColor="text1"/>
        </w:rPr>
        <w:instrText>ADDIN CSL_CITATION { "citationItems" : [ { "id" : "ITEM-1", "itemData" : { "DOI" : "10.1016/S0165-7836(00)00243-5", "ISBN" : "0165-7836", "ISSN" : "01657836", "abstract" : "The distribution of larval blue whiting (Micromesistius poutassou) was mapped along the shelf edge west of Scotland during May and June 1994. Age and individual growth histories of larvae were inferred from counts and measurements of increments on the sagittal otoliths. Maximum abundances of larvae were at the shelf break northwest of Ireland and decreased with distance north. Larvae were clearly and consistently associated with a tongue of warm saline water which extended north along the shelf edge. From otolith microstructure, the individual growth rates of larvae distributed in the warm saline water mass found in the south of the survey area were significantly greater than larvae which were distributed in cooler water further north. However, the corresponding length-weight relationships did not show any significant latitudinal trend suggesting that differences in growth were not reflected in the condition of the larvae. The consequences of slower growth and hence longer stage duration may lead these larvae to suffer higher rates of mortality and the results suggest that the dynamics of the water currents associated with the shelf break may be an important determinant of larval growth, and subsequently annual recruitment to the blue whiting stock. ?? 2001 Elsevier Science B.V.", "author" : [ { "dropping-particle" : "", "family" : "Bailey", "given" : "M. C.", "non-dropping-particle" : "", "parse-names" : false, "suffix" : "" }, { "dropping-particle" : "", "family" : "Heath", "given" : "Michael R", "non-dropping-particle" : "", "parse-names" : false, "suffix" : "" } ], "container-title" : "Fisheries Research", "id" : "ITEM-1", "issued" : { "date-parts" : [ [ "2001" ] ] }, "page" : "73-87", "title" : "Spatial variability in the growth rate of blue whiting (&lt;i&gt;Micromesistius poutassou&lt;/i&gt;) larvae at the shelf edge west of the UK", "type" : "article-journal", "volume" : "50" }, "uris" : [ "http://www.mendeley.com/documents/?uuid=b89c2a56-256f-4e69-b0a0-7cbf1642c551" ] } ], "mendeley" : { "formattedCitation" : "(Bailey and Heath, 2001)", "plainTextFormattedCitation" : "(Bailey and Heath, 2001)", "previouslyFormattedCitation" : "(Bailey and Heath, 2001)" }, "properties" : { "noteIndex" : 7 }, "schema" : "https://github.com/citation-style-language/schema/raw/master/csl-citation.json" }</w:instrText>
      </w:r>
      <w:r w:rsidR="004B27B5" w:rsidRPr="00294BBF">
        <w:rPr>
          <w:color w:val="000000" w:themeColor="text1"/>
        </w:rPr>
        <w:fldChar w:fldCharType="separate"/>
      </w:r>
      <w:r w:rsidR="004B27B5" w:rsidRPr="00294BBF">
        <w:rPr>
          <w:noProof/>
          <w:color w:val="000000" w:themeColor="text1"/>
        </w:rPr>
        <w:t>(Bailey and Heath, 2001)</w:t>
      </w:r>
      <w:r w:rsidR="004B27B5" w:rsidRPr="00294BBF">
        <w:rPr>
          <w:color w:val="000000" w:themeColor="text1"/>
        </w:rPr>
        <w:fldChar w:fldCharType="end"/>
      </w:r>
      <w:r w:rsidR="00DE6362" w:rsidRPr="00294BBF">
        <w:rPr>
          <w:color w:val="000000" w:themeColor="text1"/>
        </w:rPr>
        <w:t xml:space="preserve"> and hatching length of </w:t>
      </w:r>
      <w:r w:rsidR="00CE34DD" w:rsidRPr="00294BBF">
        <w:rPr>
          <w:color w:val="000000" w:themeColor="text1"/>
        </w:rPr>
        <w:t xml:space="preserve"> </w:t>
      </w:r>
      <w:r w:rsidR="00CE34DD" w:rsidRPr="00294BBF">
        <w:rPr>
          <w:rFonts w:cs="Times New Roman"/>
          <w:color w:val="000000" w:themeColor="text1"/>
        </w:rPr>
        <w:t>≤</w:t>
      </w:r>
      <w:r w:rsidR="00CE34DD" w:rsidRPr="00294BBF">
        <w:rPr>
          <w:color w:val="000000" w:themeColor="text1"/>
        </w:rPr>
        <w:t xml:space="preserve"> 2.5 mm </w:t>
      </w:r>
      <w:r w:rsidR="00CE34DD" w:rsidRPr="00294BBF">
        <w:rPr>
          <w:color w:val="000000" w:themeColor="text1"/>
        </w:rPr>
        <w:fldChar w:fldCharType="begin" w:fldLock="1"/>
      </w:r>
      <w:r w:rsidR="0044442D" w:rsidRPr="00294BBF">
        <w:rPr>
          <w:color w:val="000000" w:themeColor="text1"/>
        </w:rPr>
        <w:instrText>ADDIN CSL_CITATION { "citationItems" : [ { "id" : "ITEM-1", "itemData" : { "DOI" : "10.1016/S0165-7836(00)00242-3", "ISBN" : "0165-7836", "ISSN" : "01657836", "abstract" : "A mathematical model of the vertical distribution of fish eggs and larvae in response to changes in their buoyancy was developed and applied to eggs and larvae of blue whiting (Micromesistius poutassou). The model balances buoyancy and vertical mixing and allows for changes in buoyancy during development, as well as for variations in the physical properties of the water column with depth. Input data for the buoyancy of eggs and larvae were derived from experiments using a density-gradient column; the neutral buoyancy of blue whiting eggs was observed to increase over the duration of embryonic development from a salinity of below 34 to near 40 while larvae immediately after hatching were neutrally buoyant in a salinity of around 36.6. Input data for the vertical distribution of blue whiting eggs at hatching were derived from the results of plankton sampling to the west of the British Isles. These showed early stage eggs to be distributed in most abundance in the depth range 460-580m, with relatively little observed change through the remainder of embryonic development, and for larvae to became progressively concentrated in the upper 50 m of the water column. For both eggs and larvae, the model results were in close agreement with field observations. The lack of any marked displacement of the egg distributions was shown to be a reflection of their change from being initially buoyant, to sinking in the water column during the later phases of development, this behaviour being an adaptation to their bathypelagic habit. The model results also indicated that the ascent of the larvae from the spawning depths to the near-surface layers could be due entirely to buoyancy-induced passive rising of the larvae. (C) 2001 Elsevier Science B.V. All rights reserved.", "author" : [ { "dropping-particle" : "", "family" : "\u00c5dlandsvik", "given" : "Bj\u00f8rn", "non-dropping-particle" : "", "parse-names" : false, "suffix" : "" }, { "dropping-particle" : "", "family" : "Coombs", "given" : "S. H.", "non-dropping-particle" : "", "parse-names" : false, "suffix" : "" }, { "dropping-particle" : "", "family" : "Sundby", "given" : "S", "non-dropping-particle" : "", "parse-names" : false, "suffix" : "" }, { "dropping-particle" : "", "family" : "Temple", "given" : "G", "non-dropping-particle" : "", "parse-names" : false, "suffix" : "" } ], "container-title" : "Fisheries Research", "id" : "ITEM-1", "issued" : { "date-parts" : [ [ "2001" ] ] }, "page" : "59-72", "title" : "Buoyancy and vertical distribution of eggs and larvae of blue whiting (&lt;i&gt;Micromesistius poutassou&lt;/i&gt;): observations and modelling", "type" : "article-journal", "volume" : "50" }, "uris" : [ "http://www.mendeley.com/documents/?uuid=b6de8dcf-7a77-4342-830e-94d1f035a9c6" ] }, { "id" : "ITEM-2", "itemData" : { "author" : [ { "dropping-particle" : "", "family" : "Coombs", "given" : "S. H.", "non-dropping-particle" : "", "parse-names" : false, "suffix" : "" }, { "dropping-particle" : "", "family" : "Pipe", "given" : "R K", "non-dropping-particle" : "", "parse-names" : false, "suffix" : "" }, { "dropping-particle" : "", "family" : "Mitchell", "given" : "C. E.", "non-dropping-particle" : "", "parse-names" : false, "suffix" : "" } ], "container-title" : "Rapports et Proc\u00e8s- Verbeaux des R\u00e9unions. Conseil International pour l\u2019Exploration de la Mer", "id" : "ITEM-2", "issued" : { "date-parts" : [ [ "1981" ] ] }, "page" : "188-195", "title" : "The Vertical Distribution of Eggs and Larvae of Blue Whiting (&lt;i&gt;Micromesistius poutassou&lt;/i&gt;) and Mackerel (&lt;i&gt;Scomber Scombrus&lt;/i&gt;) in the Eastern North Atlantic and North Sea", "type" : "article-journal", "volume" : "178" }, "uris" : [ "http://www.mendeley.com/documents/?uuid=fe7ef1f3-94f2-4544-997e-46d37f919525" ] } ], "mendeley" : { "formattedCitation" : "(Coombs &lt;i&gt;et al.&lt;/i&gt;, 1981; \u00c5dlandsvik &lt;i&gt;et al.&lt;/i&gt;, 2001)", "plainTextFormattedCitation" : "(Coombs et al., 1981; \u00c5dlandsvik et al., 2001)", "previouslyFormattedCitation" : "(Coombs &lt;i&gt;et al.&lt;/i&gt;, 1981; \u00c5dlandsvik &lt;i&gt;et al.&lt;/i&gt;, 2001)" }, "properties" : { "noteIndex" : 0 }, "schema" : "https://github.com/citation-style-language/schema/raw/master/csl-citation.json" }</w:instrText>
      </w:r>
      <w:r w:rsidR="00CE34DD" w:rsidRPr="00294BBF">
        <w:rPr>
          <w:color w:val="000000" w:themeColor="text1"/>
        </w:rPr>
        <w:fldChar w:fldCharType="separate"/>
      </w:r>
      <w:r w:rsidR="0044442D" w:rsidRPr="00294BBF">
        <w:rPr>
          <w:noProof/>
          <w:color w:val="000000" w:themeColor="text1"/>
        </w:rPr>
        <w:t xml:space="preserve">(Coombs </w:t>
      </w:r>
      <w:r w:rsidR="006773E4" w:rsidRPr="006773E4">
        <w:rPr>
          <w:i/>
          <w:noProof/>
          <w:color w:val="000000" w:themeColor="text1"/>
        </w:rPr>
        <w:t>et al.</w:t>
      </w:r>
      <w:r w:rsidR="0044442D" w:rsidRPr="00294BBF">
        <w:rPr>
          <w:noProof/>
          <w:color w:val="000000" w:themeColor="text1"/>
        </w:rPr>
        <w:t xml:space="preserve">, 1981; Ådlandsvik </w:t>
      </w:r>
      <w:r w:rsidR="006773E4" w:rsidRPr="006773E4">
        <w:rPr>
          <w:i/>
          <w:noProof/>
          <w:color w:val="000000" w:themeColor="text1"/>
        </w:rPr>
        <w:t>et al.</w:t>
      </w:r>
      <w:r w:rsidR="0044442D" w:rsidRPr="00294BBF">
        <w:rPr>
          <w:noProof/>
          <w:color w:val="000000" w:themeColor="text1"/>
        </w:rPr>
        <w:t>, 2001)</w:t>
      </w:r>
      <w:r w:rsidR="00CE34DD" w:rsidRPr="00294BBF">
        <w:rPr>
          <w:color w:val="000000" w:themeColor="text1"/>
        </w:rPr>
        <w:fldChar w:fldCharType="end"/>
      </w:r>
      <w:r w:rsidR="0011242A" w:rsidRPr="00294BBF">
        <w:rPr>
          <w:color w:val="000000" w:themeColor="text1"/>
        </w:rPr>
        <w:t xml:space="preserve">, it is very likely that larvae captured by the CPR were spawned </w:t>
      </w:r>
      <w:r w:rsidR="007C37F1" w:rsidRPr="00294BBF">
        <w:rPr>
          <w:color w:val="000000" w:themeColor="text1"/>
        </w:rPr>
        <w:t xml:space="preserve">in the </w:t>
      </w:r>
      <w:r w:rsidR="0011242A" w:rsidRPr="00294BBF">
        <w:rPr>
          <w:color w:val="000000" w:themeColor="text1"/>
        </w:rPr>
        <w:t xml:space="preserve">three weeks </w:t>
      </w:r>
      <w:r w:rsidR="007C37F1" w:rsidRPr="00294BBF">
        <w:rPr>
          <w:color w:val="000000" w:themeColor="text1"/>
        </w:rPr>
        <w:t>prior to capture</w:t>
      </w:r>
      <w:r w:rsidR="0011242A" w:rsidRPr="00294BBF">
        <w:rPr>
          <w:color w:val="000000" w:themeColor="text1"/>
        </w:rPr>
        <w:t xml:space="preserve">. </w:t>
      </w:r>
    </w:p>
    <w:p w14:paraId="671F0886" w14:textId="6C4A6D58" w:rsidR="00127CAB" w:rsidRDefault="00E05D6D" w:rsidP="00564924">
      <w:pPr>
        <w:rPr>
          <w:color w:val="000000" w:themeColor="text1"/>
        </w:rPr>
      </w:pPr>
      <w:r w:rsidRPr="00294BBF">
        <w:rPr>
          <w:color w:val="000000" w:themeColor="text1"/>
        </w:rPr>
        <w:t xml:space="preserve">This understanding </w:t>
      </w:r>
      <w:r w:rsidR="0072254A">
        <w:rPr>
          <w:color w:val="000000" w:themeColor="text1"/>
        </w:rPr>
        <w:t>can</w:t>
      </w:r>
      <w:r w:rsidR="0072254A" w:rsidRPr="00294BBF">
        <w:rPr>
          <w:color w:val="000000" w:themeColor="text1"/>
        </w:rPr>
        <w:t xml:space="preserve"> </w:t>
      </w:r>
      <w:r w:rsidRPr="00294BBF">
        <w:rPr>
          <w:color w:val="000000" w:themeColor="text1"/>
        </w:rPr>
        <w:t xml:space="preserve">then </w:t>
      </w:r>
      <w:r w:rsidR="002710B5">
        <w:rPr>
          <w:color w:val="000000" w:themeColor="text1"/>
        </w:rPr>
        <w:t xml:space="preserve">be </w:t>
      </w:r>
      <w:r w:rsidRPr="00294BBF">
        <w:rPr>
          <w:color w:val="000000" w:themeColor="text1"/>
        </w:rPr>
        <w:t xml:space="preserve">used as the basis for </w:t>
      </w:r>
      <w:r w:rsidR="003210AC">
        <w:rPr>
          <w:color w:val="000000" w:themeColor="text1"/>
        </w:rPr>
        <w:t>extracting relevant environmental data from EN4</w:t>
      </w:r>
      <w:r w:rsidRPr="00294BBF">
        <w:rPr>
          <w:color w:val="000000" w:themeColor="text1"/>
        </w:rPr>
        <w:t xml:space="preserve">. </w:t>
      </w:r>
      <w:r w:rsidR="00C82331" w:rsidRPr="00294BBF">
        <w:rPr>
          <w:color w:val="000000" w:themeColor="text1"/>
        </w:rPr>
        <w:t>Temperature</w:t>
      </w:r>
      <w:r w:rsidR="00516D44" w:rsidRPr="00294BBF">
        <w:rPr>
          <w:color w:val="000000" w:themeColor="text1"/>
        </w:rPr>
        <w:t xml:space="preserve"> (T)</w:t>
      </w:r>
      <w:r w:rsidR="00C82331" w:rsidRPr="00294BBF">
        <w:rPr>
          <w:color w:val="000000" w:themeColor="text1"/>
        </w:rPr>
        <w:t xml:space="preserve"> and salinity</w:t>
      </w:r>
      <w:r w:rsidR="00516D44" w:rsidRPr="00294BBF">
        <w:rPr>
          <w:color w:val="000000" w:themeColor="text1"/>
        </w:rPr>
        <w:t xml:space="preserve"> (S)</w:t>
      </w:r>
      <w:r w:rsidR="001238B3" w:rsidRPr="00294BBF">
        <w:rPr>
          <w:color w:val="000000" w:themeColor="text1"/>
        </w:rPr>
        <w:t xml:space="preserve"> variables </w:t>
      </w:r>
      <w:r w:rsidR="008C013D" w:rsidRPr="00294BBF">
        <w:rPr>
          <w:color w:val="000000" w:themeColor="text1"/>
        </w:rPr>
        <w:t xml:space="preserve">representative of the </w:t>
      </w:r>
      <w:r w:rsidR="00F16686" w:rsidRPr="00294BBF">
        <w:rPr>
          <w:color w:val="000000" w:themeColor="text1"/>
        </w:rPr>
        <w:t xml:space="preserve">spawning </w:t>
      </w:r>
      <w:r w:rsidR="008C013D" w:rsidRPr="00294BBF">
        <w:rPr>
          <w:color w:val="000000" w:themeColor="text1"/>
        </w:rPr>
        <w:t xml:space="preserve">conditions experienced by adults and eggs </w:t>
      </w:r>
      <w:r w:rsidR="00F16686" w:rsidRPr="00294BBF">
        <w:rPr>
          <w:color w:val="000000" w:themeColor="text1"/>
        </w:rPr>
        <w:t>(hereafter referred to as T</w:t>
      </w:r>
      <w:r w:rsidR="00F16686" w:rsidRPr="00294BBF">
        <w:rPr>
          <w:color w:val="000000" w:themeColor="text1"/>
          <w:vertAlign w:val="subscript"/>
        </w:rPr>
        <w:t>SPAWN</w:t>
      </w:r>
      <w:r w:rsidR="00F16686" w:rsidRPr="00294BBF">
        <w:rPr>
          <w:color w:val="000000" w:themeColor="text1"/>
        </w:rPr>
        <w:t xml:space="preserve"> and S</w:t>
      </w:r>
      <w:r w:rsidR="00F16686" w:rsidRPr="00294BBF">
        <w:rPr>
          <w:color w:val="000000" w:themeColor="text1"/>
          <w:vertAlign w:val="subscript"/>
        </w:rPr>
        <w:t>SPAWN</w:t>
      </w:r>
      <w:r w:rsidR="00F16686" w:rsidRPr="00294BBF">
        <w:rPr>
          <w:color w:val="000000" w:themeColor="text1"/>
        </w:rPr>
        <w:t>)</w:t>
      </w:r>
      <w:r w:rsidR="008C013D" w:rsidRPr="00294BBF">
        <w:rPr>
          <w:color w:val="000000" w:themeColor="text1"/>
        </w:rPr>
        <w:t xml:space="preserve"> </w:t>
      </w:r>
      <w:r w:rsidR="001238B3" w:rsidRPr="00294BBF">
        <w:rPr>
          <w:color w:val="000000" w:themeColor="text1"/>
        </w:rPr>
        <w:t>were extracted from the</w:t>
      </w:r>
      <w:r w:rsidR="0091654F" w:rsidRPr="00294BBF">
        <w:rPr>
          <w:color w:val="000000" w:themeColor="text1"/>
        </w:rPr>
        <w:t xml:space="preserve"> </w:t>
      </w:r>
      <w:r w:rsidR="001238B3" w:rsidRPr="00294BBF">
        <w:rPr>
          <w:color w:val="000000" w:themeColor="text1"/>
        </w:rPr>
        <w:t>EN4 data</w:t>
      </w:r>
      <w:r w:rsidR="00A07738" w:rsidRPr="00294BBF">
        <w:rPr>
          <w:color w:val="000000" w:themeColor="text1"/>
        </w:rPr>
        <w:t xml:space="preserve"> set</w:t>
      </w:r>
      <w:r w:rsidR="001238B3" w:rsidRPr="00294BBF">
        <w:rPr>
          <w:color w:val="000000" w:themeColor="text1"/>
        </w:rPr>
        <w:t xml:space="preserve"> for </w:t>
      </w:r>
      <w:r w:rsidR="00C33904" w:rsidRPr="00294BBF">
        <w:rPr>
          <w:color w:val="000000" w:themeColor="text1"/>
        </w:rPr>
        <w:t xml:space="preserve">the </w:t>
      </w:r>
      <w:r w:rsidR="001D4241" w:rsidRPr="00294BBF">
        <w:rPr>
          <w:color w:val="000000" w:themeColor="text1"/>
        </w:rPr>
        <w:t>spatial</w:t>
      </w:r>
      <w:r w:rsidR="00C33904" w:rsidRPr="00294BBF">
        <w:rPr>
          <w:color w:val="000000" w:themeColor="text1"/>
        </w:rPr>
        <w:t xml:space="preserve"> location of each</w:t>
      </w:r>
      <w:r w:rsidR="001238B3" w:rsidRPr="00294BBF">
        <w:rPr>
          <w:color w:val="000000" w:themeColor="text1"/>
        </w:rPr>
        <w:t xml:space="preserve"> </w:t>
      </w:r>
      <w:r w:rsidR="00C33904" w:rsidRPr="00294BBF">
        <w:rPr>
          <w:color w:val="000000" w:themeColor="text1"/>
        </w:rPr>
        <w:t xml:space="preserve">CPR </w:t>
      </w:r>
      <w:r w:rsidR="001238B3" w:rsidRPr="00294BBF">
        <w:rPr>
          <w:color w:val="000000" w:themeColor="text1"/>
        </w:rPr>
        <w:t>observation (both presence and absence)</w:t>
      </w:r>
      <w:r w:rsidR="0011242A" w:rsidRPr="00294BBF">
        <w:rPr>
          <w:color w:val="000000" w:themeColor="text1"/>
        </w:rPr>
        <w:t xml:space="preserve"> </w:t>
      </w:r>
      <w:r w:rsidR="00C82331" w:rsidRPr="00294BBF">
        <w:rPr>
          <w:color w:val="000000" w:themeColor="text1"/>
        </w:rPr>
        <w:t xml:space="preserve">over the depth </w:t>
      </w:r>
      <w:r w:rsidR="004D5F81">
        <w:rPr>
          <w:color w:val="000000" w:themeColor="text1"/>
        </w:rPr>
        <w:t>bounds</w:t>
      </w:r>
      <w:r w:rsidR="004D5F81" w:rsidRPr="00294BBF">
        <w:rPr>
          <w:color w:val="000000" w:themeColor="text1"/>
        </w:rPr>
        <w:t xml:space="preserve"> </w:t>
      </w:r>
      <w:r w:rsidR="00C82331" w:rsidRPr="00294BBF">
        <w:rPr>
          <w:color w:val="000000" w:themeColor="text1"/>
        </w:rPr>
        <w:t>between 252 and 596 m</w:t>
      </w:r>
      <w:r w:rsidR="007207F9" w:rsidRPr="00294BBF">
        <w:rPr>
          <w:color w:val="000000" w:themeColor="text1"/>
        </w:rPr>
        <w:t xml:space="preserve"> </w:t>
      </w:r>
      <w:r w:rsidR="00A60918">
        <w:rPr>
          <w:color w:val="000000" w:themeColor="text1"/>
        </w:rPr>
        <w:t xml:space="preserve">(inclusive) </w:t>
      </w:r>
      <w:r w:rsidR="007207F9" w:rsidRPr="00294BBF">
        <w:rPr>
          <w:color w:val="000000" w:themeColor="text1"/>
        </w:rPr>
        <w:t>and averaged</w:t>
      </w:r>
      <w:r w:rsidR="005175F7">
        <w:rPr>
          <w:color w:val="000000" w:themeColor="text1"/>
        </w:rPr>
        <w:t xml:space="preserve"> vertically</w:t>
      </w:r>
      <w:r w:rsidR="00C33904" w:rsidRPr="00294BBF">
        <w:rPr>
          <w:color w:val="000000" w:themeColor="text1"/>
        </w:rPr>
        <w:t>. However, the environmental data used w</w:t>
      </w:r>
      <w:r w:rsidR="004B7DEA" w:rsidRPr="00294BBF">
        <w:rPr>
          <w:color w:val="000000" w:themeColor="text1"/>
        </w:rPr>
        <w:t>ere</w:t>
      </w:r>
      <w:r w:rsidR="00C33904" w:rsidRPr="00294BBF">
        <w:rPr>
          <w:color w:val="000000" w:themeColor="text1"/>
        </w:rPr>
        <w:t xml:space="preserve"> that </w:t>
      </w:r>
      <w:r w:rsidR="0011242A" w:rsidRPr="00294BBF">
        <w:rPr>
          <w:color w:val="000000" w:themeColor="text1"/>
        </w:rPr>
        <w:t xml:space="preserve">one </w:t>
      </w:r>
      <w:r w:rsidR="002710B5" w:rsidRPr="00294BBF">
        <w:rPr>
          <w:color w:val="000000" w:themeColor="text1"/>
        </w:rPr>
        <w:t>calendar</w:t>
      </w:r>
      <w:r w:rsidR="0091654F" w:rsidRPr="00294BBF">
        <w:rPr>
          <w:color w:val="000000" w:themeColor="text1"/>
        </w:rPr>
        <w:t xml:space="preserve"> </w:t>
      </w:r>
      <w:r w:rsidR="0011242A" w:rsidRPr="00294BBF">
        <w:rPr>
          <w:color w:val="000000" w:themeColor="text1"/>
        </w:rPr>
        <w:t xml:space="preserve">month prior to </w:t>
      </w:r>
      <w:r w:rsidR="004138D3" w:rsidRPr="00294BBF">
        <w:rPr>
          <w:color w:val="000000" w:themeColor="text1"/>
        </w:rPr>
        <w:t xml:space="preserve">the timing of the </w:t>
      </w:r>
      <w:r w:rsidR="0011242A" w:rsidRPr="00294BBF">
        <w:rPr>
          <w:color w:val="000000" w:themeColor="text1"/>
        </w:rPr>
        <w:t>CPR observation</w:t>
      </w:r>
      <w:r w:rsidR="001E0B75" w:rsidRPr="00294BBF">
        <w:rPr>
          <w:color w:val="000000" w:themeColor="text1"/>
        </w:rPr>
        <w:t xml:space="preserve"> to allow for the lag time between spawning and observation</w:t>
      </w:r>
      <w:r w:rsidR="00A36572" w:rsidRPr="00294BBF">
        <w:rPr>
          <w:color w:val="000000" w:themeColor="text1"/>
        </w:rPr>
        <w:t xml:space="preserve"> </w:t>
      </w:r>
      <w:r w:rsidR="00564924" w:rsidRPr="00294BBF">
        <w:rPr>
          <w:color w:val="000000" w:themeColor="text1"/>
        </w:rPr>
        <w:t>of</w:t>
      </w:r>
      <w:r w:rsidR="00E84901" w:rsidRPr="00294BBF">
        <w:rPr>
          <w:color w:val="000000" w:themeColor="text1"/>
        </w:rPr>
        <w:t xml:space="preserve"> larvae </w:t>
      </w:r>
      <w:r w:rsidR="00A36572" w:rsidRPr="00294BBF">
        <w:rPr>
          <w:color w:val="000000" w:themeColor="text1"/>
        </w:rPr>
        <w:t>in the CPR (</w:t>
      </w:r>
      <w:r w:rsidR="001E0B75" w:rsidRPr="00294BBF">
        <w:rPr>
          <w:color w:val="000000" w:themeColor="text1"/>
        </w:rPr>
        <w:t xml:space="preserve">within the </w:t>
      </w:r>
      <w:r w:rsidR="00A36572" w:rsidRPr="00294BBF">
        <w:rPr>
          <w:color w:val="000000" w:themeColor="text1"/>
        </w:rPr>
        <w:t>restrictions imposed by the</w:t>
      </w:r>
      <w:r w:rsidR="00DD3780">
        <w:rPr>
          <w:color w:val="000000" w:themeColor="text1"/>
        </w:rPr>
        <w:t xml:space="preserve"> monthly</w:t>
      </w:r>
      <w:r w:rsidR="00A36572" w:rsidRPr="00294BBF">
        <w:rPr>
          <w:color w:val="000000" w:themeColor="text1"/>
        </w:rPr>
        <w:t xml:space="preserve"> </w:t>
      </w:r>
      <w:r w:rsidR="001E0B75" w:rsidRPr="00294BBF">
        <w:rPr>
          <w:color w:val="000000" w:themeColor="text1"/>
        </w:rPr>
        <w:t>temporal resolution of EN4</w:t>
      </w:r>
      <w:r w:rsidR="00A36572" w:rsidRPr="00294BBF">
        <w:rPr>
          <w:color w:val="000000" w:themeColor="text1"/>
        </w:rPr>
        <w:t>)</w:t>
      </w:r>
      <w:r w:rsidR="0011242A" w:rsidRPr="00294BBF">
        <w:rPr>
          <w:color w:val="000000" w:themeColor="text1"/>
        </w:rPr>
        <w:t xml:space="preserve">. </w:t>
      </w:r>
      <w:r w:rsidR="00406360" w:rsidRPr="00294BBF">
        <w:rPr>
          <w:color w:val="000000" w:themeColor="text1"/>
        </w:rPr>
        <w:t xml:space="preserve">While drift of eggs and larvae during this one month may blur the relationship between the </w:t>
      </w:r>
      <w:r w:rsidR="006D133B" w:rsidRPr="00294BBF">
        <w:rPr>
          <w:color w:val="000000" w:themeColor="text1"/>
        </w:rPr>
        <w:t xml:space="preserve">actual </w:t>
      </w:r>
      <w:r w:rsidR="00406360" w:rsidRPr="00294BBF">
        <w:rPr>
          <w:color w:val="000000" w:themeColor="text1"/>
        </w:rPr>
        <w:t>environmental conditions</w:t>
      </w:r>
      <w:r w:rsidR="006D133B" w:rsidRPr="00294BBF">
        <w:rPr>
          <w:color w:val="000000" w:themeColor="text1"/>
        </w:rPr>
        <w:t xml:space="preserve"> </w:t>
      </w:r>
      <w:r w:rsidR="00C82AFC">
        <w:rPr>
          <w:color w:val="000000" w:themeColor="text1"/>
        </w:rPr>
        <w:t>in which they were spawned</w:t>
      </w:r>
      <w:r w:rsidR="00C82AFC" w:rsidRPr="00294BBF">
        <w:rPr>
          <w:color w:val="000000" w:themeColor="text1"/>
        </w:rPr>
        <w:t xml:space="preserve"> </w:t>
      </w:r>
      <w:r w:rsidR="006D133B" w:rsidRPr="00294BBF">
        <w:rPr>
          <w:color w:val="000000" w:themeColor="text1"/>
        </w:rPr>
        <w:t>and those used in the model</w:t>
      </w:r>
      <w:r w:rsidR="00406360" w:rsidRPr="00294BBF">
        <w:rPr>
          <w:color w:val="000000" w:themeColor="text1"/>
        </w:rPr>
        <w:t>, the error introduced is not expected to be worse than that due to the coarse scale (1 degree) of the EN4 product</w:t>
      </w:r>
      <w:r w:rsidR="008A703D">
        <w:rPr>
          <w:color w:val="000000" w:themeColor="text1"/>
        </w:rPr>
        <w:t xml:space="preserve"> and will be </w:t>
      </w:r>
      <w:r w:rsidR="00C67D9F">
        <w:rPr>
          <w:color w:val="000000" w:themeColor="text1"/>
        </w:rPr>
        <w:t>dampened</w:t>
      </w:r>
      <w:r w:rsidR="008A703D">
        <w:rPr>
          <w:color w:val="000000" w:themeColor="text1"/>
        </w:rPr>
        <w:t xml:space="preserve"> by the </w:t>
      </w:r>
      <w:r w:rsidR="00195593">
        <w:rPr>
          <w:color w:val="000000" w:themeColor="text1"/>
        </w:rPr>
        <w:t xml:space="preserve">strong </w:t>
      </w:r>
      <w:r w:rsidR="008A703D">
        <w:rPr>
          <w:color w:val="000000" w:themeColor="text1"/>
        </w:rPr>
        <w:t>spatial correlation</w:t>
      </w:r>
      <w:r w:rsidR="000144C8">
        <w:rPr>
          <w:color w:val="000000" w:themeColor="text1"/>
        </w:rPr>
        <w:t xml:space="preserve"> present</w:t>
      </w:r>
      <w:r w:rsidR="008A703D">
        <w:rPr>
          <w:color w:val="000000" w:themeColor="text1"/>
        </w:rPr>
        <w:t xml:space="preserve"> in these fields</w:t>
      </w:r>
      <w:r w:rsidR="00406360" w:rsidRPr="00294BBF">
        <w:rPr>
          <w:color w:val="000000" w:themeColor="text1"/>
        </w:rPr>
        <w:t xml:space="preserve">. Furthermore, preliminary analyses showed that the T and S at spawning depth within the month </w:t>
      </w:r>
      <w:r w:rsidR="006B4547" w:rsidRPr="00294BBF">
        <w:rPr>
          <w:color w:val="000000" w:themeColor="text1"/>
        </w:rPr>
        <w:t>of the</w:t>
      </w:r>
      <w:r w:rsidR="00406360" w:rsidRPr="00294BBF">
        <w:rPr>
          <w:color w:val="000000" w:themeColor="text1"/>
        </w:rPr>
        <w:t xml:space="preserve"> CPR </w:t>
      </w:r>
      <w:r w:rsidR="006B4547" w:rsidRPr="00294BBF">
        <w:rPr>
          <w:color w:val="000000" w:themeColor="text1"/>
        </w:rPr>
        <w:t xml:space="preserve">observation </w:t>
      </w:r>
      <w:r w:rsidR="00406360" w:rsidRPr="00294BBF">
        <w:rPr>
          <w:color w:val="000000" w:themeColor="text1"/>
        </w:rPr>
        <w:t>were highly correlated with T</w:t>
      </w:r>
      <w:r w:rsidR="00406360" w:rsidRPr="00294BBF">
        <w:rPr>
          <w:color w:val="000000" w:themeColor="text1"/>
          <w:vertAlign w:val="subscript"/>
        </w:rPr>
        <w:t>SPAWN</w:t>
      </w:r>
      <w:r w:rsidR="00406360" w:rsidRPr="00294BBF">
        <w:rPr>
          <w:color w:val="000000" w:themeColor="text1"/>
        </w:rPr>
        <w:t xml:space="preserve"> and S</w:t>
      </w:r>
      <w:r w:rsidR="00D62526" w:rsidRPr="00294BBF">
        <w:rPr>
          <w:color w:val="000000" w:themeColor="text1"/>
          <w:vertAlign w:val="subscript"/>
        </w:rPr>
        <w:t xml:space="preserve">SPAWN </w:t>
      </w:r>
      <w:r w:rsidR="00406360" w:rsidRPr="00294BBF">
        <w:rPr>
          <w:color w:val="000000" w:themeColor="text1"/>
        </w:rPr>
        <w:t xml:space="preserve">(correlation coefficient = 0.98) </w:t>
      </w:r>
      <w:r w:rsidR="006B4547" w:rsidRPr="00294BBF">
        <w:rPr>
          <w:color w:val="000000" w:themeColor="text1"/>
        </w:rPr>
        <w:t>indicative of the slow dynamics of these sub-surface water masses.</w:t>
      </w:r>
      <w:r w:rsidR="00406360" w:rsidRPr="00294BBF">
        <w:rPr>
          <w:color w:val="000000" w:themeColor="text1"/>
        </w:rPr>
        <w:t xml:space="preserve"> This approach to extracting environmental conditions therefore appears appropriate. </w:t>
      </w:r>
      <w:r w:rsidR="00406360" w:rsidRPr="00294BBF">
        <w:rPr>
          <w:color w:val="000000" w:themeColor="text1"/>
        </w:rPr>
        <w:lastRenderedPageBreak/>
        <w:t>Finally, in case</w:t>
      </w:r>
      <w:r w:rsidR="00CC7508" w:rsidRPr="00294BBF">
        <w:rPr>
          <w:color w:val="000000" w:themeColor="text1"/>
        </w:rPr>
        <w:t>s</w:t>
      </w:r>
      <w:r w:rsidR="00406360" w:rsidRPr="00294BBF">
        <w:rPr>
          <w:color w:val="000000" w:themeColor="text1"/>
        </w:rPr>
        <w:t xml:space="preserve"> where the water depth at the location of a CPR observation was shallower than 252 m, T and S closest to the sea floor were extracted.</w:t>
      </w:r>
    </w:p>
    <w:p w14:paraId="1E9AC4E1" w14:textId="7E51A8F3" w:rsidR="00127CAB" w:rsidRDefault="00BD07D5" w:rsidP="00564924">
      <w:pPr>
        <w:rPr>
          <w:color w:val="000000" w:themeColor="text1"/>
        </w:rPr>
      </w:pPr>
      <w:r w:rsidRPr="00294BBF">
        <w:rPr>
          <w:color w:val="000000" w:themeColor="text1"/>
        </w:rPr>
        <w:t xml:space="preserve">As a proxy for the environmental conditions experienced by blue whiting larvae at the time of capture </w:t>
      </w:r>
      <w:r w:rsidR="00566611">
        <w:rPr>
          <w:color w:val="000000" w:themeColor="text1"/>
        </w:rPr>
        <w:t>in</w:t>
      </w:r>
      <w:r w:rsidR="00566611" w:rsidRPr="00294BBF">
        <w:rPr>
          <w:color w:val="000000" w:themeColor="text1"/>
        </w:rPr>
        <w:t xml:space="preserve"> </w:t>
      </w:r>
      <w:r w:rsidRPr="00294BBF">
        <w:rPr>
          <w:color w:val="000000" w:themeColor="text1"/>
        </w:rPr>
        <w:t xml:space="preserve">the CPR, sea surface temperature (SST) and salinity (SSS) were extracted from the EN4 data set, corresponding to the average T and S between the sea surface and 10 m depth </w:t>
      </w:r>
      <w:r w:rsidRPr="00294BBF">
        <w:rPr>
          <w:color w:val="000000" w:themeColor="text1"/>
        </w:rPr>
        <w:fldChar w:fldCharType="begin" w:fldLock="1"/>
      </w:r>
      <w:r w:rsidR="00E40F45" w:rsidRPr="00294BBF">
        <w:rPr>
          <w:color w:val="000000" w:themeColor="text1"/>
        </w:rPr>
        <w:instrText>ADDIN CSL_CITATION { "citationItems" : [ { "id" : "ITEM-1", "itemData" : { "DOI" : "10.1002/2013JC009067", "ISSN" : "21699291", "abstract" : "[1] We present version 4 of the Met Office Hadley Centre \u2018\u2018EN\u2019\u2019 series of data sets of global quality controlled ocean temperature and salinity profiles and monthly objective analyses, which covers the period 1900 to present. We briefly describe the EN4 data sources, processing, quality control procedures, and the method of generating the analyses. In particular, we highlight improvements relative to previous versions, which include a new duplicate profile removal procedure and the inclusion of three new quality control checks. We discuss in detail a novel method for providing uncertainty estimates for the objective analyses and improving the background error variance estimates used by the analysis system. These were calculated using an iterative method that is relatively robust to initial misspecification of background error variances. We also show how the method can be used to identify issues with the analyses such as those caused by misspecification of error variances and demonstrate the impact of changes in the observing system on the uncertainty in the analyses.", "author" : [ { "dropping-particle" : "", "family" : "Good", "given" : "Simon A.", "non-dropping-particle" : "", "parse-names" : false, "suffix" : "" }, { "dropping-particle" : "", "family" : "Martin", "given" : "Matthew J.", "non-dropping-particle" : "", "parse-names" : false, "suffix" : "" }, { "dropping-particle" : "", "family" : "Rayner", "given" : "Nick A.", "non-dropping-particle" : "", "parse-names" : false, "suffix" : "" } ], "container-title" : "Journal of Geophysical Research: Oceans", "id" : "ITEM-1", "issue" : "12", "issued" : { "date-parts" : [ [ "2013" ] ] }, "page" : "6704-6716", "title" : "EN4: Quality controlled ocean temperature and salinity profiles and monthly objective analyses with uncertainty estimates", "type" : "article-journal", "volume" : "118" }, "uris" : [ "http://www.mendeley.com/documents/?uuid=ead36b9f-354a-4745-bfe8-df9633f1f365", "http://www.mendeley.com/documents/?uuid=24fedf60-8157-40ae-935d-80c3831bb936" ] } ], "mendeley" : { "formattedCitation" : "(Good &lt;i&gt;et al.&lt;/i&gt;, 2013)", "plainTextFormattedCitation" : "(Good et al., 2013)", "previouslyFormattedCitation" : "(Good &lt;i&gt;et al.&lt;/i&gt;, 2013)" }, "properties" : { "noteIndex" : 0 }, "schema" : "https://github.com/citation-style-language/schema/raw/master/csl-citation.json" }</w:instrText>
      </w:r>
      <w:r w:rsidRPr="00294BBF">
        <w:rPr>
          <w:color w:val="000000" w:themeColor="text1"/>
        </w:rPr>
        <w:fldChar w:fldCharType="separate"/>
      </w:r>
      <w:r w:rsidR="00E40F45" w:rsidRPr="00294BBF">
        <w:rPr>
          <w:noProof/>
          <w:color w:val="000000" w:themeColor="text1"/>
        </w:rPr>
        <w:t xml:space="preserve">(Good </w:t>
      </w:r>
      <w:r w:rsidR="006773E4" w:rsidRPr="006773E4">
        <w:rPr>
          <w:i/>
          <w:noProof/>
          <w:color w:val="000000" w:themeColor="text1"/>
        </w:rPr>
        <w:t>et al.</w:t>
      </w:r>
      <w:r w:rsidR="00E40F45" w:rsidRPr="00294BBF">
        <w:rPr>
          <w:noProof/>
          <w:color w:val="000000" w:themeColor="text1"/>
        </w:rPr>
        <w:t>, 2013)</w:t>
      </w:r>
      <w:r w:rsidRPr="00294BBF">
        <w:rPr>
          <w:color w:val="000000" w:themeColor="text1"/>
        </w:rPr>
        <w:fldChar w:fldCharType="end"/>
      </w:r>
      <w:r w:rsidRPr="00294BBF">
        <w:rPr>
          <w:color w:val="000000" w:themeColor="text1"/>
        </w:rPr>
        <w:t>.</w:t>
      </w:r>
      <w:r w:rsidR="00516D44" w:rsidRPr="00294BBF">
        <w:rPr>
          <w:color w:val="000000" w:themeColor="text1"/>
        </w:rPr>
        <w:t xml:space="preserve"> </w:t>
      </w:r>
      <w:r w:rsidR="00844646" w:rsidRPr="00294BBF">
        <w:rPr>
          <w:color w:val="000000" w:themeColor="text1"/>
        </w:rPr>
        <w:t>In this case, the data extracted from EN4 corre</w:t>
      </w:r>
      <w:r w:rsidR="0091654F" w:rsidRPr="00294BBF">
        <w:rPr>
          <w:color w:val="000000" w:themeColor="text1"/>
        </w:rPr>
        <w:t xml:space="preserve">sponded directly to the </w:t>
      </w:r>
      <w:r w:rsidR="0091654F" w:rsidRPr="00294BBF">
        <w:rPr>
          <w:color w:val="000000" w:themeColor="text1"/>
          <w:lang w:val="en-US"/>
        </w:rPr>
        <w:t>month of the CPR observation</w:t>
      </w:r>
      <w:r w:rsidR="0091654F" w:rsidRPr="00294BBF">
        <w:rPr>
          <w:color w:val="000000" w:themeColor="text1"/>
        </w:rPr>
        <w:t xml:space="preserve"> </w:t>
      </w:r>
      <w:r w:rsidR="00F95E8B" w:rsidRPr="00294BBF">
        <w:rPr>
          <w:color w:val="000000" w:themeColor="text1"/>
        </w:rPr>
        <w:t>(i.e. with no time lag).</w:t>
      </w:r>
    </w:p>
    <w:p w14:paraId="05D3E6CB" w14:textId="080D96FF" w:rsidR="00127CAB" w:rsidRDefault="002B1E30" w:rsidP="00564924">
      <w:pPr>
        <w:rPr>
          <w:color w:val="000000" w:themeColor="text1"/>
        </w:rPr>
      </w:pPr>
      <w:r w:rsidRPr="00294BBF">
        <w:rPr>
          <w:color w:val="000000" w:themeColor="text1"/>
        </w:rPr>
        <w:t xml:space="preserve">Oceanographic data for each CPR haul was complemented with </w:t>
      </w:r>
      <w:r w:rsidR="00FB71B2" w:rsidRPr="00294BBF">
        <w:rPr>
          <w:color w:val="000000" w:themeColor="text1"/>
        </w:rPr>
        <w:t xml:space="preserve">geographic-based variables. The water depth corresponding to each CPR observation was extracted by means of bilinear interpolation from NOAAs ETOPO1 product </w:t>
      </w:r>
      <w:r w:rsidR="00FB71B2" w:rsidRPr="00294BBF">
        <w:rPr>
          <w:color w:val="000000" w:themeColor="text1"/>
        </w:rPr>
        <w:fldChar w:fldCharType="begin" w:fldLock="1"/>
      </w:r>
      <w:r w:rsidR="00E40F45" w:rsidRPr="00294BBF">
        <w:rPr>
          <w:color w:val="000000" w:themeColor="text1"/>
        </w:rPr>
        <w:instrText>ADDIN CSL_CITATION { "citationItems" : [ { "id" : "ITEM-1", "itemData" : { "DOI" : "10.7289/V5C8276M", "author" : [ { "dropping-particle" : "", "family" : "Amante", "given" : "C.", "non-dropping-particle" : "", "parse-names" : false, "suffix" : "" }, { "dropping-particle" : "", "family" : "Eakins", "given" : "B.W.", "non-dropping-particle" : "", "parse-names" : false, "suffix" : "" } ], "collection-title" : "NOAA Technical Memorandum NESDIS NGDC 24", "id" : "ITEM-1", "issued" : { "date-parts" : [ [ "2009" ] ] }, "title" : "ETOPO1 1 Arc-Minute Global Relief Model: Procedures, Data Sources and Analysis. NOAA Technical Memorandum NESDIS NGDC 24", "type" : "report" }, "uris" : [ "http://www.mendeley.com/documents/?uuid=920ffb3f-1fdc-4d94-8f84-32e16593f9dd", "http://www.mendeley.com/documents/?uuid=c3260f6d-4b78-4fa4-b6d7-31a2994dbb62" ] } ], "mendeley" : { "formattedCitation" : "(Amante and Eakins, 2009)", "plainTextFormattedCitation" : "(Amante and Eakins, 2009)", "previouslyFormattedCitation" : "(Amante and Eakins, 2009)" }, "properties" : { "noteIndex" : 0 }, "schema" : "https://github.com/citation-style-language/schema/raw/master/csl-citation.json" }</w:instrText>
      </w:r>
      <w:r w:rsidR="00FB71B2" w:rsidRPr="00294BBF">
        <w:rPr>
          <w:color w:val="000000" w:themeColor="text1"/>
        </w:rPr>
        <w:fldChar w:fldCharType="separate"/>
      </w:r>
      <w:r w:rsidR="00E40F45" w:rsidRPr="00294BBF">
        <w:rPr>
          <w:noProof/>
          <w:color w:val="000000" w:themeColor="text1"/>
        </w:rPr>
        <w:t>(Amante and Eakins, 2009)</w:t>
      </w:r>
      <w:r w:rsidR="00FB71B2" w:rsidRPr="00294BBF">
        <w:rPr>
          <w:color w:val="000000" w:themeColor="text1"/>
        </w:rPr>
        <w:fldChar w:fldCharType="end"/>
      </w:r>
      <w:r w:rsidR="00FB71B2" w:rsidRPr="00294BBF">
        <w:rPr>
          <w:color w:val="000000" w:themeColor="text1"/>
        </w:rPr>
        <w:t xml:space="preserve">. The associated slope (in degrees) was computed according to </w:t>
      </w:r>
      <w:r w:rsidR="00FB71B2" w:rsidRPr="00294BBF">
        <w:rPr>
          <w:color w:val="000000" w:themeColor="text1"/>
        </w:rPr>
        <w:fldChar w:fldCharType="begin" w:fldLock="1"/>
      </w:r>
      <w:r w:rsidR="00AD6103" w:rsidRPr="00294BBF">
        <w:rPr>
          <w:color w:val="000000" w:themeColor="text1"/>
        </w:rPr>
        <w:instrText>ADDIN CSL_CITATION { "citationItems" : [ { "id" : "ITEM-1", "itemData" : { "author" : [ { "dropping-particle" : "", "family" : "Horn", "given" : "Berthold K P", "non-dropping-particle" : "", "parse-names" : false, "suffix" : "" } ], "container-title" : "Proceedings of the IEEE", "id" : "ITEM-1", "issued" : { "date-parts" : [ [ "1981" ] ] }, "page" : "14-47", "title" : "Hill Shading and the Reflectance Map", "type" : "article-journal", "volume" : "69" }, "uris" : [ "http://www.mendeley.com/documents/?uuid=59e936f2-c810-4770-b268-c5c7ffedefb9", "http://www.mendeley.com/documents/?uuid=0c70c12e-dde7-47b1-9221-9acc849eacff" ] } ], "mendeley" : { "formattedCitation" : "(Horn, 1981)", "manualFormatting" : "Horn (1981)", "plainTextFormattedCitation" : "(Horn, 1981)", "previouslyFormattedCitation" : "(Horn, 1981)" }, "properties" : { "noteIndex" : 0 }, "schema" : "https://github.com/citation-style-language/schema/raw/master/csl-citation.json" }</w:instrText>
      </w:r>
      <w:r w:rsidR="00FB71B2" w:rsidRPr="00294BBF">
        <w:rPr>
          <w:color w:val="000000" w:themeColor="text1"/>
        </w:rPr>
        <w:fldChar w:fldCharType="separate"/>
      </w:r>
      <w:r w:rsidR="00FB71B2" w:rsidRPr="00294BBF">
        <w:rPr>
          <w:noProof/>
          <w:color w:val="000000" w:themeColor="text1"/>
        </w:rPr>
        <w:t>Horn (1981)</w:t>
      </w:r>
      <w:r w:rsidR="00FB71B2" w:rsidRPr="00294BBF">
        <w:rPr>
          <w:color w:val="000000" w:themeColor="text1"/>
        </w:rPr>
        <w:fldChar w:fldCharType="end"/>
      </w:r>
      <w:r w:rsidR="00FB71B2" w:rsidRPr="00294BBF">
        <w:rPr>
          <w:color w:val="000000" w:themeColor="text1"/>
        </w:rPr>
        <w:t xml:space="preserve"> based on 8 neighbouring cells located adjacent to each grid point using the </w:t>
      </w:r>
      <w:r w:rsidR="00FB71B2" w:rsidRPr="00294BBF">
        <w:rPr>
          <w:rFonts w:ascii="Courier New" w:hAnsi="Courier New" w:cs="Courier New"/>
          <w:color w:val="000000" w:themeColor="text1"/>
        </w:rPr>
        <w:t>terrain</w:t>
      </w:r>
      <w:r w:rsidR="00FB71B2" w:rsidRPr="00294BBF">
        <w:rPr>
          <w:color w:val="000000" w:themeColor="text1"/>
        </w:rPr>
        <w:t>() function of the raster package (version 2.5.8;</w:t>
      </w:r>
      <w:r w:rsidR="00FA734B" w:rsidRPr="00294BBF">
        <w:rPr>
          <w:color w:val="000000" w:themeColor="text1"/>
        </w:rPr>
        <w:fldChar w:fldCharType="begin" w:fldLock="1"/>
      </w:r>
      <w:r w:rsidR="00FA734B" w:rsidRPr="00294BBF">
        <w:rPr>
          <w:color w:val="000000" w:themeColor="text1"/>
        </w:rPr>
        <w:instrText>ADDIN CSL_CITATION { "citationItems" : [ { "id" : "ITEM-1", "itemData" : { "author" : [ { "dropping-particle" : "", "family" : "Hijmans", "given" : "R J", "non-dropping-particle" : "", "parse-names" : false, "suffix" : "" } ], "id" : "ITEM-1", "issued" : { "date-parts" : [ [ "2016" ] ] }, "number" : "R package version 2.5-8", "title" : "raster: Geographic Data Analysis and Modeling.", "type" : "article" }, "uris" : [ "http://www.mendeley.com/documents/?uuid=a3004cd5-9adc-4980-b502-0b2f8f8a72b3" ] } ], "mendeley" : { "formattedCitation" : "(Hijmans, 2016)", "manualFormatting" : " Hijmans, 2016)", "plainTextFormattedCitation" : "(Hijmans, 2016)", "previouslyFormattedCitation" : "(Hijmans, 2016)" }, "properties" : { "noteIndex" : 0 }, "schema" : "https://github.com/citation-style-language/schema/raw/master/csl-citation.json" }</w:instrText>
      </w:r>
      <w:r w:rsidR="00FA734B" w:rsidRPr="00294BBF">
        <w:rPr>
          <w:color w:val="000000" w:themeColor="text1"/>
        </w:rPr>
        <w:fldChar w:fldCharType="separate"/>
      </w:r>
      <w:r w:rsidR="00FA734B" w:rsidRPr="00294BBF">
        <w:rPr>
          <w:noProof/>
          <w:color w:val="000000" w:themeColor="text1"/>
        </w:rPr>
        <w:t xml:space="preserve"> Hijmans, 2016)</w:t>
      </w:r>
      <w:r w:rsidR="00FA734B" w:rsidRPr="00294BBF">
        <w:rPr>
          <w:color w:val="000000" w:themeColor="text1"/>
        </w:rPr>
        <w:fldChar w:fldCharType="end"/>
      </w:r>
      <w:r w:rsidR="00FB71B2" w:rsidRPr="00294BBF">
        <w:rPr>
          <w:color w:val="000000" w:themeColor="text1"/>
        </w:rPr>
        <w:t xml:space="preserve"> in R</w:t>
      </w:r>
      <w:r w:rsidR="00331A37" w:rsidRPr="00294BBF">
        <w:rPr>
          <w:color w:val="000000" w:themeColor="text1"/>
        </w:rPr>
        <w:t xml:space="preserve"> </w:t>
      </w:r>
      <w:r w:rsidR="00FA734B" w:rsidRPr="00294BBF">
        <w:rPr>
          <w:color w:val="000000" w:themeColor="text1"/>
        </w:rPr>
        <w:fldChar w:fldCharType="begin" w:fldLock="1"/>
      </w:r>
      <w:r w:rsidR="00FA734B" w:rsidRPr="00294BBF">
        <w:rPr>
          <w:color w:val="000000" w:themeColor="text1"/>
        </w:rPr>
        <w:instrText>ADDIN CSL_CITATION { "citationItems" : [ { "id" : "ITEM-1", "itemData" : { "author" : [ { "dropping-particle" : "", "family" : "R Core Team", "given" : "", "non-dropping-particle" : "", "parse-names" : false, "suffix" : "" } ], "id" : "ITEM-1", "issued" : { "date-parts" : [ [ "2016" ] ] }, "number" : "3.3.2", "publisher" : "R Foundation for Statistical Computing", "publisher-place" : "Vienna", "title" : "R: A language and environment for statistical computing", "type" : "article" }, "uris" : [ "http://www.mendeley.com/documents/?uuid=1c5d2760-4da1-4acd-bfc9-393c31a738a5" ] } ], "mendeley" : { "formattedCitation" : "(R Core Team, 2016)", "manualFormatting" : "(version 3.3.2; R Core Team, 2016)", "plainTextFormattedCitation" : "(R Core Team, 2016)", "previouslyFormattedCitation" : "(R Core Team, 2016)" }, "properties" : { "noteIndex" : 0 }, "schema" : "https://github.com/citation-style-language/schema/raw/master/csl-citation.json" }</w:instrText>
      </w:r>
      <w:r w:rsidR="00FA734B" w:rsidRPr="00294BBF">
        <w:rPr>
          <w:color w:val="000000" w:themeColor="text1"/>
        </w:rPr>
        <w:fldChar w:fldCharType="separate"/>
      </w:r>
      <w:r w:rsidR="00FA734B" w:rsidRPr="00294BBF">
        <w:rPr>
          <w:noProof/>
          <w:color w:val="000000" w:themeColor="text1"/>
        </w:rPr>
        <w:t>(version 3.3.2; R Core Team, 2016)</w:t>
      </w:r>
      <w:r w:rsidR="00FA734B" w:rsidRPr="00294BBF">
        <w:rPr>
          <w:color w:val="000000" w:themeColor="text1"/>
        </w:rPr>
        <w:fldChar w:fldCharType="end"/>
      </w:r>
      <w:r w:rsidR="00FA734B" w:rsidRPr="00294BBF">
        <w:rPr>
          <w:color w:val="000000" w:themeColor="text1"/>
        </w:rPr>
        <w:t>.</w:t>
      </w:r>
      <w:r w:rsidR="00FB71B2" w:rsidRPr="00294BBF">
        <w:rPr>
          <w:color w:val="000000" w:themeColor="text1"/>
        </w:rPr>
        <w:t xml:space="preserve"> </w:t>
      </w:r>
    </w:p>
    <w:p w14:paraId="34D4F02A" w14:textId="764F1C07" w:rsidR="00FB71B2" w:rsidRPr="00294BBF" w:rsidRDefault="004F3605" w:rsidP="00564924">
      <w:pPr>
        <w:rPr>
          <w:color w:val="000000" w:themeColor="text1"/>
        </w:rPr>
      </w:pPr>
      <w:r w:rsidRPr="00294BBF">
        <w:rPr>
          <w:color w:val="000000" w:themeColor="text1"/>
        </w:rPr>
        <w:t>It is hypothesised that</w:t>
      </w:r>
      <w:r w:rsidR="00CC78EA" w:rsidRPr="00294BBF">
        <w:rPr>
          <w:color w:val="000000" w:themeColor="text1"/>
        </w:rPr>
        <w:t xml:space="preserve"> blue whiting </w:t>
      </w:r>
      <w:r w:rsidRPr="00294BBF">
        <w:rPr>
          <w:color w:val="000000" w:themeColor="text1"/>
        </w:rPr>
        <w:t>larvae perform diel vertical migrations</w:t>
      </w:r>
      <w:r w:rsidR="00CC78EA" w:rsidRPr="00294BBF">
        <w:rPr>
          <w:color w:val="000000" w:themeColor="text1"/>
        </w:rPr>
        <w:t xml:space="preserve"> </w:t>
      </w:r>
      <w:r w:rsidRPr="00294BBF">
        <w:rPr>
          <w:color w:val="000000" w:themeColor="text1"/>
        </w:rPr>
        <w:t xml:space="preserve">by ascending to the surface waters during dusk and dawn </w:t>
      </w:r>
      <w:r w:rsidRPr="00294BBF">
        <w:rPr>
          <w:color w:val="000000" w:themeColor="text1"/>
        </w:rPr>
        <w:fldChar w:fldCharType="begin" w:fldLock="1"/>
      </w:r>
      <w:r w:rsidR="00065C02" w:rsidRPr="00294BBF">
        <w:rPr>
          <w:color w:val="000000" w:themeColor="text1"/>
        </w:rPr>
        <w:instrText>ADDIN CSL_CITATION { "citationItems" : [ { "id" : "ITEM-1", "itemData" : { "DOI" : "10.1111/j.1095-8649.2000.tb00488.x", "ISSN" : "1095-8649", "abstract" : "In April 1995 a patch of blue whiting larvae Micromesistius poutassou was found at low illumination levels below 20 m depth near Porcupine Bank, west of Ireland, together with high densities of copepod nauplii and reduced turbulence rates, suggesting that larval blue whiting vertical distribution was determined by prey concentration, illumination and turbulence. Most (83\u00b78%) larvae (2\u00b70\u20137\u00b75 mm Ls) had food in their guts. Feeding incidence and feeding intensities increased with increasing larval length. Only larvae &gt;5\u00b75 mm reduced numerical in favour of weight-based feeding intensity, indicating a shift in dietary composition. Maxima of the diel rhythms of feeding incidence and intensities occurred at 1800 and 2100 hours and minima at dawn (0600 hours). Proportionately, more nauplii were eaten by day but more copepod eggs and tintinnids at night. The distinct diel pattern in larval blue whiting feeding suggests that any analysis of factors mediating feeding must take into account diel feeding cycles. Larval feeding was significantly affected by wind speed. The larvae ate more and larger items at low than at higher turbulence levels. The data suggest that the maximum level of turbulence was not beneficial for larval blue whiting, but more moderate wind speeds could have had an enhancing effect on larval feeding success.", "author" : [ { "dropping-particle" : "", "family" : "Hillgruber", "given" : "Nicola", "non-dropping-particle" : "", "parse-names" : false, "suffix" : "" }, { "dropping-particle" : "", "family" : "Kloppmann", "given" : "M", "non-dropping-particle" : "", "parse-names" : false, "suffix" : "" } ], "container-title" : "Journal of Fish Biology", "id" : "ITEM-1", "issue" : "5", "issued" : { "date-parts" : [ [ "2000" ] ] }, "page" : "1290-1311", "title" : "Vertical distribution and feeding of larval blue whiting in turbulent waters above Porcupine Bank", "type" : "article-journal", "volume" : "57" }, "uris" : [ "http://www.mendeley.com/documents/?uuid=509e9d33-c898-45a8-9994-8ad9840ac922" ] } ], "mendeley" : { "formattedCitation" : "(Hillgruber and Kloppmann, 2000)", "plainTextFormattedCitation" : "(Hillgruber and Kloppmann, 2000)", "previouslyFormattedCitation" : "(Hillgruber and Kloppmann, 2000)" }, "properties" : { "noteIndex" : 0 }, "schema" : "https://github.com/citation-style-language/schema/raw/master/csl-citation.json" }</w:instrText>
      </w:r>
      <w:r w:rsidRPr="00294BBF">
        <w:rPr>
          <w:color w:val="000000" w:themeColor="text1"/>
        </w:rPr>
        <w:fldChar w:fldCharType="separate"/>
      </w:r>
      <w:r w:rsidRPr="00294BBF">
        <w:rPr>
          <w:noProof/>
          <w:color w:val="000000" w:themeColor="text1"/>
        </w:rPr>
        <w:t>(Hillgruber and Kloppmann, 2000)</w:t>
      </w:r>
      <w:r w:rsidRPr="00294BBF">
        <w:rPr>
          <w:color w:val="000000" w:themeColor="text1"/>
        </w:rPr>
        <w:fldChar w:fldCharType="end"/>
      </w:r>
      <w:r w:rsidRPr="00294BBF">
        <w:rPr>
          <w:color w:val="000000" w:themeColor="text1"/>
        </w:rPr>
        <w:t xml:space="preserve">, which could affect the CPR’s capture efficiency as pointed out by </w:t>
      </w:r>
      <w:r w:rsidRPr="00294BBF">
        <w:rPr>
          <w:color w:val="000000" w:themeColor="text1"/>
        </w:rPr>
        <w:fldChar w:fldCharType="begin" w:fldLock="1"/>
      </w:r>
      <w:r w:rsidR="00041FF2" w:rsidRPr="00294BBF">
        <w:rPr>
          <w:color w:val="000000" w:themeColor="text1"/>
        </w:rPr>
        <w:instrText>ADDIN CSL_CITATION { "citationItems" : [ { "id" : "ITEM-1", "itemData" : { "DOI" : "10.1371/journal.pone.0106237", "author" : [ { "dropping-particle" : "", "family" : "Pointin", "given" : "Fabien", "non-dropping-particle" : "", "parse-names" : false, "suffix" : "" }, { "dropping-particle" : "", "family" : "Payne", "given" : "Mark R.", "non-dropping-particle" : "", "parse-names" : false, "suffix" : "" } ], "container-title" : "PloS ONE", "id" : "ITEM-1", "issue" : "9", "issued" : { "date-parts" : [ [ "2014" ] ] }, "page" : "1-11", "title" : "A Resolution to the Blue Whiting (Micromesistius poutassou) Population Paradox?", "type" : "article-journal", "volume" : "9" }, "uris" : [ "http://www.mendeley.com/documents/?uuid=6a6f494c-8d8f-4687-b6e3-cf82728f52eb" ] } ], "mendeley" : { "formattedCitation" : "(Pointin and Payne, 2014)", "manualFormatting" : "Pointin and Payne (2014)", "plainTextFormattedCitation" : "(Pointin and Payne, 2014)", "previouslyFormattedCitation" : "(Pointin and Payne, 2014)" }, "properties" : { "noteIndex" : 0 }, "schema" : "https://github.com/citation-style-language/schema/raw/master/csl-citation.json" }</w:instrText>
      </w:r>
      <w:r w:rsidRPr="00294BBF">
        <w:rPr>
          <w:color w:val="000000" w:themeColor="text1"/>
        </w:rPr>
        <w:fldChar w:fldCharType="separate"/>
      </w:r>
      <w:r w:rsidRPr="00294BBF">
        <w:rPr>
          <w:noProof/>
          <w:color w:val="000000" w:themeColor="text1"/>
        </w:rPr>
        <w:t>Pointin and Payne (2014)</w:t>
      </w:r>
      <w:r w:rsidRPr="00294BBF">
        <w:rPr>
          <w:color w:val="000000" w:themeColor="text1"/>
        </w:rPr>
        <w:fldChar w:fldCharType="end"/>
      </w:r>
      <w:r w:rsidRPr="00294BBF">
        <w:rPr>
          <w:color w:val="000000" w:themeColor="text1"/>
        </w:rPr>
        <w:t xml:space="preserve">. To </w:t>
      </w:r>
      <w:r w:rsidR="00F010E2">
        <w:rPr>
          <w:color w:val="000000" w:themeColor="text1"/>
        </w:rPr>
        <w:t>quantify</w:t>
      </w:r>
      <w:r w:rsidR="00F010E2" w:rsidRPr="00294BBF">
        <w:rPr>
          <w:color w:val="000000" w:themeColor="text1"/>
        </w:rPr>
        <w:t xml:space="preserve"> </w:t>
      </w:r>
      <w:r w:rsidRPr="00294BBF">
        <w:rPr>
          <w:color w:val="000000" w:themeColor="text1"/>
        </w:rPr>
        <w:t xml:space="preserve">light conditions in the upper water column </w:t>
      </w:r>
      <w:r w:rsidR="00060C15">
        <w:rPr>
          <w:color w:val="000000" w:themeColor="text1"/>
        </w:rPr>
        <w:t>at the time of capture</w:t>
      </w:r>
      <w:r w:rsidRPr="00294BBF">
        <w:rPr>
          <w:color w:val="000000" w:themeColor="text1"/>
        </w:rPr>
        <w:t xml:space="preserve">, the angle of the sun measured from the horizon upwards </w:t>
      </w:r>
      <w:r w:rsidR="00FB71B2" w:rsidRPr="00294BBF">
        <w:rPr>
          <w:color w:val="000000" w:themeColor="text1"/>
        </w:rPr>
        <w:t xml:space="preserve">at the time and point of observation was calculated using the </w:t>
      </w:r>
      <w:proofErr w:type="spellStart"/>
      <w:r w:rsidR="00FB71B2" w:rsidRPr="00294BBF">
        <w:rPr>
          <w:rFonts w:ascii="Courier New" w:hAnsi="Courier New" w:cs="Courier New"/>
          <w:color w:val="000000" w:themeColor="text1"/>
        </w:rPr>
        <w:t>solarpos</w:t>
      </w:r>
      <w:proofErr w:type="spellEnd"/>
      <w:r w:rsidR="00FB71B2" w:rsidRPr="00294BBF">
        <w:rPr>
          <w:color w:val="000000" w:themeColor="text1"/>
        </w:rPr>
        <w:t xml:space="preserve">() function in the </w:t>
      </w:r>
      <w:proofErr w:type="spellStart"/>
      <w:r w:rsidR="00FB71B2" w:rsidRPr="00294BBF">
        <w:rPr>
          <w:color w:val="000000" w:themeColor="text1"/>
        </w:rPr>
        <w:t>maptools</w:t>
      </w:r>
      <w:proofErr w:type="spellEnd"/>
      <w:r w:rsidR="00FB71B2" w:rsidRPr="00294BBF">
        <w:rPr>
          <w:color w:val="000000" w:themeColor="text1"/>
        </w:rPr>
        <w:t xml:space="preserve"> package </w:t>
      </w:r>
      <w:r w:rsidR="00FB71B2" w:rsidRPr="00294BBF">
        <w:rPr>
          <w:color w:val="000000" w:themeColor="text1"/>
        </w:rPr>
        <w:fldChar w:fldCharType="begin" w:fldLock="1"/>
      </w:r>
      <w:r w:rsidR="00FA734B" w:rsidRPr="00294BBF">
        <w:rPr>
          <w:color w:val="000000" w:themeColor="text1"/>
        </w:rPr>
        <w:instrText>ADDIN CSL_CITATION { "citationItems" : [ { "id" : "ITEM-1", "itemData" : { "author" : [ { "dropping-particle" : "", "family" : "Bivand", "given" : "Rodger S.", "non-dropping-particle" : "", "parse-names" : false, "suffix" : "" }, { "dropping-particle" : "", "family" : "Lewin-Koh", "given" : "Nicholas", "non-dropping-particle" : "", "parse-names" : false, "suffix" : "" } ], "id" : "ITEM-1", "issued" : { "date-parts" : [ [ "2015" ] ] }, "number" : "R package version 0.8-34.", "title" : "maptools: Tools for Reading and Handling Spatial Objects.", "type" : "article" }, "uris" : [ "http://www.mendeley.com/documents/?uuid=25278660-9b5d-4d3f-855b-48a3bffb6346", "http://www.mendeley.com/documents/?uuid=13e79810-02ea-4786-9cf5-370402e09981" ] } ], "mendeley" : { "formattedCitation" : "(Bivand and Lewin-Koh, 2015)", "manualFormatting" : "(version 0.8.39; Bivand and Lewin-Koh 2015)", "plainTextFormattedCitation" : "(Bivand and Lewin-Koh, 2015)", "previouslyFormattedCitation" : "(Bivand and Lewin-Koh, 2015)" }, "properties" : { "noteIndex" : 0 }, "schema" : "https://github.com/citation-style-language/schema/raw/master/csl-citation.json" }</w:instrText>
      </w:r>
      <w:r w:rsidR="00FB71B2" w:rsidRPr="00294BBF">
        <w:rPr>
          <w:color w:val="000000" w:themeColor="text1"/>
        </w:rPr>
        <w:fldChar w:fldCharType="separate"/>
      </w:r>
      <w:r w:rsidR="00FA734B" w:rsidRPr="00294BBF">
        <w:rPr>
          <w:noProof/>
          <w:color w:val="000000" w:themeColor="text1"/>
        </w:rPr>
        <w:t>(version 0.8.39;</w:t>
      </w:r>
      <w:r w:rsidR="00FB71B2" w:rsidRPr="00294BBF">
        <w:rPr>
          <w:noProof/>
          <w:color w:val="000000" w:themeColor="text1"/>
        </w:rPr>
        <w:t xml:space="preserve"> Bivand and Lewin-Koh 2015)</w:t>
      </w:r>
      <w:r w:rsidR="00FB71B2" w:rsidRPr="00294BBF">
        <w:rPr>
          <w:color w:val="000000" w:themeColor="text1"/>
        </w:rPr>
        <w:fldChar w:fldCharType="end"/>
      </w:r>
      <w:r w:rsidR="00FB71B2" w:rsidRPr="00294BBF">
        <w:rPr>
          <w:color w:val="000000" w:themeColor="text1"/>
        </w:rPr>
        <w:t xml:space="preserve"> in R</w:t>
      </w:r>
      <w:r w:rsidR="00CC78EA" w:rsidRPr="00294BBF">
        <w:rPr>
          <w:color w:val="000000" w:themeColor="text1"/>
        </w:rPr>
        <w:t>.</w:t>
      </w:r>
    </w:p>
    <w:p w14:paraId="34198822" w14:textId="28C6B974" w:rsidR="00C27032" w:rsidRPr="00294BBF" w:rsidRDefault="0087752B" w:rsidP="00161B41">
      <w:pPr>
        <w:pStyle w:val="Overskrift3"/>
        <w:rPr>
          <w:color w:val="000000" w:themeColor="text1"/>
        </w:rPr>
      </w:pPr>
      <w:r w:rsidRPr="00294BBF">
        <w:rPr>
          <w:color w:val="000000" w:themeColor="text1"/>
        </w:rPr>
        <w:t xml:space="preserve">Marine </w:t>
      </w:r>
      <w:r w:rsidR="00161B41" w:rsidRPr="00294BBF">
        <w:rPr>
          <w:color w:val="000000" w:themeColor="text1"/>
        </w:rPr>
        <w:t>environment of the study region</w:t>
      </w:r>
    </w:p>
    <w:p w14:paraId="61BBD097" w14:textId="52341278" w:rsidR="00AE7EA3" w:rsidRPr="00294BBF" w:rsidRDefault="007B0E6B" w:rsidP="002B6A40">
      <w:pPr>
        <w:rPr>
          <w:rFonts w:eastAsiaTheme="minorHAnsi"/>
          <w:color w:val="000000" w:themeColor="text1"/>
        </w:rPr>
      </w:pPr>
      <w:r w:rsidRPr="00294BBF">
        <w:rPr>
          <w:color w:val="000000" w:themeColor="text1"/>
        </w:rPr>
        <w:lastRenderedPageBreak/>
        <w:t xml:space="preserve">We calculated </w:t>
      </w:r>
      <w:r w:rsidR="00764321" w:rsidRPr="00294BBF">
        <w:rPr>
          <w:color w:val="000000" w:themeColor="text1"/>
        </w:rPr>
        <w:t xml:space="preserve">a </w:t>
      </w:r>
      <w:r w:rsidRPr="00294BBF">
        <w:rPr>
          <w:color w:val="000000" w:themeColor="text1"/>
        </w:rPr>
        <w:t>time series indicati</w:t>
      </w:r>
      <w:r w:rsidR="00115062" w:rsidRPr="00294BBF">
        <w:rPr>
          <w:color w:val="000000" w:themeColor="text1"/>
        </w:rPr>
        <w:t xml:space="preserve">ve of the </w:t>
      </w:r>
      <w:r w:rsidR="00F374AD" w:rsidRPr="00294BBF">
        <w:rPr>
          <w:color w:val="000000" w:themeColor="text1"/>
        </w:rPr>
        <w:t xml:space="preserve">state of the </w:t>
      </w:r>
      <w:r w:rsidR="00115062" w:rsidRPr="00294BBF">
        <w:rPr>
          <w:color w:val="000000" w:themeColor="text1"/>
        </w:rPr>
        <w:t xml:space="preserve">marine </w:t>
      </w:r>
      <w:r w:rsidR="009D160F" w:rsidRPr="00294BBF">
        <w:rPr>
          <w:color w:val="000000" w:themeColor="text1"/>
        </w:rPr>
        <w:t xml:space="preserve">environment </w:t>
      </w:r>
      <w:r w:rsidR="00115062" w:rsidRPr="00294BBF">
        <w:rPr>
          <w:color w:val="000000" w:themeColor="text1"/>
        </w:rPr>
        <w:t xml:space="preserve">in </w:t>
      </w:r>
      <w:r w:rsidR="00F374AD" w:rsidRPr="00294BBF">
        <w:rPr>
          <w:color w:val="000000" w:themeColor="text1"/>
        </w:rPr>
        <w:t xml:space="preserve">the spawning region of </w:t>
      </w:r>
      <w:r w:rsidR="004E20C3" w:rsidRPr="00294BBF">
        <w:rPr>
          <w:color w:val="000000" w:themeColor="text1"/>
        </w:rPr>
        <w:t xml:space="preserve">blue whiting from </w:t>
      </w:r>
      <w:r w:rsidR="004E20C3" w:rsidRPr="00294BBF">
        <w:rPr>
          <w:rFonts w:eastAsiaTheme="minorHAnsi"/>
          <w:color w:val="000000" w:themeColor="text1"/>
        </w:rPr>
        <w:t xml:space="preserve">1951 to 2016 </w:t>
      </w:r>
      <w:r w:rsidRPr="00294BBF">
        <w:rPr>
          <w:rFonts w:eastAsiaTheme="minorHAnsi"/>
          <w:color w:val="000000" w:themeColor="text1"/>
        </w:rPr>
        <w:t>(</w:t>
      </w:r>
      <w:r w:rsidR="00570806">
        <w:rPr>
          <w:rFonts w:eastAsiaTheme="minorHAnsi"/>
          <w:color w:val="000000" w:themeColor="text1"/>
        </w:rPr>
        <w:t xml:space="preserve">red box, </w:t>
      </w:r>
      <w:r w:rsidR="00433CC3" w:rsidRPr="00294BBF">
        <w:rPr>
          <w:noProof/>
          <w:color w:val="000000" w:themeColor="text1"/>
        </w:rPr>
        <w:t>Fig. 2</w:t>
      </w:r>
      <w:r w:rsidR="00570806">
        <w:rPr>
          <w:noProof/>
          <w:color w:val="000000" w:themeColor="text1"/>
        </w:rPr>
        <w:t>a</w:t>
      </w:r>
      <w:r w:rsidRPr="00294BBF">
        <w:rPr>
          <w:rFonts w:eastAsiaTheme="minorHAnsi"/>
          <w:color w:val="000000" w:themeColor="text1"/>
        </w:rPr>
        <w:t xml:space="preserve">) </w:t>
      </w:r>
      <w:r w:rsidRPr="00294BBF">
        <w:rPr>
          <w:color w:val="000000" w:themeColor="text1"/>
        </w:rPr>
        <w:t>by</w:t>
      </w:r>
      <w:r w:rsidRPr="00294BBF">
        <w:rPr>
          <w:rFonts w:eastAsiaTheme="minorHAnsi"/>
          <w:color w:val="000000" w:themeColor="text1"/>
        </w:rPr>
        <w:t xml:space="preserve"> </w:t>
      </w:r>
      <w:r w:rsidR="004456C9" w:rsidRPr="00294BBF">
        <w:rPr>
          <w:rFonts w:eastAsiaTheme="minorHAnsi"/>
          <w:color w:val="000000" w:themeColor="text1"/>
        </w:rPr>
        <w:t>area-weighted</w:t>
      </w:r>
      <w:r w:rsidR="00290B86" w:rsidRPr="00294BBF">
        <w:rPr>
          <w:rFonts w:eastAsiaTheme="minorHAnsi"/>
          <w:color w:val="000000" w:themeColor="text1"/>
        </w:rPr>
        <w:t xml:space="preserve"> averages of </w:t>
      </w:r>
      <w:r w:rsidR="006212CF" w:rsidRPr="00294BBF">
        <w:rPr>
          <w:rFonts w:eastAsiaTheme="minorHAnsi"/>
          <w:color w:val="000000" w:themeColor="text1"/>
        </w:rPr>
        <w:t>T</w:t>
      </w:r>
      <w:r w:rsidR="00210BD7" w:rsidRPr="00294BBF">
        <w:rPr>
          <w:rFonts w:eastAsiaTheme="minorHAnsi"/>
          <w:color w:val="000000" w:themeColor="text1"/>
        </w:rPr>
        <w:t xml:space="preserve"> </w:t>
      </w:r>
      <w:r w:rsidR="00764321" w:rsidRPr="00294BBF">
        <w:rPr>
          <w:rFonts w:eastAsiaTheme="minorHAnsi"/>
          <w:color w:val="000000" w:themeColor="text1"/>
        </w:rPr>
        <w:t xml:space="preserve">and </w:t>
      </w:r>
      <w:r w:rsidR="006212CF" w:rsidRPr="00294BBF">
        <w:rPr>
          <w:rFonts w:eastAsiaTheme="minorHAnsi"/>
          <w:color w:val="000000" w:themeColor="text1"/>
        </w:rPr>
        <w:t>S</w:t>
      </w:r>
      <w:r w:rsidR="00764321" w:rsidRPr="00294BBF">
        <w:rPr>
          <w:rFonts w:eastAsiaTheme="minorHAnsi"/>
          <w:color w:val="000000" w:themeColor="text1"/>
        </w:rPr>
        <w:t xml:space="preserve"> </w:t>
      </w:r>
      <w:r w:rsidR="00115062" w:rsidRPr="00294BBF">
        <w:rPr>
          <w:rFonts w:eastAsiaTheme="minorHAnsi"/>
          <w:color w:val="000000" w:themeColor="text1"/>
        </w:rPr>
        <w:t xml:space="preserve">over blue whiting’s spawning depth </w:t>
      </w:r>
      <w:r w:rsidR="00FA734B" w:rsidRPr="00294BBF">
        <w:rPr>
          <w:rFonts w:eastAsiaTheme="minorHAnsi"/>
          <w:color w:val="000000" w:themeColor="text1"/>
        </w:rPr>
        <w:t>(~250 -</w:t>
      </w:r>
      <w:r w:rsidR="004D69D4" w:rsidRPr="00294BBF">
        <w:rPr>
          <w:rFonts w:eastAsiaTheme="minorHAnsi"/>
          <w:color w:val="000000" w:themeColor="text1"/>
        </w:rPr>
        <w:t xml:space="preserve"> 600m) </w:t>
      </w:r>
      <w:r w:rsidR="00C27032" w:rsidRPr="00294BBF">
        <w:rPr>
          <w:rFonts w:eastAsiaTheme="minorHAnsi"/>
          <w:color w:val="000000" w:themeColor="text1"/>
        </w:rPr>
        <w:t>in</w:t>
      </w:r>
      <w:r w:rsidR="00A118E3" w:rsidRPr="00294BBF">
        <w:rPr>
          <w:rFonts w:eastAsiaTheme="minorHAnsi"/>
          <w:color w:val="000000" w:themeColor="text1"/>
        </w:rPr>
        <w:t xml:space="preserve"> regions with water depths </w:t>
      </w:r>
      <w:r w:rsidR="00AE7EA3" w:rsidRPr="00294BBF">
        <w:rPr>
          <w:rFonts w:eastAsiaTheme="minorHAnsi"/>
          <w:color w:val="000000" w:themeColor="text1"/>
        </w:rPr>
        <w:t>≥ 60</w:t>
      </w:r>
      <w:r w:rsidR="00C27032" w:rsidRPr="00294BBF">
        <w:rPr>
          <w:rFonts w:eastAsiaTheme="minorHAnsi"/>
          <w:color w:val="000000" w:themeColor="text1"/>
        </w:rPr>
        <w:t>0 m</w:t>
      </w:r>
      <w:r w:rsidRPr="00294BBF">
        <w:rPr>
          <w:rFonts w:eastAsiaTheme="minorHAnsi"/>
          <w:color w:val="000000" w:themeColor="text1"/>
        </w:rPr>
        <w:t xml:space="preserve"> </w:t>
      </w:r>
      <w:r w:rsidR="00764321" w:rsidRPr="00294BBF">
        <w:rPr>
          <w:rFonts w:eastAsiaTheme="minorHAnsi"/>
          <w:color w:val="000000" w:themeColor="text1"/>
        </w:rPr>
        <w:t>for each year during the main spawning period of blue whiting (March - May)</w:t>
      </w:r>
      <w:r w:rsidRPr="00294BBF">
        <w:rPr>
          <w:rFonts w:eastAsiaTheme="minorHAnsi"/>
          <w:color w:val="000000" w:themeColor="text1"/>
        </w:rPr>
        <w:t xml:space="preserve">. </w:t>
      </w:r>
      <w:r w:rsidR="00115062" w:rsidRPr="00294BBF">
        <w:rPr>
          <w:rFonts w:eastAsiaTheme="minorHAnsi"/>
          <w:color w:val="000000" w:themeColor="text1"/>
        </w:rPr>
        <w:t xml:space="preserve">We then calculated the </w:t>
      </w:r>
      <w:r w:rsidR="00AE7EA3" w:rsidRPr="00294BBF">
        <w:rPr>
          <w:rFonts w:eastAsiaTheme="minorHAnsi"/>
          <w:color w:val="000000" w:themeColor="text1"/>
        </w:rPr>
        <w:t>33rd and 6</w:t>
      </w:r>
      <w:r w:rsidR="00A40F1D">
        <w:rPr>
          <w:rFonts w:eastAsiaTheme="minorHAnsi"/>
          <w:color w:val="000000" w:themeColor="text1"/>
        </w:rPr>
        <w:t>7</w:t>
      </w:r>
      <w:r w:rsidR="00AE7EA3" w:rsidRPr="00294BBF">
        <w:rPr>
          <w:rFonts w:eastAsiaTheme="minorHAnsi"/>
          <w:color w:val="000000" w:themeColor="text1"/>
        </w:rPr>
        <w:t>th percentile</w:t>
      </w:r>
      <w:r w:rsidR="00210BD7" w:rsidRPr="00294BBF">
        <w:rPr>
          <w:rFonts w:eastAsiaTheme="minorHAnsi"/>
          <w:color w:val="000000" w:themeColor="text1"/>
        </w:rPr>
        <w:t xml:space="preserve"> of </w:t>
      </w:r>
      <w:r w:rsidR="002B6A40" w:rsidRPr="00294BBF">
        <w:rPr>
          <w:rFonts w:eastAsiaTheme="minorHAnsi"/>
          <w:color w:val="000000" w:themeColor="text1"/>
        </w:rPr>
        <w:t>the</w:t>
      </w:r>
      <w:r w:rsidR="004E0569" w:rsidRPr="00294BBF">
        <w:rPr>
          <w:rFonts w:eastAsiaTheme="minorHAnsi"/>
          <w:color w:val="000000" w:themeColor="text1"/>
        </w:rPr>
        <w:t>se values</w:t>
      </w:r>
      <w:r w:rsidR="00210BD7" w:rsidRPr="00294BBF">
        <w:rPr>
          <w:rFonts w:eastAsiaTheme="minorHAnsi"/>
          <w:color w:val="000000" w:themeColor="text1"/>
        </w:rPr>
        <w:t xml:space="preserve"> over the 6</w:t>
      </w:r>
      <w:r w:rsidR="00FA734B" w:rsidRPr="00294BBF">
        <w:rPr>
          <w:rFonts w:eastAsiaTheme="minorHAnsi"/>
          <w:color w:val="000000" w:themeColor="text1"/>
        </w:rPr>
        <w:t>5</w:t>
      </w:r>
      <w:r w:rsidR="00210BD7" w:rsidRPr="00294BBF">
        <w:rPr>
          <w:rFonts w:eastAsiaTheme="minorHAnsi"/>
          <w:color w:val="000000" w:themeColor="text1"/>
        </w:rPr>
        <w:t xml:space="preserve"> year p</w:t>
      </w:r>
      <w:r w:rsidR="00AE7EA3" w:rsidRPr="00294BBF">
        <w:rPr>
          <w:rFonts w:eastAsiaTheme="minorHAnsi"/>
          <w:color w:val="000000" w:themeColor="text1"/>
        </w:rPr>
        <w:t>eriod</w:t>
      </w:r>
      <w:r w:rsidR="00290B86" w:rsidRPr="00294BBF">
        <w:rPr>
          <w:rFonts w:eastAsiaTheme="minorHAnsi"/>
          <w:color w:val="000000" w:themeColor="text1"/>
        </w:rPr>
        <w:t xml:space="preserve"> and partitioned the time-series in</w:t>
      </w:r>
      <w:r w:rsidR="00A40F1D">
        <w:rPr>
          <w:rFonts w:eastAsiaTheme="minorHAnsi"/>
          <w:color w:val="000000" w:themeColor="text1"/>
        </w:rPr>
        <w:t>to</w:t>
      </w:r>
      <w:r w:rsidR="00290B86" w:rsidRPr="00294BBF">
        <w:rPr>
          <w:rFonts w:eastAsiaTheme="minorHAnsi"/>
          <w:color w:val="000000" w:themeColor="text1"/>
        </w:rPr>
        <w:t xml:space="preserve"> three </w:t>
      </w:r>
      <w:r w:rsidR="00CD497B" w:rsidRPr="00294BBF">
        <w:rPr>
          <w:rFonts w:eastAsiaTheme="minorHAnsi"/>
          <w:color w:val="000000" w:themeColor="text1"/>
        </w:rPr>
        <w:t xml:space="preserve">environmental </w:t>
      </w:r>
      <w:r w:rsidR="00290B86" w:rsidRPr="00294BBF">
        <w:rPr>
          <w:rFonts w:eastAsiaTheme="minorHAnsi"/>
          <w:color w:val="000000" w:themeColor="text1"/>
        </w:rPr>
        <w:t>regimes to represent the broad forms of variability present in the system</w:t>
      </w:r>
      <w:r w:rsidR="00433CC3" w:rsidRPr="00294BBF">
        <w:rPr>
          <w:rFonts w:eastAsiaTheme="minorHAnsi"/>
          <w:color w:val="000000" w:themeColor="text1"/>
        </w:rPr>
        <w:t xml:space="preserve"> (</w:t>
      </w:r>
      <w:r w:rsidR="00433CC3" w:rsidRPr="00294BBF">
        <w:rPr>
          <w:noProof/>
          <w:color w:val="000000" w:themeColor="text1"/>
        </w:rPr>
        <w:t>Fig. 3</w:t>
      </w:r>
      <w:r w:rsidR="00CA4BB7" w:rsidRPr="00294BBF">
        <w:rPr>
          <w:rFonts w:eastAsiaTheme="minorHAnsi"/>
          <w:color w:val="000000" w:themeColor="text1"/>
        </w:rPr>
        <w:t>)</w:t>
      </w:r>
      <w:r w:rsidR="00290B86" w:rsidRPr="00294BBF">
        <w:rPr>
          <w:rFonts w:eastAsiaTheme="minorHAnsi"/>
          <w:color w:val="000000" w:themeColor="text1"/>
        </w:rPr>
        <w:t>.</w:t>
      </w:r>
    </w:p>
    <w:p w14:paraId="53AB3EF7" w14:textId="3A1D2A1E" w:rsidR="00C27032" w:rsidRPr="00294BBF" w:rsidRDefault="00FF48DB" w:rsidP="00490B2E">
      <w:pPr>
        <w:pStyle w:val="Overskrift3"/>
        <w:rPr>
          <w:color w:val="000000" w:themeColor="text1"/>
        </w:rPr>
      </w:pPr>
      <w:bookmarkStart w:id="11" w:name="_Toc487401362"/>
      <w:r w:rsidRPr="00294BBF">
        <w:rPr>
          <w:color w:val="000000" w:themeColor="text1"/>
        </w:rPr>
        <w:t>Space-</w:t>
      </w:r>
      <w:r w:rsidR="00161B41" w:rsidRPr="00294BBF">
        <w:rPr>
          <w:color w:val="000000" w:themeColor="text1"/>
        </w:rPr>
        <w:t>time and species distribution modelling</w:t>
      </w:r>
      <w:bookmarkEnd w:id="11"/>
      <w:r w:rsidR="00161B41" w:rsidRPr="00294BBF">
        <w:rPr>
          <w:color w:val="000000" w:themeColor="text1"/>
        </w:rPr>
        <w:t xml:space="preserve"> </w:t>
      </w:r>
    </w:p>
    <w:p w14:paraId="6B9B5F4C" w14:textId="77777777" w:rsidR="00C27032" w:rsidRPr="00294BBF" w:rsidRDefault="00C27032" w:rsidP="007F5FBA">
      <w:pPr>
        <w:pStyle w:val="Overskrift4"/>
        <w:rPr>
          <w:color w:val="000000" w:themeColor="text1"/>
        </w:rPr>
      </w:pPr>
      <w:r w:rsidRPr="00294BBF">
        <w:rPr>
          <w:color w:val="000000" w:themeColor="text1"/>
        </w:rPr>
        <w:t>Basic model structure</w:t>
      </w:r>
    </w:p>
    <w:p w14:paraId="07F0C1B7" w14:textId="7D4238D3" w:rsidR="00B12B44" w:rsidRPr="00294BBF" w:rsidRDefault="00001637">
      <w:pPr>
        <w:rPr>
          <w:color w:val="000000" w:themeColor="text1"/>
        </w:rPr>
      </w:pPr>
      <w:r w:rsidRPr="00294BBF">
        <w:rPr>
          <w:color w:val="000000" w:themeColor="text1"/>
        </w:rPr>
        <w:t>CPR data is provided as abundance categories</w:t>
      </w:r>
      <w:r w:rsidR="00CA4BB7" w:rsidRPr="00294BBF">
        <w:rPr>
          <w:color w:val="000000" w:themeColor="text1"/>
        </w:rPr>
        <w:t xml:space="preserve"> </w:t>
      </w:r>
      <w:r w:rsidR="00CA4BB7" w:rsidRPr="00294BBF">
        <w:rPr>
          <w:color w:val="000000" w:themeColor="text1"/>
        </w:rPr>
        <w:fldChar w:fldCharType="begin" w:fldLock="1"/>
      </w:r>
      <w:r w:rsidR="000C1E4B" w:rsidRPr="00294BBF">
        <w:rPr>
          <w:color w:val="000000" w:themeColor="text1"/>
        </w:rPr>
        <w:instrText>ADDIN CSL_CITATION { "citationItems" : [ { "id" : "ITEM-1", "itemData" : { "DOI" : "10.1016/j.pocean.2005.09.011", "ISBN" : "0079-6611", "ISSN" : "00796611", "abstract" : "The continuous plankton recorder (CPR) survey is the largest multi-decadal plankton monitoring programme in the world. It was initiated in 1931 and by the end of 2004 had counted 207,619 samples and identified 437 phyto- and zooplankton taxa throughout the North Atlantic. CPR data are used extensively by the research community and in recent years have been used increasingly to underpin marine management. Here, we take a critical look at how best to use CPR data. We first describe the CPR itself, CPR sampling, and plankton counting procedures. We discuss the spatial and temporal biases in the Survey, summarise environmental data that have not previously been available, and describe the new data access policy. We supply information essential to using CPR data, including descriptions of each CPR taxonomic entity, the idiosyncrasies associated with counting many of the taxa, the logic behind taxonomic changes in the Survey, the semi-quantitative nature of CPR sampling, and recommendations on choosing the spatial and temporal scale of study. This forms the basis for a broader discussion on how to use CPR data for deriving ecologically meaningful indices based on size, functional groups and biomass that can be used to support research and management. This contribution should be useful for plankton ecologists, modellers and policy makers that actively use CPR data. ?? 2005 Elsevier Ltd. All rights reserved.", "author" : [ { "dropping-particle" : "", "family" : "Richardson", "given" : "A. J.", "non-dropping-particle" : "", "parse-names" : false, "suffix" : "" }, { "dropping-particle" : "", "family" : "Walne", "given" : "A.W.", "non-dropping-particle" : "", "parse-names" : false, "suffix" : "" }, { "dropping-particle" : "", "family" : "John", "given" : "A.W.G.", "non-dropping-particle" : "", "parse-names" : false, "suffix" : "" }, { "dropping-particle" : "", "family" : "Jonas", "given" : "T.D.", "non-dropping-particle" : "", "parse-names" : false, "suffix" : "" }, { "dropping-particle" : "", "family" : "Lindley", "given" : "J.A.", "non-dropping-particle" : "", "parse-names" : false, "suffix" : "" }, { "dropping-particle" : "", "family" : "Sims", "given" : "D.W.", "non-dropping-particle" : "", "parse-names" : false, "suffix" : "" }, { "dropping-particle" : "", "family" : "Stevens", "given" : "D.", "non-dropping-particle" : "", "parse-names" : false, "suffix" : "" }, { "dropping-particle" : "", "family" : "Witt", "given" : "M.", "non-dropping-particle" : "", "parse-names" : false, "suffix" : "" } ], "container-title" : "Progress in Oceanography", "id" : "ITEM-1", "issue" : "1", "issued" : { "date-parts" : [ [ "2006", "1" ] ] }, "page" : "27-74", "title" : "Using continuous plankton recorder data", "type" : "article-journal", "volume" : "68" }, "uris" : [ "http://www.mendeley.com/documents/?uuid=a40e1cc6-9003-4990-982e-a3f0669656d9"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instrText>
      </w:r>
      <w:r w:rsidR="00CA4BB7" w:rsidRPr="00294BBF">
        <w:rPr>
          <w:color w:val="000000" w:themeColor="text1"/>
        </w:rPr>
        <w:fldChar w:fldCharType="separate"/>
      </w:r>
      <w:r w:rsidR="00CA4BB7" w:rsidRPr="00294BBF">
        <w:rPr>
          <w:noProof/>
          <w:color w:val="000000" w:themeColor="text1"/>
        </w:rPr>
        <w:t xml:space="preserve">(Richardson </w:t>
      </w:r>
      <w:r w:rsidR="006773E4" w:rsidRPr="006773E4">
        <w:rPr>
          <w:i/>
          <w:noProof/>
          <w:color w:val="000000" w:themeColor="text1"/>
        </w:rPr>
        <w:t>et al.</w:t>
      </w:r>
      <w:r w:rsidR="00CA4BB7" w:rsidRPr="00294BBF">
        <w:rPr>
          <w:noProof/>
          <w:color w:val="000000" w:themeColor="text1"/>
        </w:rPr>
        <w:t>, 2006)</w:t>
      </w:r>
      <w:r w:rsidR="00CA4BB7" w:rsidRPr="00294BBF">
        <w:rPr>
          <w:color w:val="000000" w:themeColor="text1"/>
        </w:rPr>
        <w:fldChar w:fldCharType="end"/>
      </w:r>
      <w:r w:rsidR="00CA4BB7" w:rsidRPr="00294BBF">
        <w:rPr>
          <w:color w:val="000000" w:themeColor="text1"/>
        </w:rPr>
        <w:t xml:space="preserve"> </w:t>
      </w:r>
      <w:r w:rsidRPr="00294BBF">
        <w:rPr>
          <w:color w:val="000000" w:themeColor="text1"/>
        </w:rPr>
        <w:t xml:space="preserve">with the majority (ca. 60 %) of </w:t>
      </w:r>
      <w:r w:rsidR="003F437A" w:rsidRPr="00294BBF">
        <w:rPr>
          <w:color w:val="000000" w:themeColor="text1"/>
        </w:rPr>
        <w:t xml:space="preserve">the </w:t>
      </w:r>
      <w:r w:rsidRPr="00294BBF">
        <w:rPr>
          <w:color w:val="000000" w:themeColor="text1"/>
        </w:rPr>
        <w:t xml:space="preserve">reported </w:t>
      </w:r>
      <w:r w:rsidR="00B56342">
        <w:rPr>
          <w:color w:val="000000" w:themeColor="text1"/>
        </w:rPr>
        <w:t xml:space="preserve">blue whiting </w:t>
      </w:r>
      <w:r w:rsidRPr="00294BBF">
        <w:rPr>
          <w:color w:val="000000" w:themeColor="text1"/>
        </w:rPr>
        <w:t>abun</w:t>
      </w:r>
      <w:r w:rsidR="00B81B38" w:rsidRPr="00294BBF">
        <w:rPr>
          <w:color w:val="000000" w:themeColor="text1"/>
        </w:rPr>
        <w:t xml:space="preserve">dance </w:t>
      </w:r>
      <w:r w:rsidR="006F7D55">
        <w:rPr>
          <w:color w:val="000000" w:themeColor="text1"/>
        </w:rPr>
        <w:t>data</w:t>
      </w:r>
      <w:r w:rsidR="006F7D55" w:rsidRPr="00294BBF">
        <w:rPr>
          <w:color w:val="000000" w:themeColor="text1"/>
        </w:rPr>
        <w:t xml:space="preserve"> </w:t>
      </w:r>
      <w:r w:rsidR="00B81B38" w:rsidRPr="00294BBF">
        <w:rPr>
          <w:color w:val="000000" w:themeColor="text1"/>
        </w:rPr>
        <w:t xml:space="preserve">comprising of </w:t>
      </w:r>
      <w:r w:rsidR="00BF7A85">
        <w:rPr>
          <w:color w:val="000000" w:themeColor="text1"/>
        </w:rPr>
        <w:t>one, two or three</w:t>
      </w:r>
      <w:r w:rsidRPr="00294BBF">
        <w:rPr>
          <w:color w:val="000000" w:themeColor="text1"/>
        </w:rPr>
        <w:t xml:space="preserve"> larvae. Initial explorations examined this data using </w:t>
      </w:r>
      <w:r w:rsidR="00B6352D" w:rsidRPr="00294BBF">
        <w:rPr>
          <w:color w:val="000000" w:themeColor="text1"/>
        </w:rPr>
        <w:t>a</w:t>
      </w:r>
      <w:r w:rsidRPr="00294BBF">
        <w:rPr>
          <w:color w:val="000000" w:themeColor="text1"/>
        </w:rPr>
        <w:t xml:space="preserve"> </w:t>
      </w:r>
      <w:r w:rsidR="0087040D" w:rsidRPr="00294BBF">
        <w:rPr>
          <w:color w:val="000000" w:themeColor="text1"/>
        </w:rPr>
        <w:t xml:space="preserve">spatial </w:t>
      </w:r>
      <w:r w:rsidRPr="00294BBF">
        <w:rPr>
          <w:color w:val="000000" w:themeColor="text1"/>
        </w:rPr>
        <w:t xml:space="preserve">model </w:t>
      </w:r>
      <w:r w:rsidR="00B6352D" w:rsidRPr="00294BBF">
        <w:rPr>
          <w:color w:val="000000" w:themeColor="text1"/>
        </w:rPr>
        <w:t>similar to</w:t>
      </w:r>
      <w:r w:rsidRPr="00294BBF">
        <w:rPr>
          <w:color w:val="000000" w:themeColor="text1"/>
        </w:rPr>
        <w:t xml:space="preserve"> </w:t>
      </w:r>
      <w:r w:rsidR="00FC5767" w:rsidRPr="00294BBF">
        <w:rPr>
          <w:color w:val="000000" w:themeColor="text1"/>
        </w:rPr>
        <w:fldChar w:fldCharType="begin" w:fldLock="1"/>
      </w:r>
      <w:r w:rsidR="00041FF2" w:rsidRPr="00294BBF">
        <w:rPr>
          <w:color w:val="000000" w:themeColor="text1"/>
        </w:rPr>
        <w:instrText>ADDIN CSL_CITATION { "citationItems" : [ { "id" : "ITEM-1", "itemData" : { "DOI" : "10.1371/journal.pone.0106237", "author" : [ { "dropping-particle" : "", "family" : "Pointin", "given" : "Fabien", "non-dropping-particle" : "", "parse-names" : false, "suffix" : "" }, { "dropping-particle" : "", "family" : "Payne", "given" : "Mark R.", "non-dropping-particle" : "", "parse-names" : false, "suffix" : "" } ], "container-title" : "PloS ONE", "id" : "ITEM-1", "issue" : "9", "issued" : { "date-parts" : [ [ "2014" ] ] }, "page" : "1-11", "title" : "A Resolution to the Blue Whiting (Micromesistius poutassou) Population Paradox?", "type" : "article-journal", "volume" : "9" }, "uris" : [ "http://www.mendeley.com/documents/?uuid=6a6f494c-8d8f-4687-b6e3-cf82728f52eb" ] } ], "mendeley" : { "formattedCitation" : "(Pointin and Payne, 2014)", "manualFormatting" : "Pointin and Payne (2014)", "plainTextFormattedCitation" : "(Pointin and Payne, 2014)", "previouslyFormattedCitation" : "(Pointin and Payne, 2014)" }, "properties" : { "noteIndex" : 0 }, "schema" : "https://github.com/citation-style-language/schema/raw/master/csl-citation.json" }</w:instrText>
      </w:r>
      <w:r w:rsidR="00FC5767" w:rsidRPr="00294BBF">
        <w:rPr>
          <w:color w:val="000000" w:themeColor="text1"/>
        </w:rPr>
        <w:fldChar w:fldCharType="separate"/>
      </w:r>
      <w:r w:rsidR="00FC5767" w:rsidRPr="00294BBF">
        <w:rPr>
          <w:noProof/>
          <w:color w:val="000000" w:themeColor="text1"/>
        </w:rPr>
        <w:t>Pointin and Payne (2014)</w:t>
      </w:r>
      <w:r w:rsidR="00FC5767" w:rsidRPr="00294BBF">
        <w:rPr>
          <w:color w:val="000000" w:themeColor="text1"/>
        </w:rPr>
        <w:fldChar w:fldCharType="end"/>
      </w:r>
      <w:r w:rsidR="00FC5767" w:rsidRPr="00294BBF">
        <w:rPr>
          <w:color w:val="000000" w:themeColor="text1"/>
        </w:rPr>
        <w:t xml:space="preserve"> </w:t>
      </w:r>
      <w:r w:rsidRPr="00294BBF">
        <w:rPr>
          <w:color w:val="000000" w:themeColor="text1"/>
        </w:rPr>
        <w:t xml:space="preserve">with an ordered categorical response variable </w:t>
      </w:r>
      <w:r w:rsidR="000F01AC" w:rsidRPr="00294BBF">
        <w:rPr>
          <w:color w:val="000000" w:themeColor="text1"/>
        </w:rPr>
        <w:fldChar w:fldCharType="begin" w:fldLock="1"/>
      </w:r>
      <w:r w:rsidR="00E40F45" w:rsidRPr="00294BBF">
        <w:rPr>
          <w:color w:val="000000" w:themeColor="text1"/>
        </w:rPr>
        <w:instrText>ADDIN CSL_CITATION { "citationItems" : [ { "id" : "ITEM-1", "itemData" : { "DOI" : "10.1080/01621459.2016.1180986", "ISSN" : "0162-1459", "abstract" : "This paper discusses a general framework for smoothing parameter estimation for models with regular likelihoods constructed in terms of unknown smooth functions of covariates. Gaussian random effects and parametric terms may also be present. By construction the method is numerically stable and convergent, and enables smoothing parameter uncertainty to be quantified. The latter enables us to fix a well known problem with AIC for such models. The smooth functions are represented by reduced rank spline like smoothers, with associated quadratic penalties measuring function smoothness. Model estimation is by penalized likelihood maximization, where the smoothing parameters controlling the extent of penalization are estimated by Laplace approximate marginal likelihood. The methods cover, for example, generalized additive models for non-exponential family responses (for example beta, ordered categorical, scaled t distribution, negative binomial and Tweedie distributions), generalized additive models for location scale and shape (for example two stage zero inflation models, and Gaussian location-scale models), Cox proportional hazards models and multivariate additive models. The framework reduces the implementation of new model classes to the coding of some standard derivatives of the log likelihood.", "author" : [ { "dropping-particle" : "", "family" : "Wood", "given" : "Simon N.", "non-dropping-particle" : "", "parse-names" : false, "suffix" : "" }, { "dropping-particle" : "", "family" : "Pya", "given" : "Natalya", "non-dropping-particle" : "", "parse-names" : false, "suffix" : "" }, { "dropping-particle" : "", "family" : "S\u00e4fken", "given" : "Benjamin", "non-dropping-particle" : "", "parse-names" : false, "suffix" : "" } ], "container-title" : "arXiv", "id" : "ITEM-1", "issued" : { "date-parts" : [ [ "2015" ] ] }, "title" : "Smoothing parameter and model selection for general smooth models", "type" : "article-journal" }, "uris" : [ "http://www.mendeley.com/documents/?uuid=77429a37-b647-46f9-9cf0-1382746281ee", "http://www.mendeley.com/documents/?uuid=294bb2bb-5990-446a-9980-96b374887225" ] } ], "mendeley" : { "formattedCitation" : "(Wood &lt;i&gt;et al.&lt;/i&gt;, 2015)", "plainTextFormattedCitation" : "(Wood et al., 2015)", "previouslyFormattedCitation" : "(Wood &lt;i&gt;et al.&lt;/i&gt;, 2015)" }, "properties" : { "noteIndex" : 0 }, "schema" : "https://github.com/citation-style-language/schema/raw/master/csl-citation.json" }</w:instrText>
      </w:r>
      <w:r w:rsidR="000F01AC" w:rsidRPr="00294BBF">
        <w:rPr>
          <w:color w:val="000000" w:themeColor="text1"/>
        </w:rPr>
        <w:fldChar w:fldCharType="separate"/>
      </w:r>
      <w:r w:rsidR="00E40F45" w:rsidRPr="00294BBF">
        <w:rPr>
          <w:noProof/>
          <w:color w:val="000000" w:themeColor="text1"/>
        </w:rPr>
        <w:t xml:space="preserve">(Wood </w:t>
      </w:r>
      <w:r w:rsidR="006773E4" w:rsidRPr="006773E4">
        <w:rPr>
          <w:i/>
          <w:noProof/>
          <w:color w:val="000000" w:themeColor="text1"/>
        </w:rPr>
        <w:t>et al.</w:t>
      </w:r>
      <w:r w:rsidR="00E40F45" w:rsidRPr="00294BBF">
        <w:rPr>
          <w:noProof/>
          <w:color w:val="000000" w:themeColor="text1"/>
        </w:rPr>
        <w:t>, 2015)</w:t>
      </w:r>
      <w:r w:rsidR="000F01AC" w:rsidRPr="00294BBF">
        <w:rPr>
          <w:color w:val="000000" w:themeColor="text1"/>
        </w:rPr>
        <w:fldChar w:fldCharType="end"/>
      </w:r>
      <w:r w:rsidR="000F01AC" w:rsidRPr="00294BBF">
        <w:rPr>
          <w:color w:val="000000" w:themeColor="text1"/>
        </w:rPr>
        <w:t>:</w:t>
      </w:r>
      <w:r w:rsidRPr="00294BBF">
        <w:rPr>
          <w:color w:val="000000" w:themeColor="text1"/>
        </w:rPr>
        <w:t xml:space="preserve"> however, this analysis suggested that there was little</w:t>
      </w:r>
      <w:r w:rsidR="0026113C" w:rsidRPr="00294BBF">
        <w:rPr>
          <w:color w:val="000000" w:themeColor="text1"/>
        </w:rPr>
        <w:t xml:space="preserve"> further</w:t>
      </w:r>
      <w:r w:rsidRPr="00294BBF">
        <w:rPr>
          <w:color w:val="000000" w:themeColor="text1"/>
        </w:rPr>
        <w:t xml:space="preserve"> information in the abundance categories and the data is</w:t>
      </w:r>
      <w:r w:rsidR="00603DD2" w:rsidRPr="00294BBF">
        <w:rPr>
          <w:color w:val="000000" w:themeColor="text1"/>
        </w:rPr>
        <w:t xml:space="preserve"> therefore</w:t>
      </w:r>
      <w:r w:rsidRPr="00294BBF">
        <w:rPr>
          <w:color w:val="000000" w:themeColor="text1"/>
        </w:rPr>
        <w:t xml:space="preserve"> treated as presence-absence </w:t>
      </w:r>
      <w:r w:rsidR="00BD0D95" w:rsidRPr="00294BBF">
        <w:rPr>
          <w:color w:val="000000" w:themeColor="text1"/>
        </w:rPr>
        <w:t>for the remainder of the study</w:t>
      </w:r>
      <w:r w:rsidRPr="00294BBF">
        <w:rPr>
          <w:color w:val="000000" w:themeColor="text1"/>
        </w:rPr>
        <w:t xml:space="preserve">. </w:t>
      </w:r>
      <w:r w:rsidR="00BD0D95" w:rsidRPr="00294BBF">
        <w:rPr>
          <w:color w:val="000000" w:themeColor="text1"/>
        </w:rPr>
        <w:tab/>
      </w:r>
      <w:r w:rsidR="00BD0D95" w:rsidRPr="00294BBF">
        <w:rPr>
          <w:color w:val="000000" w:themeColor="text1"/>
        </w:rPr>
        <w:tab/>
      </w:r>
      <w:r w:rsidR="00BD0D95" w:rsidRPr="00294BBF">
        <w:rPr>
          <w:color w:val="000000" w:themeColor="text1"/>
        </w:rPr>
        <w:tab/>
      </w:r>
      <w:r w:rsidR="00BD0D95" w:rsidRPr="00294BBF">
        <w:rPr>
          <w:color w:val="000000" w:themeColor="text1"/>
        </w:rPr>
        <w:tab/>
      </w:r>
      <w:r w:rsidR="00BD0D95" w:rsidRPr="00294BBF">
        <w:rPr>
          <w:color w:val="000000" w:themeColor="text1"/>
        </w:rPr>
        <w:tab/>
      </w:r>
      <w:r w:rsidR="00BD0D95" w:rsidRPr="00294BBF">
        <w:rPr>
          <w:color w:val="000000" w:themeColor="text1"/>
        </w:rPr>
        <w:tab/>
      </w:r>
      <w:r w:rsidR="00BD0D95" w:rsidRPr="00294BBF">
        <w:rPr>
          <w:color w:val="000000" w:themeColor="text1"/>
        </w:rPr>
        <w:tab/>
      </w:r>
      <w:r w:rsidR="00BD0D95" w:rsidRPr="00294BBF">
        <w:rPr>
          <w:color w:val="000000" w:themeColor="text1"/>
        </w:rPr>
        <w:br/>
      </w:r>
      <w:r w:rsidR="00B81B38" w:rsidRPr="00294BBF">
        <w:rPr>
          <w:color w:val="000000" w:themeColor="text1"/>
        </w:rPr>
        <w:t>Observations</w:t>
      </w:r>
      <w:r w:rsidR="00D41B63" w:rsidRPr="00294BBF">
        <w:rPr>
          <w:color w:val="000000" w:themeColor="text1"/>
        </w:rPr>
        <w:t xml:space="preserve"> of blue whiting larvae</w:t>
      </w:r>
      <w:r w:rsidR="00B81B38" w:rsidRPr="00294BBF">
        <w:rPr>
          <w:color w:val="000000" w:themeColor="text1"/>
        </w:rPr>
        <w:t xml:space="preserve"> were modelled using a</w:t>
      </w:r>
      <w:r w:rsidR="00C27032" w:rsidRPr="00294BBF">
        <w:rPr>
          <w:color w:val="000000" w:themeColor="text1"/>
        </w:rPr>
        <w:t xml:space="preserve"> Generalized Additive Model (GAM) with a binomial distr</w:t>
      </w:r>
      <w:r w:rsidR="00B81B38" w:rsidRPr="00294BBF">
        <w:rPr>
          <w:color w:val="000000" w:themeColor="text1"/>
        </w:rPr>
        <w:t>ibution and logit link structure</w:t>
      </w:r>
      <w:r w:rsidR="00C27032" w:rsidRPr="00294BBF">
        <w:rPr>
          <w:color w:val="000000" w:themeColor="text1"/>
        </w:rPr>
        <w:t xml:space="preserve">: </w:t>
      </w:r>
      <w:r w:rsidR="00C27032" w:rsidRPr="00294BBF">
        <w:rPr>
          <w:color w:val="000000" w:themeColor="text1"/>
        </w:rPr>
        <w:tab/>
      </w:r>
      <w:r w:rsidR="00C27032" w:rsidRPr="00294BBF">
        <w:rPr>
          <w:color w:val="000000" w:themeColor="text1"/>
        </w:rPr>
        <w:tab/>
      </w:r>
      <w:r w:rsidR="00C27032" w:rsidRPr="00294BBF">
        <w:rPr>
          <w:color w:val="000000" w:themeColor="text1"/>
        </w:rPr>
        <w:tab/>
      </w:r>
      <w:r w:rsidR="00BD0D95" w:rsidRPr="00294BBF">
        <w:rPr>
          <w:color w:val="000000" w:themeColor="text1"/>
        </w:rPr>
        <w:tab/>
      </w:r>
      <w:r w:rsidR="0026640E" w:rsidRPr="00294BBF">
        <w:rPr>
          <w:color w:val="000000" w:themeColor="text1"/>
        </w:rPr>
        <w:t>P</w:t>
      </w:r>
      <w:r w:rsidR="00C27032" w:rsidRPr="00294BBF">
        <w:rPr>
          <w:color w:val="000000" w:themeColor="text1"/>
        </w:rPr>
        <w:t>(X</w:t>
      </w:r>
      <w:r w:rsidR="00C27032" w:rsidRPr="00294BBF">
        <w:rPr>
          <w:color w:val="000000" w:themeColor="text1"/>
          <w:vertAlign w:val="subscript"/>
        </w:rPr>
        <w:t>i</w:t>
      </w:r>
      <w:r w:rsidR="00C27032" w:rsidRPr="00294BBF">
        <w:rPr>
          <w:color w:val="000000" w:themeColor="text1"/>
        </w:rPr>
        <w:t xml:space="preserve"> = </w:t>
      </w:r>
      <w:r w:rsidR="00B81B38" w:rsidRPr="00294BBF">
        <w:rPr>
          <w:color w:val="000000" w:themeColor="text1"/>
        </w:rPr>
        <w:t>PRESENT</w:t>
      </w:r>
      <w:r w:rsidR="00C27032" w:rsidRPr="00294BBF">
        <w:rPr>
          <w:color w:val="000000" w:themeColor="text1"/>
        </w:rPr>
        <w:t>|π</w:t>
      </w:r>
      <w:proofErr w:type="spellStart"/>
      <w:r w:rsidR="00C27032" w:rsidRPr="00294BBF">
        <w:rPr>
          <w:color w:val="000000" w:themeColor="text1"/>
          <w:vertAlign w:val="subscript"/>
        </w:rPr>
        <w:t>i</w:t>
      </w:r>
      <w:proofErr w:type="spellEnd"/>
      <w:r w:rsidR="00C27032" w:rsidRPr="00294BBF">
        <w:rPr>
          <w:color w:val="000000" w:themeColor="text1"/>
        </w:rPr>
        <w:t xml:space="preserve">) ~ </w:t>
      </w:r>
      <w:r w:rsidR="00A9224B">
        <w:rPr>
          <w:color w:val="000000" w:themeColor="text1"/>
        </w:rPr>
        <w:t>Bernoulli</w:t>
      </w:r>
      <w:r w:rsidR="00C27032" w:rsidRPr="00294BBF">
        <w:rPr>
          <w:color w:val="000000" w:themeColor="text1"/>
        </w:rPr>
        <w:t>(π</w:t>
      </w:r>
      <w:proofErr w:type="spellStart"/>
      <w:r w:rsidR="00C27032" w:rsidRPr="00294BBF">
        <w:rPr>
          <w:color w:val="000000" w:themeColor="text1"/>
          <w:vertAlign w:val="subscript"/>
        </w:rPr>
        <w:t>i</w:t>
      </w:r>
      <w:proofErr w:type="spellEnd"/>
      <w:r w:rsidR="00C27032" w:rsidRPr="00294BBF">
        <w:rPr>
          <w:color w:val="000000" w:themeColor="text1"/>
        </w:rPr>
        <w:t>) ;  with  logit(π</w:t>
      </w:r>
      <w:proofErr w:type="spellStart"/>
      <w:r w:rsidR="00C27032" w:rsidRPr="00294BBF">
        <w:rPr>
          <w:color w:val="000000" w:themeColor="text1"/>
          <w:vertAlign w:val="subscript"/>
        </w:rPr>
        <w:t>i</w:t>
      </w:r>
      <w:proofErr w:type="spellEnd"/>
      <w:r w:rsidR="00C27032" w:rsidRPr="00294BBF">
        <w:rPr>
          <w:color w:val="000000" w:themeColor="text1"/>
        </w:rPr>
        <w:t>) = f()</w:t>
      </w:r>
      <w:r w:rsidR="00BD12A0" w:rsidRPr="00294BBF">
        <w:rPr>
          <w:color w:val="000000" w:themeColor="text1"/>
        </w:rPr>
        <w:tab/>
      </w:r>
      <w:r w:rsidR="00BD12A0" w:rsidRPr="00294BBF">
        <w:rPr>
          <w:color w:val="000000" w:themeColor="text1"/>
        </w:rPr>
        <w:tab/>
      </w:r>
      <w:r w:rsidR="00BD0D95" w:rsidRPr="00294BBF">
        <w:rPr>
          <w:color w:val="000000" w:themeColor="text1"/>
        </w:rPr>
        <w:tab/>
      </w:r>
      <w:r w:rsidR="00BD12A0" w:rsidRPr="00294BBF">
        <w:rPr>
          <w:color w:val="000000" w:themeColor="text1"/>
        </w:rPr>
        <w:t xml:space="preserve"> (1)</w:t>
      </w:r>
      <w:r w:rsidR="00C27032" w:rsidRPr="00294BBF">
        <w:rPr>
          <w:color w:val="000000" w:themeColor="text1"/>
        </w:rPr>
        <w:br/>
        <w:t xml:space="preserve">where </w:t>
      </w:r>
      <w:r w:rsidR="00C27032" w:rsidRPr="00294BBF">
        <w:rPr>
          <w:i/>
          <w:color w:val="000000" w:themeColor="text1"/>
        </w:rPr>
        <w:t>X</w:t>
      </w:r>
      <w:r w:rsidR="00C27032" w:rsidRPr="00294BBF">
        <w:rPr>
          <w:i/>
          <w:color w:val="000000" w:themeColor="text1"/>
          <w:vertAlign w:val="subscript"/>
        </w:rPr>
        <w:t>i</w:t>
      </w:r>
      <w:r w:rsidR="00C27032" w:rsidRPr="00294BBF">
        <w:rPr>
          <w:color w:val="000000" w:themeColor="text1"/>
        </w:rPr>
        <w:t xml:space="preserve"> is the presence/absence of observation </w:t>
      </w:r>
      <w:proofErr w:type="spellStart"/>
      <w:r w:rsidR="00FC5767" w:rsidRPr="00294BBF">
        <w:rPr>
          <w:i/>
          <w:color w:val="000000" w:themeColor="text1"/>
        </w:rPr>
        <w:t>i</w:t>
      </w:r>
      <w:proofErr w:type="spellEnd"/>
      <w:r w:rsidR="00FC5767" w:rsidRPr="00294BBF">
        <w:rPr>
          <w:color w:val="000000" w:themeColor="text1"/>
        </w:rPr>
        <w:t xml:space="preserve"> and</w:t>
      </w:r>
      <w:r w:rsidR="00C27032" w:rsidRPr="00294BBF">
        <w:rPr>
          <w:color w:val="000000" w:themeColor="text1"/>
        </w:rPr>
        <w:t xml:space="preserve"> π</w:t>
      </w:r>
      <w:proofErr w:type="spellStart"/>
      <w:r w:rsidR="00C27032" w:rsidRPr="00294BBF">
        <w:rPr>
          <w:color w:val="000000" w:themeColor="text1"/>
          <w:vertAlign w:val="subscript"/>
        </w:rPr>
        <w:t>i</w:t>
      </w:r>
      <w:proofErr w:type="spellEnd"/>
      <w:r w:rsidR="00D41B63" w:rsidRPr="00294BBF">
        <w:rPr>
          <w:color w:val="000000" w:themeColor="text1"/>
        </w:rPr>
        <w:t xml:space="preserve"> is the probability (</w:t>
      </w:r>
      <w:r w:rsidR="0026640E" w:rsidRPr="00294BBF">
        <w:rPr>
          <w:color w:val="000000" w:themeColor="text1"/>
        </w:rPr>
        <w:t>P</w:t>
      </w:r>
      <w:r w:rsidR="00D41B63" w:rsidRPr="00294BBF">
        <w:rPr>
          <w:color w:val="000000" w:themeColor="text1"/>
        </w:rPr>
        <w:t>) that</w:t>
      </w:r>
      <w:r w:rsidR="00C27032" w:rsidRPr="00294BBF">
        <w:rPr>
          <w:color w:val="000000" w:themeColor="text1"/>
        </w:rPr>
        <w:t xml:space="preserve"> </w:t>
      </w:r>
      <w:r w:rsidR="00B81B38" w:rsidRPr="00294BBF">
        <w:rPr>
          <w:color w:val="000000" w:themeColor="text1"/>
        </w:rPr>
        <w:t>blue whiting larva</w:t>
      </w:r>
      <w:r w:rsidR="00C206EE" w:rsidRPr="00294BBF">
        <w:rPr>
          <w:color w:val="000000" w:themeColor="text1"/>
        </w:rPr>
        <w:t>e</w:t>
      </w:r>
      <w:r w:rsidR="00B81B38" w:rsidRPr="00294BBF">
        <w:rPr>
          <w:color w:val="000000" w:themeColor="text1"/>
        </w:rPr>
        <w:t xml:space="preserve"> </w:t>
      </w:r>
      <w:r w:rsidR="00D41B63" w:rsidRPr="00294BBF">
        <w:rPr>
          <w:color w:val="000000" w:themeColor="text1"/>
        </w:rPr>
        <w:t>are observed</w:t>
      </w:r>
      <w:r w:rsidR="00B81B38" w:rsidRPr="00294BBF">
        <w:rPr>
          <w:color w:val="000000" w:themeColor="text1"/>
        </w:rPr>
        <w:t>.</w:t>
      </w:r>
      <w:r w:rsidR="00DE747A" w:rsidRPr="00294BBF">
        <w:rPr>
          <w:color w:val="000000" w:themeColor="text1"/>
        </w:rPr>
        <w:t xml:space="preserve"> </w:t>
      </w:r>
      <w:r w:rsidR="0026640E" w:rsidRPr="00294BBF">
        <w:rPr>
          <w:color w:val="000000" w:themeColor="text1"/>
        </w:rPr>
        <w:t xml:space="preserve">The explanatory variables, regardless of whether they are spatial or environmental, are indicated by the function </w:t>
      </w:r>
      <w:proofErr w:type="gramStart"/>
      <w:r w:rsidR="00B81B38" w:rsidRPr="00294BBF">
        <w:rPr>
          <w:i/>
          <w:color w:val="000000" w:themeColor="text1"/>
        </w:rPr>
        <w:t>f(</w:t>
      </w:r>
      <w:proofErr w:type="gramEnd"/>
      <w:r w:rsidR="00B81B38" w:rsidRPr="00294BBF">
        <w:rPr>
          <w:i/>
          <w:color w:val="000000" w:themeColor="text1"/>
        </w:rPr>
        <w:t>)</w:t>
      </w:r>
      <w:r w:rsidR="00B81B38" w:rsidRPr="00294BBF">
        <w:rPr>
          <w:color w:val="000000" w:themeColor="text1"/>
        </w:rPr>
        <w:t>.</w:t>
      </w:r>
      <w:r w:rsidR="003B18CE" w:rsidRPr="00294BBF">
        <w:rPr>
          <w:color w:val="000000" w:themeColor="text1"/>
        </w:rPr>
        <w:t xml:space="preserve"> </w:t>
      </w:r>
      <w:r w:rsidR="00EC1093" w:rsidRPr="00294BBF">
        <w:rPr>
          <w:color w:val="000000" w:themeColor="text1"/>
        </w:rPr>
        <w:t>A</w:t>
      </w:r>
      <w:r w:rsidR="00C27032" w:rsidRPr="00294BBF">
        <w:rPr>
          <w:color w:val="000000" w:themeColor="text1"/>
        </w:rPr>
        <w:t xml:space="preserve">ll models were fitted using the </w:t>
      </w:r>
      <w:proofErr w:type="spellStart"/>
      <w:r w:rsidR="00CA4BB7" w:rsidRPr="00294BBF">
        <w:rPr>
          <w:rFonts w:ascii="Courier New" w:hAnsi="Courier New" w:cs="Courier New"/>
          <w:color w:val="000000" w:themeColor="text1"/>
        </w:rPr>
        <w:t>mgcv</w:t>
      </w:r>
      <w:proofErr w:type="spellEnd"/>
      <w:r w:rsidR="000B2B07">
        <w:rPr>
          <w:rFonts w:ascii="Courier New" w:hAnsi="Courier New" w:cs="Courier New"/>
          <w:color w:val="000000" w:themeColor="text1"/>
        </w:rPr>
        <w:t>(</w:t>
      </w:r>
      <w:r w:rsidR="00CA4BB7" w:rsidRPr="00294BBF">
        <w:rPr>
          <w:rFonts w:ascii="Courier New" w:hAnsi="Courier New" w:cs="Courier New"/>
          <w:color w:val="000000" w:themeColor="text1"/>
        </w:rPr>
        <w:t>)</w:t>
      </w:r>
      <w:r w:rsidR="00C27032" w:rsidRPr="00294BBF">
        <w:rPr>
          <w:color w:val="000000" w:themeColor="text1"/>
        </w:rPr>
        <w:t>package</w:t>
      </w:r>
      <w:r w:rsidR="00CA4BB7" w:rsidRPr="00294BBF">
        <w:rPr>
          <w:color w:val="000000" w:themeColor="text1"/>
        </w:rPr>
        <w:t xml:space="preserve"> (version 1.8.16</w:t>
      </w:r>
      <w:r w:rsidR="000124ED" w:rsidRPr="00294BBF">
        <w:rPr>
          <w:color w:val="000000" w:themeColor="text1"/>
        </w:rPr>
        <w:t>)</w:t>
      </w:r>
      <w:r w:rsidR="00C27032" w:rsidRPr="00294BBF">
        <w:rPr>
          <w:color w:val="000000" w:themeColor="text1"/>
        </w:rPr>
        <w:t xml:space="preserve"> in R with a “gamma” parameter of 1.4 to avoid </w:t>
      </w:r>
      <w:r w:rsidR="00C27032" w:rsidRPr="00294BBF">
        <w:rPr>
          <w:color w:val="000000" w:themeColor="text1"/>
        </w:rPr>
        <w:lastRenderedPageBreak/>
        <w:t>overfitting</w:t>
      </w:r>
      <w:r w:rsidR="00580AAE" w:rsidRPr="00294BBF">
        <w:rPr>
          <w:color w:val="000000" w:themeColor="text1"/>
        </w:rPr>
        <w:t xml:space="preserve"> </w:t>
      </w:r>
      <w:r w:rsidR="00580AAE" w:rsidRPr="00294BBF">
        <w:rPr>
          <w:color w:val="000000" w:themeColor="text1"/>
        </w:rPr>
        <w:fldChar w:fldCharType="begin" w:fldLock="1"/>
      </w:r>
      <w:r w:rsidR="004B27B5" w:rsidRPr="00294BBF">
        <w:rPr>
          <w:color w:val="000000" w:themeColor="text1"/>
        </w:rPr>
        <w:instrText>ADDIN CSL_CITATION { "citationItems" : [ { "id" : "ITEM-1", "itemData" : { "ISBN" : "1584884746", "author" : [ { "dropping-particle" : "", "family" : "Wood", "given" : "Simon N.", "non-dropping-particle" : "", "parse-names" : false, "suffix" : "" } ], "container-title" : "Chapman and Hall/CRC Press", "id" : "ITEM-1", "issued" : { "date-parts" : [ [ "2006" ] ] }, "page" : "410", "publisher-place" : "Boca Raton", "title" : "Generalized Additive Models: An Introduction with R.", "type" : "article-journal" }, "uris" : [ "http://www.mendeley.com/documents/?uuid=7d169491-6f62-4ce9-978d-cf6781a74227" ] } ], "mendeley" : { "formattedCitation" : "(Wood, 2006)", "plainTextFormattedCitation" : "(Wood, 2006)", "previouslyFormattedCitation" : "(Wood, 2006)" }, "properties" : { "noteIndex" : 0 }, "schema" : "https://github.com/citation-style-language/schema/raw/master/csl-citation.json" }</w:instrText>
      </w:r>
      <w:r w:rsidR="00580AAE" w:rsidRPr="00294BBF">
        <w:rPr>
          <w:color w:val="000000" w:themeColor="text1"/>
        </w:rPr>
        <w:fldChar w:fldCharType="separate"/>
      </w:r>
      <w:r w:rsidR="004B27B5" w:rsidRPr="00294BBF">
        <w:rPr>
          <w:noProof/>
          <w:color w:val="000000" w:themeColor="text1"/>
        </w:rPr>
        <w:t>(Wood, 2006)</w:t>
      </w:r>
      <w:r w:rsidR="00580AAE" w:rsidRPr="00294BBF">
        <w:rPr>
          <w:color w:val="000000" w:themeColor="text1"/>
        </w:rPr>
        <w:fldChar w:fldCharType="end"/>
      </w:r>
      <w:r w:rsidR="00580AAE" w:rsidRPr="00294BBF">
        <w:rPr>
          <w:color w:val="000000" w:themeColor="text1"/>
        </w:rPr>
        <w:t>.</w:t>
      </w:r>
      <w:r w:rsidR="00125A7F">
        <w:rPr>
          <w:color w:val="000000" w:themeColor="text1"/>
        </w:rPr>
        <w:t xml:space="preserve"> L</w:t>
      </w:r>
      <w:r w:rsidR="001F7B84" w:rsidRPr="00294BBF">
        <w:rPr>
          <w:color w:val="000000" w:themeColor="text1"/>
        </w:rPr>
        <w:t>ight condition</w:t>
      </w:r>
      <w:r w:rsidR="00514A80">
        <w:rPr>
          <w:color w:val="000000" w:themeColor="text1"/>
        </w:rPr>
        <w:t>s</w:t>
      </w:r>
      <w:r w:rsidR="00C27032" w:rsidRPr="00294BBF">
        <w:rPr>
          <w:color w:val="000000" w:themeColor="text1"/>
        </w:rPr>
        <w:t xml:space="preserve"> in the upper water column</w:t>
      </w:r>
      <w:r w:rsidR="009F017A" w:rsidRPr="00294BBF">
        <w:rPr>
          <w:color w:val="000000" w:themeColor="text1"/>
        </w:rPr>
        <w:t>, as represented by the elevation of the sun,</w:t>
      </w:r>
      <w:r w:rsidR="00FA608F" w:rsidRPr="00294BBF">
        <w:rPr>
          <w:color w:val="000000" w:themeColor="text1"/>
        </w:rPr>
        <w:t xml:space="preserve"> </w:t>
      </w:r>
      <w:r w:rsidR="00B458A4" w:rsidRPr="00294BBF">
        <w:rPr>
          <w:rFonts w:ascii="Symbol" w:hAnsi="Symbol"/>
          <w:i/>
          <w:color w:val="000000" w:themeColor="text1"/>
        </w:rPr>
        <w:t></w:t>
      </w:r>
      <w:proofErr w:type="gramStart"/>
      <w:r w:rsidR="00FA608F" w:rsidRPr="00294BBF">
        <w:rPr>
          <w:color w:val="000000" w:themeColor="text1"/>
        </w:rPr>
        <w:t xml:space="preserve">, </w:t>
      </w:r>
      <w:r w:rsidR="009F017A" w:rsidRPr="00294BBF">
        <w:rPr>
          <w:color w:val="000000" w:themeColor="text1"/>
        </w:rPr>
        <w:t xml:space="preserve"> </w:t>
      </w:r>
      <w:r w:rsidR="00C27032" w:rsidRPr="00294BBF">
        <w:rPr>
          <w:color w:val="000000" w:themeColor="text1"/>
        </w:rPr>
        <w:t>was</w:t>
      </w:r>
      <w:proofErr w:type="gramEnd"/>
      <w:r w:rsidR="00C27032" w:rsidRPr="00294BBF">
        <w:rPr>
          <w:color w:val="000000" w:themeColor="text1"/>
        </w:rPr>
        <w:t xml:space="preserve"> included as </w:t>
      </w:r>
      <w:r w:rsidR="00254F7F" w:rsidRPr="00294BBF">
        <w:rPr>
          <w:color w:val="000000" w:themeColor="text1"/>
        </w:rPr>
        <w:t xml:space="preserve">a </w:t>
      </w:r>
      <w:r w:rsidR="009F017A" w:rsidRPr="00294BBF">
        <w:rPr>
          <w:color w:val="000000" w:themeColor="text1"/>
        </w:rPr>
        <w:t xml:space="preserve">cubic spline </w:t>
      </w:r>
      <w:r w:rsidR="00C27032" w:rsidRPr="00294BBF">
        <w:rPr>
          <w:color w:val="000000" w:themeColor="text1"/>
        </w:rPr>
        <w:t>smoother in all models</w:t>
      </w:r>
      <w:r w:rsidR="00D13570" w:rsidRPr="00294BBF">
        <w:rPr>
          <w:color w:val="000000" w:themeColor="text1"/>
        </w:rPr>
        <w:t>.</w:t>
      </w:r>
      <w:r w:rsidR="00B12B44" w:rsidRPr="00294BBF">
        <w:rPr>
          <w:rFonts w:cs="Times New Roman"/>
          <w:color w:val="000000" w:themeColor="text1"/>
        </w:rPr>
        <w:t xml:space="preserve"> </w:t>
      </w:r>
    </w:p>
    <w:p w14:paraId="4C71AB8D" w14:textId="3DC1905B" w:rsidR="00F2370A" w:rsidRPr="00294BBF" w:rsidRDefault="0087752B" w:rsidP="00C27032">
      <w:pPr>
        <w:rPr>
          <w:rFonts w:eastAsiaTheme="majorEastAsia" w:cstheme="majorBidi"/>
          <w:bCs/>
          <w:i/>
          <w:iCs/>
          <w:color w:val="000000" w:themeColor="text1"/>
          <w:szCs w:val="24"/>
        </w:rPr>
      </w:pPr>
      <w:r w:rsidRPr="00294BBF">
        <w:rPr>
          <w:rStyle w:val="Overskrift4Tegn"/>
          <w:color w:val="000000" w:themeColor="text1"/>
        </w:rPr>
        <w:t>Space-t</w:t>
      </w:r>
      <w:r w:rsidR="00C27032" w:rsidRPr="00294BBF">
        <w:rPr>
          <w:rStyle w:val="Overskrift4Tegn"/>
          <w:color w:val="000000" w:themeColor="text1"/>
        </w:rPr>
        <w:t>ime interpolation</w:t>
      </w:r>
      <w:r w:rsidR="009F20FD" w:rsidRPr="00294BBF">
        <w:rPr>
          <w:rStyle w:val="Overskrift4Tegn"/>
          <w:color w:val="000000" w:themeColor="text1"/>
        </w:rPr>
        <w:t xml:space="preserve"> (STI)</w:t>
      </w:r>
      <w:r w:rsidR="00161B41" w:rsidRPr="00294BBF">
        <w:rPr>
          <w:rStyle w:val="Overskrift4Tegn"/>
          <w:color w:val="000000" w:themeColor="text1"/>
        </w:rPr>
        <w:tab/>
      </w:r>
      <w:r w:rsidR="00663DB6" w:rsidRPr="00294BBF">
        <w:rPr>
          <w:rStyle w:val="Overskrift4Tegn"/>
          <w:color w:val="000000" w:themeColor="text1"/>
        </w:rPr>
        <w:br/>
      </w:r>
      <w:r w:rsidR="00663DB6" w:rsidRPr="00294BBF">
        <w:rPr>
          <w:color w:val="000000" w:themeColor="text1"/>
          <w:lang w:val="en-US"/>
        </w:rPr>
        <w:t xml:space="preserve">In order to allow a simple </w:t>
      </w:r>
      <w:r w:rsidR="00663DB6" w:rsidRPr="00294BBF">
        <w:rPr>
          <w:color w:val="000000" w:themeColor="text1"/>
        </w:rPr>
        <w:t>characterisation</w:t>
      </w:r>
      <w:r w:rsidR="00663DB6" w:rsidRPr="00294BBF">
        <w:rPr>
          <w:color w:val="000000" w:themeColor="text1"/>
          <w:lang w:val="en-US"/>
        </w:rPr>
        <w:t xml:space="preserve"> of the spawning distribution in relation to the state of the marine environment, a</w:t>
      </w:r>
      <w:r w:rsidR="00663DB6" w:rsidRPr="00294BBF">
        <w:rPr>
          <w:color w:val="000000" w:themeColor="text1"/>
        </w:rPr>
        <w:t xml:space="preserve"> model of the CPR data over space (latitude and longitude) and time (i.e. the day of the year, DOY)</w:t>
      </w:r>
      <w:r w:rsidR="009A5F4A" w:rsidRPr="00294BBF">
        <w:rPr>
          <w:color w:val="000000" w:themeColor="text1"/>
        </w:rPr>
        <w:t xml:space="preserve"> was employed</w:t>
      </w:r>
      <w:r w:rsidR="00663DB6" w:rsidRPr="00294BBF">
        <w:rPr>
          <w:color w:val="000000" w:themeColor="text1"/>
        </w:rPr>
        <w:t xml:space="preserve">, </w:t>
      </w:r>
      <w:r w:rsidR="00663DB6" w:rsidRPr="00294BBF">
        <w:rPr>
          <w:color w:val="000000" w:themeColor="text1"/>
          <w:lang w:val="en-US"/>
        </w:rPr>
        <w:t>termed</w:t>
      </w:r>
      <w:r w:rsidR="00CA34FB">
        <w:rPr>
          <w:color w:val="000000" w:themeColor="text1"/>
          <w:lang w:val="en-US"/>
        </w:rPr>
        <w:t xml:space="preserve"> the</w:t>
      </w:r>
      <w:r w:rsidR="00663DB6" w:rsidRPr="00294BBF">
        <w:rPr>
          <w:color w:val="000000" w:themeColor="text1"/>
          <w:lang w:val="en-US"/>
        </w:rPr>
        <w:t xml:space="preserve"> </w:t>
      </w:r>
      <w:r w:rsidR="00CA34FB">
        <w:rPr>
          <w:color w:val="000000" w:themeColor="text1"/>
          <w:lang w:val="en-US"/>
        </w:rPr>
        <w:t>“</w:t>
      </w:r>
      <w:r w:rsidR="00663DB6" w:rsidRPr="00294BBF">
        <w:rPr>
          <w:color w:val="000000" w:themeColor="text1"/>
          <w:lang w:val="en-US"/>
        </w:rPr>
        <w:t>space-time interpolation</w:t>
      </w:r>
      <w:r w:rsidR="00CA34FB">
        <w:rPr>
          <w:color w:val="000000" w:themeColor="text1"/>
          <w:lang w:val="en-US"/>
        </w:rPr>
        <w:t>”</w:t>
      </w:r>
      <w:r w:rsidR="00663DB6" w:rsidRPr="00294BBF">
        <w:rPr>
          <w:color w:val="000000" w:themeColor="text1"/>
          <w:lang w:val="en-US"/>
        </w:rPr>
        <w:t xml:space="preserve"> model (STI)</w:t>
      </w:r>
      <w:r w:rsidR="00663DB6" w:rsidRPr="00294BBF">
        <w:rPr>
          <w:color w:val="000000" w:themeColor="text1"/>
        </w:rPr>
        <w:t xml:space="preserve">, which is similar to the model of </w:t>
      </w:r>
      <w:r w:rsidR="00663DB6" w:rsidRPr="00294BBF">
        <w:rPr>
          <w:color w:val="000000" w:themeColor="text1"/>
        </w:rPr>
        <w:fldChar w:fldCharType="begin" w:fldLock="1"/>
      </w:r>
      <w:r w:rsidR="00675563" w:rsidRPr="00294BBF">
        <w:rPr>
          <w:color w:val="000000" w:themeColor="text1"/>
        </w:rPr>
        <w:instrText>ADDIN CSL_CITATION { "citationItems" : [ { "id" : "ITEM-1", "itemData" : { "DOI" : "10.1371/journal.pone.0106237", "author" : [ { "dropping-particle" : "", "family" : "Pointin", "given" : "Fabien", "non-dropping-particle" : "", "parse-names" : false, "suffix" : "" }, { "dropping-particle" : "", "family" : "Payne", "given" : "Mark R.", "non-dropping-particle" : "", "parse-names" : false, "suffix" : "" } ], "container-title" : "PloS ONE", "id" : "ITEM-1", "issue" : "9", "issued" : { "date-parts" : [ [ "2014" ] ] }, "page" : "1-11", "title" : "A Resolution to the Blue Whiting (Micromesistius poutassou) Population Paradox?", "type" : "article-journal", "volume" : "9" }, "uris" : [ "http://www.mendeley.com/documents/?uuid=6a6f494c-8d8f-4687-b6e3-cf82728f52eb" ] } ], "mendeley" : { "formattedCitation" : "(Pointin and Payne, 2014)", "manualFormatting" : "Pointin and Payne (2014)", "plainTextFormattedCitation" : "(Pointin and Payne, 2014)", "previouslyFormattedCitation" : "(Pointin and Payne, 2014)" }, "properties" : { "noteIndex" : 0 }, "schema" : "https://github.com/citation-style-language/schema/raw/master/csl-citation.json" }</w:instrText>
      </w:r>
      <w:r w:rsidR="00663DB6" w:rsidRPr="00294BBF">
        <w:rPr>
          <w:color w:val="000000" w:themeColor="text1"/>
        </w:rPr>
        <w:fldChar w:fldCharType="separate"/>
      </w:r>
      <w:r w:rsidR="00663DB6" w:rsidRPr="00294BBF">
        <w:rPr>
          <w:noProof/>
          <w:color w:val="000000" w:themeColor="text1"/>
        </w:rPr>
        <w:t>Pointin and Payne (2014)</w:t>
      </w:r>
      <w:r w:rsidR="00663DB6" w:rsidRPr="00294BBF">
        <w:rPr>
          <w:color w:val="000000" w:themeColor="text1"/>
        </w:rPr>
        <w:fldChar w:fldCharType="end"/>
      </w:r>
      <w:r w:rsidR="00663DB6" w:rsidRPr="00294BBF">
        <w:rPr>
          <w:color w:val="000000" w:themeColor="text1"/>
        </w:rPr>
        <w:t xml:space="preserve">. </w:t>
      </w:r>
      <w:r w:rsidR="00DB339B" w:rsidRPr="00294BBF">
        <w:rPr>
          <w:color w:val="000000" w:themeColor="text1"/>
        </w:rPr>
        <w:t>A three-dime</w:t>
      </w:r>
      <w:r w:rsidR="004E20C3" w:rsidRPr="00294BBF">
        <w:rPr>
          <w:color w:val="000000" w:themeColor="text1"/>
        </w:rPr>
        <w:t xml:space="preserve">nsional tensor-product smoother </w:t>
      </w:r>
      <w:r w:rsidR="004E20C3" w:rsidRPr="00294BBF">
        <w:rPr>
          <w:color w:val="000000" w:themeColor="text1"/>
        </w:rPr>
        <w:fldChar w:fldCharType="begin" w:fldLock="1"/>
      </w:r>
      <w:r w:rsidR="004B27B5" w:rsidRPr="00294BBF">
        <w:rPr>
          <w:color w:val="000000" w:themeColor="text1"/>
        </w:rPr>
        <w:instrText>ADDIN CSL_CITATION { "citationItems" : [ { "id" : "ITEM-1", "itemData" : { "ISBN" : "1584884746", "author" : [ { "dropping-particle" : "", "family" : "Wood", "given" : "Simon N.", "non-dropping-particle" : "", "parse-names" : false, "suffix" : "" } ], "container-title" : "Chapman and Hall/CRC Press", "id" : "ITEM-1", "issued" : { "date-parts" : [ [ "2006" ] ] }, "page" : "410", "publisher-place" : "Boca Raton", "title" : "Generalized Additive Models: An Introduction with R.", "type" : "article-journal" }, "uris" : [ "http://www.mendeley.com/documents/?uuid=7d169491-6f62-4ce9-978d-cf6781a74227" ] } ], "mendeley" : { "formattedCitation" : "(Wood, 2006)", "plainTextFormattedCitation" : "(Wood, 2006)", "previouslyFormattedCitation" : "(Wood, 2006)" }, "properties" : { "noteIndex" : 0 }, "schema" : "https://github.com/citation-style-language/schema/raw/master/csl-citation.json" }</w:instrText>
      </w:r>
      <w:r w:rsidR="004E20C3" w:rsidRPr="00294BBF">
        <w:rPr>
          <w:color w:val="000000" w:themeColor="text1"/>
        </w:rPr>
        <w:fldChar w:fldCharType="separate"/>
      </w:r>
      <w:r w:rsidR="004B27B5" w:rsidRPr="00294BBF">
        <w:rPr>
          <w:noProof/>
          <w:color w:val="000000" w:themeColor="text1"/>
        </w:rPr>
        <w:t>(Wood, 2006)</w:t>
      </w:r>
      <w:r w:rsidR="004E20C3" w:rsidRPr="00294BBF">
        <w:rPr>
          <w:color w:val="000000" w:themeColor="text1"/>
        </w:rPr>
        <w:fldChar w:fldCharType="end"/>
      </w:r>
      <w:r w:rsidR="004E20C3" w:rsidRPr="00294BBF">
        <w:rPr>
          <w:color w:val="000000" w:themeColor="text1"/>
        </w:rPr>
        <w:t xml:space="preserve">, </w:t>
      </w:r>
      <w:r w:rsidR="00DB339B" w:rsidRPr="00294BBF">
        <w:rPr>
          <w:color w:val="000000" w:themeColor="text1"/>
        </w:rPr>
        <w:t xml:space="preserve">with latitude, longitude and </w:t>
      </w:r>
      <w:r w:rsidR="00716C92" w:rsidRPr="00294BBF">
        <w:rPr>
          <w:color w:val="000000" w:themeColor="text1"/>
        </w:rPr>
        <w:t xml:space="preserve">day-of-year </w:t>
      </w:r>
      <w:r w:rsidR="00DB339B" w:rsidRPr="00294BBF">
        <w:rPr>
          <w:color w:val="000000" w:themeColor="text1"/>
        </w:rPr>
        <w:t>as the dimensions was employed</w:t>
      </w:r>
      <w:r w:rsidR="00FC5767" w:rsidRPr="00294BBF">
        <w:rPr>
          <w:color w:val="000000" w:themeColor="text1"/>
        </w:rPr>
        <w:t xml:space="preserve"> </w:t>
      </w:r>
      <w:r w:rsidR="00DB339B" w:rsidRPr="00294BBF">
        <w:rPr>
          <w:color w:val="000000" w:themeColor="text1"/>
        </w:rPr>
        <w:t xml:space="preserve">to characterise the space-time variability. </w:t>
      </w:r>
      <w:r w:rsidR="00F2370A" w:rsidRPr="00294BBF">
        <w:rPr>
          <w:color w:val="000000" w:themeColor="text1"/>
        </w:rPr>
        <w:t xml:space="preserve">In order to </w:t>
      </w:r>
      <w:r w:rsidR="00F2370A" w:rsidRPr="00294BBF">
        <w:rPr>
          <w:rFonts w:eastAsia="Droid Sans Fallback"/>
          <w:color w:val="000000" w:themeColor="text1"/>
        </w:rPr>
        <w:t>investigate whether the previously reported shifts in the distribution of spawning blue whiting in response to the climatic regime in the spawnin</w:t>
      </w:r>
      <w:r w:rsidR="00C845A4" w:rsidRPr="00294BBF">
        <w:rPr>
          <w:rFonts w:eastAsia="Droid Sans Fallback"/>
          <w:color w:val="000000" w:themeColor="text1"/>
        </w:rPr>
        <w:t xml:space="preserve">g region </w:t>
      </w:r>
      <w:r w:rsidR="00F2370A" w:rsidRPr="00294BBF">
        <w:rPr>
          <w:rFonts w:eastAsia="Droid Sans Fallback"/>
          <w:color w:val="000000" w:themeColor="text1"/>
        </w:rPr>
        <w:t xml:space="preserve">is also apparent in the larval CPR data, separate space-time models were </w:t>
      </w:r>
      <w:r w:rsidR="0061601E" w:rsidRPr="00294BBF">
        <w:rPr>
          <w:rFonts w:eastAsia="Droid Sans Fallback"/>
          <w:color w:val="000000" w:themeColor="text1"/>
        </w:rPr>
        <w:t xml:space="preserve">also </w:t>
      </w:r>
      <w:r w:rsidR="00F2370A" w:rsidRPr="00294BBF">
        <w:rPr>
          <w:rFonts w:eastAsia="Droid Sans Fallback"/>
          <w:color w:val="000000" w:themeColor="text1"/>
        </w:rPr>
        <w:t>fitted for individual climatic regimes</w:t>
      </w:r>
      <w:r w:rsidR="0061601E" w:rsidRPr="00294BBF">
        <w:rPr>
          <w:rFonts w:eastAsia="Droid Sans Fallback"/>
          <w:color w:val="000000" w:themeColor="text1"/>
        </w:rPr>
        <w:t>, and compared to a single baseline model using all data.</w:t>
      </w:r>
    </w:p>
    <w:p w14:paraId="045326C7" w14:textId="77777777" w:rsidR="00937ADA" w:rsidRDefault="00580AAE" w:rsidP="00675563">
      <w:pPr>
        <w:rPr>
          <w:color w:val="000000" w:themeColor="text1"/>
        </w:rPr>
      </w:pPr>
      <w:r w:rsidRPr="00294BBF">
        <w:rPr>
          <w:rStyle w:val="Overskrift4Tegn"/>
          <w:color w:val="000000" w:themeColor="text1"/>
        </w:rPr>
        <w:t>Species Distribution Models</w:t>
      </w:r>
      <w:r w:rsidR="009B7D10" w:rsidRPr="00294BBF">
        <w:rPr>
          <w:rStyle w:val="Overskrift4Tegn"/>
          <w:color w:val="000000" w:themeColor="text1"/>
        </w:rPr>
        <w:t xml:space="preserve"> (SDM</w:t>
      </w:r>
      <w:r w:rsidRPr="00294BBF">
        <w:rPr>
          <w:rStyle w:val="Overskrift4Tegn"/>
          <w:color w:val="000000" w:themeColor="text1"/>
        </w:rPr>
        <w:t>s</w:t>
      </w:r>
      <w:r w:rsidR="009B7D10" w:rsidRPr="00294BBF">
        <w:rPr>
          <w:rStyle w:val="Overskrift4Tegn"/>
          <w:color w:val="000000" w:themeColor="text1"/>
        </w:rPr>
        <w:t>)</w:t>
      </w:r>
      <w:r w:rsidR="00161B41" w:rsidRPr="00294BBF">
        <w:rPr>
          <w:rStyle w:val="Overskrift4Tegn"/>
          <w:color w:val="000000" w:themeColor="text1"/>
        </w:rPr>
        <w:tab/>
      </w:r>
      <w:r w:rsidR="00161B41" w:rsidRPr="00294BBF">
        <w:rPr>
          <w:b/>
          <w:color w:val="000000" w:themeColor="text1"/>
        </w:rPr>
        <w:br/>
      </w:r>
      <w:r w:rsidR="00E62505" w:rsidRPr="00294BBF">
        <w:rPr>
          <w:color w:val="000000" w:themeColor="text1"/>
        </w:rPr>
        <w:t xml:space="preserve">Species distribution models (SDMs) were used to </w:t>
      </w:r>
      <w:r w:rsidR="00FC5767" w:rsidRPr="00294BBF">
        <w:rPr>
          <w:color w:val="000000" w:themeColor="text1"/>
        </w:rPr>
        <w:t xml:space="preserve">examine the </w:t>
      </w:r>
      <w:r w:rsidR="00C44EF1" w:rsidRPr="00294BBF">
        <w:rPr>
          <w:color w:val="000000" w:themeColor="text1"/>
        </w:rPr>
        <w:t>processes driving the spatial and temporal distribution of spawning</w:t>
      </w:r>
      <w:r w:rsidR="00984FB6" w:rsidRPr="00294BBF">
        <w:rPr>
          <w:color w:val="000000" w:themeColor="text1"/>
        </w:rPr>
        <w:t xml:space="preserve">. </w:t>
      </w:r>
      <w:r w:rsidR="00470DC4" w:rsidRPr="00294BBF">
        <w:rPr>
          <w:color w:val="000000" w:themeColor="text1"/>
        </w:rPr>
        <w:t>Due to the relatively large number of potential variables that could be considered, the development of the SDM took place in two steps – first, the effect of constant geographical features was considered</w:t>
      </w:r>
      <w:r w:rsidR="00B81DB0" w:rsidRPr="00294BBF">
        <w:rPr>
          <w:color w:val="000000" w:themeColor="text1"/>
        </w:rPr>
        <w:t xml:space="preserve"> in a model set termed geographical model set (GEO)</w:t>
      </w:r>
      <w:r w:rsidR="00470DC4" w:rsidRPr="00294BBF">
        <w:rPr>
          <w:color w:val="000000" w:themeColor="text1"/>
        </w:rPr>
        <w:t xml:space="preserve"> and the “best” model identified. Environmental variables were </w:t>
      </w:r>
      <w:r w:rsidR="00AC10AD" w:rsidRPr="00294BBF">
        <w:rPr>
          <w:color w:val="000000" w:themeColor="text1"/>
        </w:rPr>
        <w:t xml:space="preserve">then </w:t>
      </w:r>
      <w:r w:rsidR="00470DC4" w:rsidRPr="00294BBF">
        <w:rPr>
          <w:color w:val="000000" w:themeColor="text1"/>
        </w:rPr>
        <w:t xml:space="preserve">added to this model to develop the full SDM. </w:t>
      </w:r>
      <w:r w:rsidR="00AC10AD" w:rsidRPr="00294BBF">
        <w:rPr>
          <w:color w:val="000000" w:themeColor="text1"/>
        </w:rPr>
        <w:tab/>
      </w:r>
    </w:p>
    <w:p w14:paraId="40C72073" w14:textId="708AEFF5" w:rsidR="00937ADA" w:rsidRDefault="00866A4E" w:rsidP="00675563">
      <w:pPr>
        <w:rPr>
          <w:color w:val="000000" w:themeColor="text1"/>
          <w:lang w:val="en-US"/>
        </w:rPr>
      </w:pPr>
      <w:r w:rsidRPr="00294BBF">
        <w:rPr>
          <w:color w:val="000000" w:themeColor="text1"/>
          <w:lang w:val="en-US"/>
        </w:rPr>
        <w:t xml:space="preserve">As blue whiting are typically found between </w:t>
      </w:r>
      <w:r w:rsidR="00010976">
        <w:rPr>
          <w:color w:val="000000" w:themeColor="text1"/>
          <w:lang w:val="en-US"/>
        </w:rPr>
        <w:t>250</w:t>
      </w:r>
      <w:r w:rsidR="00010976" w:rsidRPr="00294BBF">
        <w:rPr>
          <w:color w:val="000000" w:themeColor="text1"/>
          <w:lang w:val="en-US"/>
        </w:rPr>
        <w:t xml:space="preserve"> </w:t>
      </w:r>
      <w:r w:rsidRPr="00294BBF">
        <w:rPr>
          <w:color w:val="000000" w:themeColor="text1"/>
          <w:lang w:val="en-US"/>
        </w:rPr>
        <w:t>and 600</w:t>
      </w:r>
      <w:r w:rsidR="00580AAE" w:rsidRPr="00294BBF">
        <w:rPr>
          <w:color w:val="000000" w:themeColor="text1"/>
          <w:lang w:val="en-US"/>
        </w:rPr>
        <w:t xml:space="preserve"> </w:t>
      </w:r>
      <w:r w:rsidRPr="00294BBF">
        <w:rPr>
          <w:color w:val="000000" w:themeColor="text1"/>
          <w:lang w:val="en-US"/>
        </w:rPr>
        <w:t xml:space="preserve">m, their distribution can be expected to be shaped, at least in part, by oceanic bathymetry. </w:t>
      </w:r>
      <w:r w:rsidR="00FA7DDC" w:rsidRPr="00294BBF">
        <w:rPr>
          <w:color w:val="000000" w:themeColor="text1"/>
          <w:lang w:val="en-US"/>
        </w:rPr>
        <w:t xml:space="preserve">There is little evidence to </w:t>
      </w:r>
      <w:r w:rsidR="00FA7DDC" w:rsidRPr="00294BBF">
        <w:rPr>
          <w:color w:val="000000" w:themeColor="text1"/>
          <w:lang w:val="en-US"/>
        </w:rPr>
        <w:lastRenderedPageBreak/>
        <w:t xml:space="preserve">support spawning in shallow waters and we therefore considered a depth term in our models to account for this effect. Similarly, spawning blue whiting are commonly associated with the Continental Shelf edge </w:t>
      </w:r>
      <w:r w:rsidR="00FA7DDC" w:rsidRPr="00294BBF">
        <w:rPr>
          <w:color w:val="000000" w:themeColor="text1"/>
          <w:lang w:val="en-US"/>
        </w:rPr>
        <w:fldChar w:fldCharType="begin" w:fldLock="1"/>
      </w:r>
      <w:r w:rsidR="00E73F3C" w:rsidRPr="00294BBF">
        <w:rPr>
          <w:color w:val="000000" w:themeColor="text1"/>
          <w:lang w:val="en-US"/>
        </w:rPr>
        <w:instrText>ADDIN CSL_CITATION { "citationItems" : [ { "id" : "ITEM-1", "itemData" : { "author" : [ { "dropping-particle" : "", "family" : "ICES", "given" : "", "non-dropping-particle" : "", "parse-names" : false, "suffix" : "" } ], "container-title" : "ICES CM 2016/ACOM:16", "id" : "ITEM-1", "issued" : { "date-parts" : [ [ "2016" ] ] }, "number-of-pages" : "604", "title" : "Report of the Working Group on Widely Distributed Stocks (WGWIDE). ICES CM 2016/ACOM:16", "type" : "report" }, "uris" : [ "http://www.mendeley.com/documents/?uuid=586d1510-0fd5-4925-982a-534ab286150a", "http://www.mendeley.com/documents/?uuid=15e116fe-7451-4bf6-8121-85084f36a8af" ] } ], "mendeley" : { "formattedCitation" : "(ICES, 2016a)", "plainTextFormattedCitation" : "(ICES, 2016a)", "previouslyFormattedCitation" : "(ICES, 2016a)" }, "properties" : { "noteIndex" : 0 }, "schema" : "https://github.com/citation-style-language/schema/raw/master/csl-citation.json" }</w:instrText>
      </w:r>
      <w:r w:rsidR="00FA7DDC" w:rsidRPr="00294BBF">
        <w:rPr>
          <w:color w:val="000000" w:themeColor="text1"/>
          <w:lang w:val="en-US"/>
        </w:rPr>
        <w:fldChar w:fldCharType="separate"/>
      </w:r>
      <w:r w:rsidR="00763109" w:rsidRPr="00294BBF">
        <w:rPr>
          <w:noProof/>
          <w:color w:val="000000" w:themeColor="text1"/>
          <w:lang w:val="en-US"/>
        </w:rPr>
        <w:t>(ICES, 2016a)</w:t>
      </w:r>
      <w:r w:rsidR="00FA7DDC" w:rsidRPr="00294BBF">
        <w:rPr>
          <w:color w:val="000000" w:themeColor="text1"/>
          <w:lang w:val="en-US"/>
        </w:rPr>
        <w:fldChar w:fldCharType="end"/>
      </w:r>
      <w:r w:rsidR="00FA7DDC" w:rsidRPr="00294BBF">
        <w:rPr>
          <w:color w:val="000000" w:themeColor="text1"/>
          <w:lang w:val="en-US"/>
        </w:rPr>
        <w:t xml:space="preserve"> and we therefore considered the bottom-slope as an additional term in the model. </w:t>
      </w:r>
    </w:p>
    <w:p w14:paraId="3C44CC00" w14:textId="1D248D35" w:rsidR="00F22CA7" w:rsidRDefault="00675563" w:rsidP="00BB65F8">
      <w:pPr>
        <w:rPr>
          <w:color w:val="000000" w:themeColor="text1"/>
        </w:rPr>
      </w:pPr>
      <w:r w:rsidRPr="00294BBF">
        <w:rPr>
          <w:color w:val="000000" w:themeColor="text1"/>
        </w:rPr>
        <w:t xml:space="preserve">A </w:t>
      </w:r>
      <w:r w:rsidR="00B33E77" w:rsidRPr="00294BBF">
        <w:rPr>
          <w:color w:val="000000" w:themeColor="text1"/>
        </w:rPr>
        <w:t>particular challenge in developing SDMs for this species stems from the large migrations that b</w:t>
      </w:r>
      <w:r w:rsidR="001C58D0" w:rsidRPr="00294BBF">
        <w:rPr>
          <w:color w:val="000000" w:themeColor="text1"/>
        </w:rPr>
        <w:t>lue whiting</w:t>
      </w:r>
      <w:r w:rsidR="003550B6" w:rsidRPr="00294BBF">
        <w:rPr>
          <w:color w:val="000000" w:themeColor="text1"/>
        </w:rPr>
        <w:t xml:space="preserve"> undertake</w:t>
      </w:r>
      <w:r w:rsidR="00332B4B" w:rsidRPr="00294BBF">
        <w:rPr>
          <w:color w:val="000000" w:themeColor="text1"/>
        </w:rPr>
        <w:t xml:space="preserve">. </w:t>
      </w:r>
      <w:r w:rsidR="00AF0528" w:rsidRPr="00294BBF">
        <w:rPr>
          <w:color w:val="000000" w:themeColor="text1"/>
        </w:rPr>
        <w:t>While t</w:t>
      </w:r>
      <w:r w:rsidR="00332B4B" w:rsidRPr="00294BBF">
        <w:rPr>
          <w:color w:val="000000" w:themeColor="text1"/>
        </w:rPr>
        <w:t xml:space="preserve">he </w:t>
      </w:r>
      <w:r w:rsidR="001C58D0" w:rsidRPr="00294BBF">
        <w:rPr>
          <w:color w:val="000000" w:themeColor="text1"/>
        </w:rPr>
        <w:t>feeding (and overwintering) grounds</w:t>
      </w:r>
      <w:r w:rsidR="00332B4B" w:rsidRPr="00294BBF">
        <w:rPr>
          <w:color w:val="000000" w:themeColor="text1"/>
        </w:rPr>
        <w:t xml:space="preserve"> for this species are </w:t>
      </w:r>
      <w:r w:rsidR="006A0524" w:rsidRPr="00294BBF">
        <w:rPr>
          <w:color w:val="000000" w:themeColor="text1"/>
        </w:rPr>
        <w:t xml:space="preserve">mainly </w:t>
      </w:r>
      <w:r w:rsidR="001C58D0" w:rsidRPr="00294BBF">
        <w:rPr>
          <w:color w:val="000000" w:themeColor="text1"/>
        </w:rPr>
        <w:t xml:space="preserve">in the Norwegian </w:t>
      </w:r>
      <w:r w:rsidR="00BD63F4" w:rsidRPr="00294BBF">
        <w:rPr>
          <w:color w:val="000000" w:themeColor="text1"/>
        </w:rPr>
        <w:t>S</w:t>
      </w:r>
      <w:r w:rsidR="001C58D0" w:rsidRPr="00294BBF">
        <w:rPr>
          <w:color w:val="000000" w:themeColor="text1"/>
        </w:rPr>
        <w:t>ea</w:t>
      </w:r>
      <w:r w:rsidR="00020AAB" w:rsidRPr="00294BBF">
        <w:rPr>
          <w:color w:val="000000" w:themeColor="text1"/>
        </w:rPr>
        <w:t xml:space="preserve">, </w:t>
      </w:r>
      <w:r w:rsidR="00332B4B" w:rsidRPr="00294BBF">
        <w:rPr>
          <w:color w:val="000000" w:themeColor="text1"/>
        </w:rPr>
        <w:t xml:space="preserve">spawning </w:t>
      </w:r>
      <w:r w:rsidR="00F73DE0" w:rsidRPr="00294BBF">
        <w:rPr>
          <w:color w:val="000000" w:themeColor="text1"/>
        </w:rPr>
        <w:t>occurs to the</w:t>
      </w:r>
      <w:r w:rsidR="00332B4B" w:rsidRPr="00294BBF">
        <w:rPr>
          <w:color w:val="000000" w:themeColor="text1"/>
        </w:rPr>
        <w:t xml:space="preserve"> we</w:t>
      </w:r>
      <w:r w:rsidR="00F73DE0" w:rsidRPr="00294BBF">
        <w:rPr>
          <w:color w:val="000000" w:themeColor="text1"/>
        </w:rPr>
        <w:t>st of Great Britain and Ireland</w:t>
      </w:r>
      <w:r w:rsidR="00E92945" w:rsidRPr="00294BBF">
        <w:rPr>
          <w:color w:val="000000" w:themeColor="text1"/>
        </w:rPr>
        <w:t xml:space="preserve"> </w:t>
      </w:r>
      <w:r w:rsidR="00E92945" w:rsidRPr="00294BBF">
        <w:rPr>
          <w:color w:val="000000" w:themeColor="text1"/>
        </w:rPr>
        <w:fldChar w:fldCharType="begin" w:fldLock="1"/>
      </w:r>
      <w:r w:rsidR="00E40F45" w:rsidRPr="00294BBF">
        <w:rPr>
          <w:color w:val="000000" w:themeColor="text1"/>
        </w:rPr>
        <w:instrText>ADDIN CSL_CITATION { "citationItems" : [ { "id" : "ITEM-1", "itemData" : { "author" : [ { "dropping-particle" : "", "family" : "Bailey", "given" : "R. S.", "non-dropping-particle" : "", "parse-names" : false, "suffix" : "" } ], "container-title" : "Advances in Marine Biology", "id" : "ITEM-1", "issued" : { "date-parts" : [ [ "1982" ] ] }, "page" : "257-355", "title" : "The population biology of blue whiting in the North Atlantic", "type" : "article-journal", "volume" : "19" }, "uris" : [ "http://www.mendeley.com/documents/?uuid=6d669d08-4d65-4bc6-9528-0a308ec660b1" ] }, { "id" : "ITEM-2", "itemData" : { "author" : [ { "dropping-particle" : "", "family" : "ICES", "given" : "", "non-dropping-particle" : "", "parse-names" : false, "suffix" : "" } ], "container-title" : "ICES Stock Annex 2016.", "id" : "ITEM-2", "issued" : { "date-parts" : [ [ "2016" ] ] }, "number-of-pages" : "1-38", "title" : "Stock Annex for Blue Whiting (Subareas I-IX, XI I and XIV). ICES Stock Annex 2016.", "type" : "report" }, "uris" : [ "http://www.mendeley.com/documents/?uuid=aade341d-df3d-4ff1-b494-f979222c4434" ] } ], "mendeley" : { "formattedCitation" : "(Bailey, 1982; ICES, 2016b)", "plainTextFormattedCitation" : "(Bailey, 1982; ICES, 2016b)", "previouslyFormattedCitation" : "(Bailey, 1982; ICES, 2016b)" }, "properties" : { "noteIndex" : 0 }, "schema" : "https://github.com/citation-style-language/schema/raw/master/csl-citation.json" }</w:instrText>
      </w:r>
      <w:r w:rsidR="00E92945" w:rsidRPr="00294BBF">
        <w:rPr>
          <w:color w:val="000000" w:themeColor="text1"/>
        </w:rPr>
        <w:fldChar w:fldCharType="separate"/>
      </w:r>
      <w:r w:rsidR="00E40F45" w:rsidRPr="00294BBF">
        <w:rPr>
          <w:noProof/>
          <w:color w:val="000000" w:themeColor="text1"/>
        </w:rPr>
        <w:t>(Bailey, 1982; ICES, 2016b)</w:t>
      </w:r>
      <w:r w:rsidR="00E92945" w:rsidRPr="00294BBF">
        <w:rPr>
          <w:color w:val="000000" w:themeColor="text1"/>
        </w:rPr>
        <w:fldChar w:fldCharType="end"/>
      </w:r>
      <w:r w:rsidR="00F73DE0" w:rsidRPr="00294BBF">
        <w:rPr>
          <w:color w:val="000000" w:themeColor="text1"/>
        </w:rPr>
        <w:t>. A</w:t>
      </w:r>
      <w:r w:rsidR="002F0E5F" w:rsidRPr="00294BBF">
        <w:rPr>
          <w:color w:val="000000" w:themeColor="text1"/>
        </w:rPr>
        <w:t>fter spawning</w:t>
      </w:r>
      <w:r w:rsidR="00803032">
        <w:rPr>
          <w:color w:val="000000" w:themeColor="text1"/>
        </w:rPr>
        <w:t>,</w:t>
      </w:r>
      <w:r w:rsidR="00B6352D" w:rsidRPr="00294BBF">
        <w:rPr>
          <w:color w:val="000000" w:themeColor="text1"/>
        </w:rPr>
        <w:t xml:space="preserve"> </w:t>
      </w:r>
      <w:r w:rsidR="001D2B28" w:rsidRPr="00294BBF">
        <w:rPr>
          <w:color w:val="000000" w:themeColor="text1"/>
        </w:rPr>
        <w:t xml:space="preserve">the species returns quickly to the </w:t>
      </w:r>
      <w:r w:rsidR="00B6352D" w:rsidRPr="00294BBF">
        <w:rPr>
          <w:color w:val="000000" w:themeColor="text1"/>
        </w:rPr>
        <w:t>Norwegian S</w:t>
      </w:r>
      <w:r w:rsidR="006A09A4" w:rsidRPr="00294BBF">
        <w:rPr>
          <w:color w:val="000000" w:themeColor="text1"/>
        </w:rPr>
        <w:t xml:space="preserve">ea </w:t>
      </w:r>
      <w:r w:rsidR="001D2B28" w:rsidRPr="00294BBF">
        <w:rPr>
          <w:color w:val="000000" w:themeColor="text1"/>
        </w:rPr>
        <w:t xml:space="preserve">feeding grounds in time to </w:t>
      </w:r>
      <w:r w:rsidR="0049504F" w:rsidRPr="00294BBF">
        <w:rPr>
          <w:color w:val="000000" w:themeColor="text1"/>
        </w:rPr>
        <w:t>take advantage of the</w:t>
      </w:r>
      <w:r w:rsidR="00677FD4" w:rsidRPr="00294BBF">
        <w:rPr>
          <w:color w:val="000000" w:themeColor="text1"/>
        </w:rPr>
        <w:t xml:space="preserve"> productivity in this region in</w:t>
      </w:r>
      <w:r w:rsidR="0049504F" w:rsidRPr="00294BBF">
        <w:rPr>
          <w:color w:val="000000" w:themeColor="text1"/>
        </w:rPr>
        <w:t xml:space="preserve"> </w:t>
      </w:r>
      <w:r w:rsidR="00677FD4" w:rsidRPr="00294BBF">
        <w:rPr>
          <w:color w:val="000000" w:themeColor="text1"/>
        </w:rPr>
        <w:t>late-</w:t>
      </w:r>
      <w:r w:rsidR="0049504F" w:rsidRPr="00294BBF">
        <w:rPr>
          <w:color w:val="000000" w:themeColor="text1"/>
        </w:rPr>
        <w:t>spring and summer</w:t>
      </w:r>
      <w:r w:rsidR="00677FD4" w:rsidRPr="00294BBF">
        <w:rPr>
          <w:color w:val="000000" w:themeColor="text1"/>
        </w:rPr>
        <w:t xml:space="preserve">. </w:t>
      </w:r>
      <w:r w:rsidR="00C906FF" w:rsidRPr="00294BBF">
        <w:rPr>
          <w:color w:val="000000" w:themeColor="text1"/>
        </w:rPr>
        <w:t xml:space="preserve">The need to return to the feeding grounds therefore can be expected to introduce an additional consideration </w:t>
      </w:r>
      <w:r w:rsidR="00943246" w:rsidRPr="00294BBF">
        <w:rPr>
          <w:color w:val="000000" w:themeColor="text1"/>
        </w:rPr>
        <w:t>regarding</w:t>
      </w:r>
      <w:r w:rsidR="00C906FF" w:rsidRPr="00294BBF">
        <w:rPr>
          <w:color w:val="000000" w:themeColor="text1"/>
        </w:rPr>
        <w:t xml:space="preserve"> where to spawn: </w:t>
      </w:r>
      <w:r w:rsidR="006472C9" w:rsidRPr="00294BBF">
        <w:rPr>
          <w:color w:val="000000" w:themeColor="text1"/>
        </w:rPr>
        <w:t xml:space="preserve">migrating </w:t>
      </w:r>
      <w:r w:rsidR="00C906FF" w:rsidRPr="00294BBF">
        <w:rPr>
          <w:color w:val="000000" w:themeColor="text1"/>
        </w:rPr>
        <w:t>far from the feeding grounds in search of optimal spawning habitat</w:t>
      </w:r>
      <w:r w:rsidR="007209A7" w:rsidRPr="00294BBF">
        <w:rPr>
          <w:color w:val="000000" w:themeColor="text1"/>
        </w:rPr>
        <w:t xml:space="preserve"> incurs a </w:t>
      </w:r>
      <w:r w:rsidR="00C5480C" w:rsidRPr="00294BBF">
        <w:rPr>
          <w:color w:val="000000" w:themeColor="text1"/>
        </w:rPr>
        <w:t>penalty</w:t>
      </w:r>
      <w:r w:rsidR="007209A7" w:rsidRPr="00294BBF">
        <w:rPr>
          <w:color w:val="000000" w:themeColor="text1"/>
        </w:rPr>
        <w:t xml:space="preserve"> due to both </w:t>
      </w:r>
      <w:r w:rsidR="00953CC0" w:rsidRPr="00294BBF">
        <w:rPr>
          <w:color w:val="000000" w:themeColor="text1"/>
        </w:rPr>
        <w:t xml:space="preserve">the extra migration distance required </w:t>
      </w:r>
      <w:r w:rsidR="00C5480C" w:rsidRPr="00294BBF">
        <w:rPr>
          <w:color w:val="000000" w:themeColor="text1"/>
        </w:rPr>
        <w:t>and</w:t>
      </w:r>
      <w:r w:rsidR="00953CC0" w:rsidRPr="00294BBF">
        <w:rPr>
          <w:color w:val="000000" w:themeColor="text1"/>
        </w:rPr>
        <w:t xml:space="preserve"> the risk of </w:t>
      </w:r>
      <w:r w:rsidR="00C5480C" w:rsidRPr="00294BBF">
        <w:rPr>
          <w:color w:val="000000" w:themeColor="text1"/>
        </w:rPr>
        <w:t>missing</w:t>
      </w:r>
      <w:r w:rsidR="00953CC0" w:rsidRPr="00294BBF">
        <w:rPr>
          <w:color w:val="000000" w:themeColor="text1"/>
        </w:rPr>
        <w:t xml:space="preserve"> part </w:t>
      </w:r>
      <w:r w:rsidR="00C5480C" w:rsidRPr="00294BBF">
        <w:rPr>
          <w:color w:val="000000" w:themeColor="text1"/>
        </w:rPr>
        <w:t xml:space="preserve">or all </w:t>
      </w:r>
      <w:r w:rsidR="00953CC0" w:rsidRPr="00294BBF">
        <w:rPr>
          <w:color w:val="000000" w:themeColor="text1"/>
        </w:rPr>
        <w:t xml:space="preserve">of the feeding season. </w:t>
      </w:r>
      <w:r w:rsidR="006238B1" w:rsidRPr="00294BBF">
        <w:rPr>
          <w:color w:val="000000" w:themeColor="text1"/>
        </w:rPr>
        <w:t xml:space="preserve">Such behavioural considerations are </w:t>
      </w:r>
      <w:r w:rsidR="006F68DF" w:rsidRPr="00294BBF">
        <w:rPr>
          <w:color w:val="000000" w:themeColor="text1"/>
        </w:rPr>
        <w:t xml:space="preserve">potentially </w:t>
      </w:r>
      <w:r w:rsidR="00B26E0E" w:rsidRPr="00294BBF">
        <w:rPr>
          <w:color w:val="000000" w:themeColor="text1"/>
        </w:rPr>
        <w:t xml:space="preserve">problematic for the </w:t>
      </w:r>
      <w:r w:rsidR="004364ED" w:rsidRPr="00294BBF">
        <w:rPr>
          <w:color w:val="000000" w:themeColor="text1"/>
        </w:rPr>
        <w:t xml:space="preserve">standard </w:t>
      </w:r>
      <w:r w:rsidR="00B26E0E" w:rsidRPr="00294BBF">
        <w:rPr>
          <w:color w:val="000000" w:themeColor="text1"/>
        </w:rPr>
        <w:t xml:space="preserve">species distribution modelling approach, </w:t>
      </w:r>
      <w:r w:rsidR="00234522" w:rsidRPr="00294BBF">
        <w:rPr>
          <w:color w:val="000000" w:themeColor="text1"/>
        </w:rPr>
        <w:t xml:space="preserve">however, </w:t>
      </w:r>
      <w:r w:rsidR="00BF4127" w:rsidRPr="00294BBF">
        <w:rPr>
          <w:color w:val="000000" w:themeColor="text1"/>
        </w:rPr>
        <w:t>which assumes that the environmental niche is the only factor determining</w:t>
      </w:r>
      <w:r w:rsidR="00D56789" w:rsidRPr="00294BBF">
        <w:rPr>
          <w:color w:val="000000" w:themeColor="text1"/>
        </w:rPr>
        <w:t xml:space="preserve"> distribution</w:t>
      </w:r>
      <w:r w:rsidR="00CE7644" w:rsidRPr="00294BBF">
        <w:rPr>
          <w:color w:val="000000" w:themeColor="text1"/>
        </w:rPr>
        <w:t xml:space="preserve"> </w:t>
      </w:r>
      <w:r w:rsidR="00CE7644" w:rsidRPr="00294BBF">
        <w:rPr>
          <w:color w:val="000000" w:themeColor="text1"/>
        </w:rPr>
        <w:fldChar w:fldCharType="begin" w:fldLock="1"/>
      </w:r>
      <w:r w:rsidR="00E40F45" w:rsidRPr="00294BBF">
        <w:rPr>
          <w:color w:val="000000" w:themeColor="text1"/>
        </w:rPr>
        <w:instrText>ADDIN CSL_CITATION { "citationItems" : [ { "id" : "ITEM-1", "itemData" : { "DOI" : "10.1073/pnas.0901639106", "ISBN" : "1091-6490 (Electronic)\\n0027-8424 (Linking)", "ISSN" : "0027-8424", "PMID" : "19822750", "abstract" : "As the rate and magnitude of climate change accelerate, understanding the consequences becomes increasingly important. Species distribution models (SDMs) based on current ecological niche constraints are used to project future species distributions. These models contain assumptions that add to the uncertainty in model projections stemming from the structure of the models, the algorithms used to translate niche associations into distributional probabilities, the quality and quantity of data, and mismatches between the scales of modeling and data. We illustrate the application of SDMs using two climate models and two distributional algorithms, together with information on distributional shifts in vegetation types, to project fine-scale future distributions of 60 California landbird species. Most species are projected to decrease in distribution by 2070. Changes in total species richness vary over the state, with large losses of species in some \"hotspots\" of vulnerability. Differences in distributional shifts among species will change species co-occurrences, creating spatial variation in similarities between current and future assemblages. We use these analyses to consider how assumptions can be addressed and uncertainties reduced. SDMs can provide a useful way to incorporate future conditions into conservation and management practices and decisions, but the uncertainties of model projections must be balanced with the risks of taking the wrong actions or the costs of inaction. Doing this will require that the sources and magnitudes of uncertainty are documented, and that conservationists and resource managers be willing to act despite the uncertainties. The alternative, of ignoring the future, is not an option.", "author" : [ { "dropping-particle" : "", "family" : "Wiens", "given" : "John A.", "non-dropping-particle" : "", "parse-names" : false, "suffix" : "" }, { "dropping-particle" : "", "family" : "Stralberg", "given" : "Diana", "non-dropping-particle" : "", "parse-names" : false, "suffix" : "" }, { "dropping-particle" : "", "family" : "Jongsomjit", "given" : "Dennis", "non-dropping-particle" : "", "parse-names" : false, "suffix" : "" }, { "dropping-particle" : "", "family" : "Howell", "given" : "Christine A", "non-dropping-particle" : "", "parse-names" : false, "suffix" : "" }, { "dropping-particle" : "", "family" : "Snyder", "given" : "Mark A", "non-dropping-particle" : "", "parse-names" : false, "suffix" : "" } ], "container-title" : "Proceedings of the National Academy of Sciences of the United States of America", "id" : "ITEM-1", "issued" : { "date-parts" : [ [ "2009" ] ] }, "page" : "19729-19736", "title" : "Niches, models, and climate change: assessing the assumptions and uncertainties.", "type" : "article-journal", "volume" : "106" }, "uris" : [ "http://www.mendeley.com/documents/?uuid=cca9b023-4fb2-4840-bc95-1eef68ab9b92" ] } ], "mendeley" : { "formattedCitation" : "(Wiens &lt;i&gt;et al.&lt;/i&gt;, 2009)", "manualFormatting" : "(e.g. Wiens et al., 2009)", "plainTextFormattedCitation" : "(Wiens et al., 2009)", "previouslyFormattedCitation" : "(Wiens &lt;i&gt;et al.&lt;/i&gt;, 2009)" }, "properties" : { "noteIndex" : 0 }, "schema" : "https://github.com/citation-style-language/schema/raw/master/csl-citation.json" }</w:instrText>
      </w:r>
      <w:r w:rsidR="00CE7644" w:rsidRPr="00294BBF">
        <w:rPr>
          <w:color w:val="000000" w:themeColor="text1"/>
        </w:rPr>
        <w:fldChar w:fldCharType="separate"/>
      </w:r>
      <w:r w:rsidR="00CE7644" w:rsidRPr="00294BBF">
        <w:rPr>
          <w:noProof/>
          <w:color w:val="000000" w:themeColor="text1"/>
        </w:rPr>
        <w:t xml:space="preserve">(e.g. Wiens </w:t>
      </w:r>
      <w:r w:rsidR="006773E4" w:rsidRPr="006773E4">
        <w:rPr>
          <w:i/>
          <w:noProof/>
          <w:color w:val="000000" w:themeColor="text1"/>
        </w:rPr>
        <w:t>et al.</w:t>
      </w:r>
      <w:r w:rsidR="00CE7644" w:rsidRPr="00294BBF">
        <w:rPr>
          <w:noProof/>
          <w:color w:val="000000" w:themeColor="text1"/>
        </w:rPr>
        <w:t>, 2009)</w:t>
      </w:r>
      <w:r w:rsidR="00CE7644" w:rsidRPr="00294BBF">
        <w:rPr>
          <w:color w:val="000000" w:themeColor="text1"/>
        </w:rPr>
        <w:fldChar w:fldCharType="end"/>
      </w:r>
      <w:r w:rsidR="00D56789" w:rsidRPr="00294BBF">
        <w:rPr>
          <w:color w:val="000000" w:themeColor="text1"/>
        </w:rPr>
        <w:t xml:space="preserve">, </w:t>
      </w:r>
      <w:r w:rsidR="00916506" w:rsidRPr="00294BBF">
        <w:rPr>
          <w:color w:val="000000" w:themeColor="text1"/>
        </w:rPr>
        <w:t>rather than, in this case, additional constraints imposed by migration and life-history considerations.</w:t>
      </w:r>
      <w:r w:rsidR="007655E6" w:rsidRPr="00294BBF">
        <w:rPr>
          <w:color w:val="000000" w:themeColor="text1"/>
        </w:rPr>
        <w:t xml:space="preserve"> </w:t>
      </w:r>
      <w:r w:rsidR="00CD378A" w:rsidRPr="00294BBF">
        <w:rPr>
          <w:color w:val="000000" w:themeColor="text1"/>
        </w:rPr>
        <w:t xml:space="preserve">Here we have </w:t>
      </w:r>
      <w:r w:rsidR="00EB62C4" w:rsidRPr="00294BBF">
        <w:rPr>
          <w:color w:val="000000" w:themeColor="text1"/>
        </w:rPr>
        <w:t xml:space="preserve">circumvented this problem by </w:t>
      </w:r>
      <w:r w:rsidR="00DF71CB" w:rsidRPr="00294BBF">
        <w:rPr>
          <w:color w:val="000000" w:themeColor="text1"/>
        </w:rPr>
        <w:t>i</w:t>
      </w:r>
      <w:r w:rsidR="00EB62C4" w:rsidRPr="00294BBF">
        <w:rPr>
          <w:color w:val="000000" w:themeColor="text1"/>
        </w:rPr>
        <w:t>ncorporating</w:t>
      </w:r>
      <w:r w:rsidR="00CD378A" w:rsidRPr="00294BBF">
        <w:rPr>
          <w:color w:val="000000" w:themeColor="text1"/>
        </w:rPr>
        <w:t xml:space="preserve"> </w:t>
      </w:r>
      <w:r w:rsidR="00EB62C4" w:rsidRPr="00294BBF">
        <w:rPr>
          <w:color w:val="000000" w:themeColor="text1"/>
        </w:rPr>
        <w:t>the</w:t>
      </w:r>
      <w:r w:rsidR="00D2481A" w:rsidRPr="00294BBF">
        <w:rPr>
          <w:color w:val="000000" w:themeColor="text1"/>
        </w:rPr>
        <w:t xml:space="preserve"> </w:t>
      </w:r>
      <w:r w:rsidR="00025580" w:rsidRPr="00294BBF">
        <w:rPr>
          <w:color w:val="000000" w:themeColor="text1"/>
        </w:rPr>
        <w:t xml:space="preserve">potential </w:t>
      </w:r>
      <w:r w:rsidR="00D2481A" w:rsidRPr="00294BBF">
        <w:rPr>
          <w:color w:val="000000" w:themeColor="text1"/>
        </w:rPr>
        <w:t>cost</w:t>
      </w:r>
      <w:r w:rsidR="00025580" w:rsidRPr="00294BBF">
        <w:rPr>
          <w:color w:val="000000" w:themeColor="text1"/>
        </w:rPr>
        <w:t>s</w:t>
      </w:r>
      <w:r w:rsidR="00D2481A" w:rsidRPr="00294BBF">
        <w:rPr>
          <w:color w:val="000000" w:themeColor="text1"/>
        </w:rPr>
        <w:t xml:space="preserve"> of</w:t>
      </w:r>
      <w:r w:rsidR="00EB62C4" w:rsidRPr="00294BBF">
        <w:rPr>
          <w:color w:val="000000" w:themeColor="text1"/>
        </w:rPr>
        <w:t xml:space="preserve"> migration-distance </w:t>
      </w:r>
      <w:r w:rsidR="00CD378A" w:rsidRPr="00294BBF">
        <w:rPr>
          <w:color w:val="000000" w:themeColor="text1"/>
        </w:rPr>
        <w:t>explicitly in</w:t>
      </w:r>
      <w:r w:rsidR="00DF71CB" w:rsidRPr="00294BBF">
        <w:rPr>
          <w:color w:val="000000" w:themeColor="text1"/>
        </w:rPr>
        <w:t>to</w:t>
      </w:r>
      <w:r w:rsidR="00CD378A" w:rsidRPr="00294BBF">
        <w:rPr>
          <w:color w:val="000000" w:themeColor="text1"/>
        </w:rPr>
        <w:t xml:space="preserve"> our species distributions models</w:t>
      </w:r>
      <w:r w:rsidR="0002653B" w:rsidRPr="00294BBF">
        <w:rPr>
          <w:color w:val="000000" w:themeColor="text1"/>
        </w:rPr>
        <w:t xml:space="preserve">. We </w:t>
      </w:r>
      <w:r w:rsidR="00C538AC" w:rsidRPr="00294BBF">
        <w:rPr>
          <w:color w:val="000000" w:themeColor="text1"/>
        </w:rPr>
        <w:t>represent this process with</w:t>
      </w:r>
      <w:r w:rsidR="00DF71CB" w:rsidRPr="00294BBF">
        <w:rPr>
          <w:color w:val="000000" w:themeColor="text1"/>
        </w:rPr>
        <w:t xml:space="preserve"> </w:t>
      </w:r>
      <w:r w:rsidR="0002653B" w:rsidRPr="00294BBF">
        <w:rPr>
          <w:color w:val="000000" w:themeColor="text1"/>
        </w:rPr>
        <w:t xml:space="preserve">a two-dimensional interaction term (tensor-product smoother) between </w:t>
      </w:r>
      <w:r w:rsidR="00DF71CB" w:rsidRPr="00294BBF">
        <w:rPr>
          <w:color w:val="000000" w:themeColor="text1"/>
        </w:rPr>
        <w:t xml:space="preserve">latitude </w:t>
      </w:r>
      <w:r w:rsidR="0002653B" w:rsidRPr="00294BBF">
        <w:rPr>
          <w:color w:val="000000" w:themeColor="text1"/>
        </w:rPr>
        <w:t>and day-of-year</w:t>
      </w:r>
      <w:r w:rsidR="00E97595" w:rsidRPr="00294BBF">
        <w:rPr>
          <w:color w:val="000000" w:themeColor="text1"/>
        </w:rPr>
        <w:t>, as</w:t>
      </w:r>
      <w:r w:rsidR="0002653B" w:rsidRPr="00294BBF">
        <w:rPr>
          <w:color w:val="000000" w:themeColor="text1"/>
        </w:rPr>
        <w:t xml:space="preserve"> </w:t>
      </w:r>
      <w:r w:rsidR="000B7E87" w:rsidRPr="00294BBF">
        <w:rPr>
          <w:color w:val="000000" w:themeColor="text1"/>
        </w:rPr>
        <w:t>t</w:t>
      </w:r>
      <w:r w:rsidR="00634B3D" w:rsidRPr="00294BBF">
        <w:rPr>
          <w:color w:val="000000" w:themeColor="text1"/>
        </w:rPr>
        <w:t xml:space="preserve">he </w:t>
      </w:r>
      <w:r w:rsidR="00E97595" w:rsidRPr="00294BBF">
        <w:rPr>
          <w:color w:val="000000" w:themeColor="text1"/>
        </w:rPr>
        <w:t xml:space="preserve">cost and feasibility of returning </w:t>
      </w:r>
      <w:r w:rsidR="00974539" w:rsidRPr="00294BBF">
        <w:rPr>
          <w:color w:val="000000" w:themeColor="text1"/>
        </w:rPr>
        <w:t xml:space="preserve">to the feeding grounds will clearly depend on </w:t>
      </w:r>
      <w:r w:rsidR="00E97595" w:rsidRPr="00294BBF">
        <w:rPr>
          <w:color w:val="000000" w:themeColor="text1"/>
        </w:rPr>
        <w:t xml:space="preserve">both </w:t>
      </w:r>
      <w:r w:rsidR="00974539" w:rsidRPr="00294BBF">
        <w:rPr>
          <w:color w:val="000000" w:themeColor="text1"/>
        </w:rPr>
        <w:t xml:space="preserve">distance </w:t>
      </w:r>
      <w:r w:rsidR="00E97595" w:rsidRPr="00294BBF">
        <w:rPr>
          <w:color w:val="000000" w:themeColor="text1"/>
        </w:rPr>
        <w:t xml:space="preserve">and time: </w:t>
      </w:r>
      <w:r w:rsidR="00974539" w:rsidRPr="00294BBF">
        <w:rPr>
          <w:color w:val="000000" w:themeColor="text1"/>
        </w:rPr>
        <w:t>spawning further south</w:t>
      </w:r>
      <w:r w:rsidR="00E97595" w:rsidRPr="00294BBF">
        <w:rPr>
          <w:color w:val="000000" w:themeColor="text1"/>
        </w:rPr>
        <w:t>, for example,</w:t>
      </w:r>
      <w:r w:rsidR="00974539" w:rsidRPr="00294BBF">
        <w:rPr>
          <w:color w:val="000000" w:themeColor="text1"/>
        </w:rPr>
        <w:t xml:space="preserve"> could be a feasible proposition if it </w:t>
      </w:r>
      <w:r w:rsidR="00FF218F" w:rsidRPr="00294BBF">
        <w:rPr>
          <w:color w:val="000000" w:themeColor="text1"/>
        </w:rPr>
        <w:t>were to happen</w:t>
      </w:r>
      <w:r w:rsidR="00974539" w:rsidRPr="00294BBF">
        <w:rPr>
          <w:color w:val="000000" w:themeColor="text1"/>
        </w:rPr>
        <w:t xml:space="preserve"> earlier in the year</w:t>
      </w:r>
      <w:r w:rsidR="00FF218F" w:rsidRPr="00294BBF">
        <w:rPr>
          <w:color w:val="000000" w:themeColor="text1"/>
        </w:rPr>
        <w:t>, allowing sufficient time to return</w:t>
      </w:r>
      <w:r w:rsidR="00974539" w:rsidRPr="00294BBF">
        <w:rPr>
          <w:color w:val="000000" w:themeColor="text1"/>
        </w:rPr>
        <w:t>.</w:t>
      </w:r>
      <w:r w:rsidR="006A6963" w:rsidRPr="00294BBF">
        <w:rPr>
          <w:color w:val="000000" w:themeColor="text1"/>
        </w:rPr>
        <w:t xml:space="preserve"> The form of this term, </w:t>
      </w:r>
      <w:r w:rsidR="006A6963" w:rsidRPr="00294BBF">
        <w:rPr>
          <w:color w:val="000000" w:themeColor="text1"/>
        </w:rPr>
        <w:lastRenderedPageBreak/>
        <w:t>however, is left unspecified and is fitted as part of the modelling procedure.</w:t>
      </w:r>
      <w:r w:rsidR="00842434">
        <w:rPr>
          <w:color w:val="000000" w:themeColor="text1"/>
        </w:rPr>
        <w:t xml:space="preserve"> In addition, this term also allows for changes in the timing of spawning with latitude to be incorporated</w:t>
      </w:r>
      <w:r w:rsidR="00602405">
        <w:rPr>
          <w:color w:val="000000" w:themeColor="text1"/>
        </w:rPr>
        <w:t xml:space="preserve">, in line with previous results </w:t>
      </w:r>
      <w:r w:rsidR="00BB65F8" w:rsidRPr="00294BBF">
        <w:rPr>
          <w:color w:val="000000" w:themeColor="text1"/>
        </w:rPr>
        <w:fldChar w:fldCharType="begin" w:fldLock="1"/>
      </w:r>
      <w:r w:rsidR="00BB65F8" w:rsidRPr="00294BBF">
        <w:rPr>
          <w:color w:val="000000" w:themeColor="text1"/>
        </w:rPr>
        <w:instrText>ADDIN CSL_CITATION { "citationItems" : [ { "id" : "ITEM-1", "itemData" : { "DOI" : "10.1371/journal.pone.0106237", "author" : [ { "dropping-particle" : "", "family" : "Pointin", "given" : "Fabien", "non-dropping-particle" : "", "parse-names" : false, "suffix" : "" }, { "dropping-particle" : "", "family" : "Payne", "given" : "Mark R.", "non-dropping-particle" : "", "parse-names" : false, "suffix" : "" } ], "container-title" : "PloS ONE", "id" : "ITEM-1", "issue" : "9", "issued" : { "date-parts" : [ [ "2014" ] ] }, "page" : "1-11", "title" : "A Resolution to the Blue Whiting (Micromesistius poutassou) Population Paradox?", "type" : "article-journal", "volume" : "9" }, "uris" : [ "http://www.mendeley.com/documents/?uuid=6a6f494c-8d8f-4687-b6e3-cf82728f52eb" ] } ], "mendeley" : { "formattedCitation" : "(Pointin and Payne, 2014)", "plainTextFormattedCitation" : "(Pointin and Payne, 2014)", "previouslyFormattedCitation" : "(Pointin and Payne, 2014)" }, "properties" : { "noteIndex" : 0 }, "schema" : "https://github.com/citation-style-language/schema/raw/master/csl-citation.json" }</w:instrText>
      </w:r>
      <w:r w:rsidR="00BB65F8" w:rsidRPr="00294BBF">
        <w:rPr>
          <w:color w:val="000000" w:themeColor="text1"/>
        </w:rPr>
        <w:fldChar w:fldCharType="separate"/>
      </w:r>
      <w:r w:rsidR="00BB65F8" w:rsidRPr="00294BBF">
        <w:rPr>
          <w:noProof/>
          <w:color w:val="000000" w:themeColor="text1"/>
        </w:rPr>
        <w:t>(Pointin and Payne, 2014)</w:t>
      </w:r>
      <w:r w:rsidR="00BB65F8" w:rsidRPr="00294BBF">
        <w:rPr>
          <w:color w:val="000000" w:themeColor="text1"/>
        </w:rPr>
        <w:fldChar w:fldCharType="end"/>
      </w:r>
      <w:r w:rsidR="00BB65F8">
        <w:rPr>
          <w:color w:val="000000" w:themeColor="text1"/>
        </w:rPr>
        <w:t>.</w:t>
      </w:r>
    </w:p>
    <w:p w14:paraId="78BA4B64" w14:textId="1E49DFD4" w:rsidR="007F5FBA" w:rsidRPr="000B2B07" w:rsidRDefault="000B2B07" w:rsidP="00675563">
      <w:pPr>
        <w:rPr>
          <w:color w:val="000000" w:themeColor="text1"/>
        </w:rPr>
      </w:pPr>
      <w:r>
        <w:rPr>
          <w:color w:val="000000" w:themeColor="text1"/>
        </w:rPr>
        <w:t xml:space="preserve">In </w:t>
      </w:r>
      <w:r w:rsidR="00D16184">
        <w:rPr>
          <w:color w:val="000000" w:themeColor="text1"/>
        </w:rPr>
        <w:t xml:space="preserve">many </w:t>
      </w:r>
      <w:r>
        <w:rPr>
          <w:color w:val="000000" w:themeColor="text1"/>
        </w:rPr>
        <w:t>fish species,</w:t>
      </w:r>
      <w:r w:rsidRPr="000B2B07">
        <w:rPr>
          <w:color w:val="000000" w:themeColor="text1"/>
        </w:rPr>
        <w:t xml:space="preserve"> spawning fish </w:t>
      </w:r>
      <w:r>
        <w:rPr>
          <w:color w:val="000000" w:themeColor="text1"/>
        </w:rPr>
        <w:t>as well as eggs and larvae</w:t>
      </w:r>
      <w:r w:rsidRPr="000B2B07">
        <w:rPr>
          <w:color w:val="000000" w:themeColor="text1"/>
        </w:rPr>
        <w:t xml:space="preserve"> are particularly sensitive to ambient environmental conditions since their tolerable ranges are more restrictive than those of other life-history stages </w:t>
      </w:r>
      <w:r>
        <w:rPr>
          <w:color w:val="000000" w:themeColor="text1"/>
        </w:rPr>
        <w:fldChar w:fldCharType="begin" w:fldLock="1"/>
      </w:r>
      <w:r>
        <w:rPr>
          <w:color w:val="000000" w:themeColor="text1"/>
        </w:rPr>
        <w:instrText>ADDIN CSL_CITATION { "citationItems" : [ { "id" : "ITEM-1", "itemData" : { "DOI" : "10.1111/j.1095-8649.2010.02783.x", "ISBN" : "0022-1112", "ISSN" : "00221112", "PMID" : "21078088", "abstract" : "Ongoing climate change is predicted to affect individual organisms during all life stages, thereby affecting populations of a species, communities and the functioning of ecosystems. These effects of climate change can be direct, through changing water temperatures and associated phenologies, the lengths and frequency of hypoxia events, through ongoing ocean acidification trends or through shifts in hydrodynamics and in sea level. In some cases, climate interactions with a species will also, or mostly, be indirect and mediated through direct effects on key prey species which change the composition and dynamic coupling of food webs. Thus, the implications of climate change for marine fish populations can be seen to result from phenomena at four interlinked levels of biological organization: (1) organismal-level physiological changes will occur in response to changing environmental variables such as temperature, dissolved oxygen and ocean carbon dioxide levels. An integrated view of relevant effects, adaptation processes and tolerance limits is provided by the concept of oxygen and capacity-limited thermal tolerance (OCLT). (2) Individual-level behavioural changes may occur such as the avoidance of unfavourable conditions and, if possible, movement into suitable areas. (3) Population-level changes may be observed via changes in the balance between rates of mortality, growth and reproduction. This includes changes in the retention or dispersion of early life stages by ocean currents, which lead to the establishment of new populations in new areas or abandonment of traditional habitats. (4) Ecosystem-level changes in productivity and food web interactions will result from differing physiological responses by organisms at different levels of the food web. The shifts in biogeography and warming-induced biodiversity will affect species productivity and may, thus, explain changes in fisheries economies. This paper tries to establish links between various levels of biological organization by means of addressing the effective physiological principles at the cellular, tissue and whole organism levels.", "author" : [ { "dropping-particle" : "", "family" : "P\u00f6rtner", "given" : "H. O.", "non-dropping-particle" : "", "parse-names" : false, "suffix" : "" }, { "dropping-particle" : "", "family" : "Peck", "given" : "M. A.", "non-dropping-particle" : "", "parse-names" : false, "suffix" : "" } ], "container-title" : "Journal of Fish Biology", "id" : "ITEM-1", "issue" : "8", "issued" : { "date-parts" : [ [ "2010" ] ] }, "page" : "1745-1779", "title" : "Climate change effects on fishes and fisheries: Towards a cause-and-effect understanding", "type" : "article-journal", "volume" : "77" }, "uris" : [ "http://www.mendeley.com/documents/?uuid=6cc3ee72-28f5-48a8-a35e-252f76c24ced" ] } ], "mendeley" : { "formattedCitation" : "(P\u00f6rtner and Peck, 2010)", "manualFormatting" : "(P\u00f6rtner and Peck, 2010; and references therein)", "plainTextFormattedCitation" : "(P\u00f6rtner and Peck, 2010)", "previouslyFormattedCitation" : "(P\u00f6rtner and Peck, 2010)" }, "properties" : { "noteIndex" : 13 }, "schema" : "https://github.com/citation-style-language/schema/raw/master/csl-citation.json" }</w:instrText>
      </w:r>
      <w:r>
        <w:rPr>
          <w:color w:val="000000" w:themeColor="text1"/>
        </w:rPr>
        <w:fldChar w:fldCharType="separate"/>
      </w:r>
      <w:r w:rsidRPr="000B2B07">
        <w:rPr>
          <w:noProof/>
          <w:color w:val="000000" w:themeColor="text1"/>
        </w:rPr>
        <w:t>(Pörtner and Peck, 2010</w:t>
      </w:r>
      <w:r>
        <w:rPr>
          <w:noProof/>
          <w:color w:val="000000" w:themeColor="text1"/>
        </w:rPr>
        <w:t>; and references therein</w:t>
      </w:r>
      <w:r w:rsidRPr="000B2B07">
        <w:rPr>
          <w:noProof/>
          <w:color w:val="000000" w:themeColor="text1"/>
        </w:rPr>
        <w:t>)</w:t>
      </w:r>
      <w:r>
        <w:rPr>
          <w:color w:val="000000" w:themeColor="text1"/>
        </w:rPr>
        <w:fldChar w:fldCharType="end"/>
      </w:r>
      <w:r>
        <w:rPr>
          <w:color w:val="000000" w:themeColor="text1"/>
        </w:rPr>
        <w:t xml:space="preserve">. </w:t>
      </w:r>
      <w:r w:rsidR="001A2A51" w:rsidRPr="00294BBF">
        <w:rPr>
          <w:color w:val="000000" w:themeColor="text1"/>
        </w:rPr>
        <w:t>In particular, s</w:t>
      </w:r>
      <w:r w:rsidR="00C81EC3" w:rsidRPr="00294BBF">
        <w:rPr>
          <w:color w:val="000000" w:themeColor="text1"/>
        </w:rPr>
        <w:t>alinity has also been proposed as being critical via its effect on water density and therefore the buoyancy of marine fish eggs</w:t>
      </w:r>
      <w:r w:rsidR="007C58B9" w:rsidRPr="00294BBF">
        <w:rPr>
          <w:color w:val="000000" w:themeColor="text1"/>
        </w:rPr>
        <w:t xml:space="preserve">, including </w:t>
      </w:r>
      <w:r w:rsidR="00943246" w:rsidRPr="00294BBF">
        <w:rPr>
          <w:color w:val="000000" w:themeColor="text1"/>
        </w:rPr>
        <w:t xml:space="preserve">those of </w:t>
      </w:r>
      <w:r w:rsidR="007C58B9" w:rsidRPr="00294BBF">
        <w:rPr>
          <w:color w:val="000000" w:themeColor="text1"/>
        </w:rPr>
        <w:t>blue whiting</w:t>
      </w:r>
      <w:r w:rsidR="00C81EC3" w:rsidRPr="00294BBF">
        <w:rPr>
          <w:color w:val="000000" w:themeColor="text1"/>
        </w:rPr>
        <w:t xml:space="preserve"> </w:t>
      </w:r>
      <w:r w:rsidR="00C81EC3" w:rsidRPr="00294BBF">
        <w:rPr>
          <w:color w:val="000000" w:themeColor="text1"/>
        </w:rPr>
        <w:fldChar w:fldCharType="begin" w:fldLock="1"/>
      </w:r>
      <w:r w:rsidR="00E40F45" w:rsidRPr="00294BBF">
        <w:rPr>
          <w:color w:val="000000" w:themeColor="text1"/>
        </w:rPr>
        <w:instrText>ADDIN CSL_CITATION { "citationItems" : [ { "id" : "ITEM-1", "itemData" : { "DOI" : "10.1371/journal.pone.0138821", "ISSN" : "19326203", "PMID" : "26465149", "abstract" : "Buoyancy acting on plankton, i.e. the difference in specific gravity between plankton and the ambient water, is a function of salinity and temperature. From specific gravity measurements of marine fish eggs salinity appears to be the only determinant of the buoyancy indicating that the thermal expansions of the fish egg and the ambient seawater are equal. We analyze the mechanisms behind thermal expansion in fish eggs in order to determine to what extent it can be justified to neglect the effects of temperature on buoyancy. Our results confirm the earlier assumptions that salinity is the basic determinant on buoyancy in marine fish eggs that, in turn, influence the vertical distributions and, consequently, the dispersal of fish eggs from the spawning areas. Fish populations have adapted accordingly by producing egg specific gravities that tune the egg buoyancy to create specific vertical distributions for each local population. A wide variety of buoyancy adaptations are found among fish populations. The ambient physical conditions at the spawning sites form a basic constraint for adaptation. In coastal regions where salinity increases with depth, and where the major fraction of the fish stocks spawns, pelagic and mesopelagic egg distributions dominate. However, in the larger part of worlds' oceans salinity decreases with depth resulting in different egg distributions. Here, the principles of vertical distributions of fish eggs in the world oceans are presented in an overarching framework presenting the basic differences between regions, mainly coastal, where salinity increases with depth and the major part of the world oceans where salinity decreases with depth. We show that under these latter conditions, steady-state vertical distribution of mesopelagic fish eggs cannot exist as it does in most coastal regions. In fact, a critical spawning depth must exist where spawning below this depth threshold results in eggs sinking out of the water column and become lost for recruitment to the population. An example of adaptation to such conditions is Cape hake spawning above the critical layer in the Northern Benguela upwelling ecosystem. The eggs rise slowly in the onshore subsurface current below the Ekman layer, hence being advected inshore where the hatched larvae concentrate with optimal feeding conditions.", "author" : [ { "dropping-particle" : "", "family" : "Sundby", "given" : "Svein", "non-dropping-particle" : "", "parse-names" : false, "suffix" : "" }, { "dropping-particle" : "", "family" : "Kristiansen", "given" : "Trond", "non-dropping-particle" : "", "parse-names" : false, "suffix" : "" } ], "container-title" : "PLoS ONE", "id" : "ITEM-1", "issue" : "10", "issued" : { "date-parts" : [ [ "2015" ] ] }, "page" : "1-23", "title" : "The principles of buoyancy in Marine Fish Eggs and their vertical distributions across the World Oceans", "type" : "article-journal", "volume" : "10" }, "uris" : [ "http://www.mendeley.com/documents/?uuid=983f2585-f4d1-479b-a5b0-95a473349d4c", "http://www.mendeley.com/documents/?uuid=ada49390-01c0-49ce-8349-b5b2f61ce0c0" ] } ], "mendeley" : { "formattedCitation" : "(Sundby and Kristiansen, 2015)", "plainTextFormattedCitation" : "(Sundby and Kristiansen, 2015)", "previouslyFormattedCitation" : "(Sundby and Kristiansen, 2015)" }, "properties" : { "noteIndex" : 0 }, "schema" : "https://github.com/citation-style-language/schema/raw/master/csl-citation.json" }</w:instrText>
      </w:r>
      <w:r w:rsidR="00C81EC3" w:rsidRPr="00294BBF">
        <w:rPr>
          <w:color w:val="000000" w:themeColor="text1"/>
        </w:rPr>
        <w:fldChar w:fldCharType="separate"/>
      </w:r>
      <w:r w:rsidR="00E40F45" w:rsidRPr="00294BBF">
        <w:rPr>
          <w:noProof/>
          <w:color w:val="000000" w:themeColor="text1"/>
        </w:rPr>
        <w:t>(Sundby and Kristiansen, 2015)</w:t>
      </w:r>
      <w:r w:rsidR="00C81EC3" w:rsidRPr="00294BBF">
        <w:rPr>
          <w:color w:val="000000" w:themeColor="text1"/>
        </w:rPr>
        <w:fldChar w:fldCharType="end"/>
      </w:r>
      <w:r w:rsidR="00C81EC3" w:rsidRPr="00294BBF">
        <w:rPr>
          <w:color w:val="000000" w:themeColor="text1"/>
        </w:rPr>
        <w:t xml:space="preserve"> and</w:t>
      </w:r>
      <w:r w:rsidR="007C58B9" w:rsidRPr="00294BBF">
        <w:rPr>
          <w:color w:val="000000" w:themeColor="text1"/>
        </w:rPr>
        <w:t xml:space="preserve"> </w:t>
      </w:r>
      <w:r w:rsidR="00C81EC3" w:rsidRPr="00294BBF">
        <w:rPr>
          <w:color w:val="000000" w:themeColor="text1"/>
        </w:rPr>
        <w:t xml:space="preserve"> </w:t>
      </w:r>
      <w:r w:rsidR="007C58B9" w:rsidRPr="00294BBF">
        <w:rPr>
          <w:color w:val="000000" w:themeColor="text1"/>
        </w:rPr>
        <w:t xml:space="preserve">has shown to be important for </w:t>
      </w:r>
      <w:r w:rsidR="00C81EC3" w:rsidRPr="00294BBF">
        <w:rPr>
          <w:color w:val="000000" w:themeColor="text1"/>
        </w:rPr>
        <w:t xml:space="preserve">blue whiting larvae </w:t>
      </w:r>
      <w:r w:rsidR="00C81EC3" w:rsidRPr="00294BBF">
        <w:rPr>
          <w:color w:val="000000" w:themeColor="text1"/>
        </w:rPr>
        <w:fldChar w:fldCharType="begin" w:fldLock="1"/>
      </w:r>
      <w:r w:rsidR="00E40F45" w:rsidRPr="00294BBF">
        <w:rPr>
          <w:color w:val="000000" w:themeColor="text1"/>
        </w:rPr>
        <w:instrText>ADDIN CSL_CITATION { "citationItems" : [ { "id" : "ITEM-1", "itemData" : { "DOI" : "10.1016/S0165-7836(00)00242-3", "ISBN" : "0165-7836", "ISSN" : "01657836", "abstract" : "A mathematical model of the vertical distribution of fish eggs and larvae in response to changes in their buoyancy was developed and applied to eggs and larvae of blue whiting (Micromesistius poutassou). The model balances buoyancy and vertical mixing and allows for changes in buoyancy during development, as well as for variations in the physical properties of the water column with depth. Input data for the buoyancy of eggs and larvae were derived from experiments using a density-gradient column; the neutral buoyancy of blue whiting eggs was observed to increase over the duration of embryonic development from a salinity of below 34 to near 40 while larvae immediately after hatching were neutrally buoyant in a salinity of around 36.6. Input data for the vertical distribution of blue whiting eggs at hatching were derived from the results of plankton sampling to the west of the British Isles. These showed early stage eggs to be distributed in most abundance in the depth range 460-580m, with relatively little observed change through the remainder of embryonic development, and for larvae to became progressively concentrated in the upper 50 m of the water column. For both eggs and larvae, the model results were in close agreement with field observations. The lack of any marked displacement of the egg distributions was shown to be a reflection of their change from being initially buoyant, to sinking in the water column during the later phases of development, this behaviour being an adaptation to their bathypelagic habit. The model results also indicated that the ascent of the larvae from the spawning depths to the near-surface layers could be due entirely to buoyancy-induced passive rising of the larvae. (C) 2001 Elsevier Science B.V. All rights reserved.", "author" : [ { "dropping-particle" : "", "family" : "\u00c5dlandsvik", "given" : "Bj\u00f8rn", "non-dropping-particle" : "", "parse-names" : false, "suffix" : "" }, { "dropping-particle" : "", "family" : "Coombs", "given" : "S. H.", "non-dropping-particle" : "", "parse-names" : false, "suffix" : "" }, { "dropping-particle" : "", "family" : "Sundby", "given" : "S", "non-dropping-particle" : "", "parse-names" : false, "suffix" : "" }, { "dropping-particle" : "", "family" : "Temple", "given" : "G", "non-dropping-particle" : "", "parse-names" : false, "suffix" : "" } ], "container-title" : "Fisheries Research", "id" : "ITEM-1", "issued" : { "date-parts" : [ [ "2001" ] ] }, "page" : "59-72", "title" : "Buoyancy and vertical distribution of eggs and larvae of blue whiting (&lt;i&gt;Micromesistius poutassou&lt;/i&gt;): observations and modelling", "type" : "article-journal", "volume" : "50" }, "uris" : [ "http://www.mendeley.com/documents/?uuid=b6de8dcf-7a77-4342-830e-94d1f035a9c6" ] } ], "mendeley" : { "formattedCitation" : "(\u00c5dlandsvik &lt;i&gt;et al.&lt;/i&gt;, 2001)", "plainTextFormattedCitation" : "(\u00c5dlandsvik et al., 2001)", "previouslyFormattedCitation" : "(\u00c5dlandsvik &lt;i&gt;et al.&lt;/i&gt;, 2001)" }, "properties" : { "noteIndex" : 0 }, "schema" : "https://github.com/citation-style-language/schema/raw/master/csl-citation.json" }</w:instrText>
      </w:r>
      <w:r w:rsidR="00C81EC3" w:rsidRPr="00294BBF">
        <w:rPr>
          <w:color w:val="000000" w:themeColor="text1"/>
        </w:rPr>
        <w:fldChar w:fldCharType="separate"/>
      </w:r>
      <w:r w:rsidR="00E40F45" w:rsidRPr="00294BBF">
        <w:rPr>
          <w:noProof/>
          <w:color w:val="000000" w:themeColor="text1"/>
        </w:rPr>
        <w:t xml:space="preserve">(Ådlandsvik </w:t>
      </w:r>
      <w:r w:rsidR="006773E4" w:rsidRPr="006773E4">
        <w:rPr>
          <w:i/>
          <w:noProof/>
          <w:color w:val="000000" w:themeColor="text1"/>
        </w:rPr>
        <w:t>et al.</w:t>
      </w:r>
      <w:r w:rsidR="00E40F45" w:rsidRPr="00294BBF">
        <w:rPr>
          <w:noProof/>
          <w:color w:val="000000" w:themeColor="text1"/>
        </w:rPr>
        <w:t>, 2001)</w:t>
      </w:r>
      <w:r w:rsidR="00C81EC3" w:rsidRPr="00294BBF">
        <w:rPr>
          <w:color w:val="000000" w:themeColor="text1"/>
        </w:rPr>
        <w:fldChar w:fldCharType="end"/>
      </w:r>
      <w:r w:rsidR="007C58B9" w:rsidRPr="00294BBF">
        <w:rPr>
          <w:color w:val="000000" w:themeColor="text1"/>
        </w:rPr>
        <w:t xml:space="preserve">. </w:t>
      </w:r>
      <w:r w:rsidR="000030AE" w:rsidRPr="00294BBF">
        <w:rPr>
          <w:color w:val="000000" w:themeColor="text1"/>
        </w:rPr>
        <w:t xml:space="preserve">An ensemble of different temperature and salinity structures </w:t>
      </w:r>
      <w:r w:rsidR="000B41F7">
        <w:rPr>
          <w:color w:val="000000" w:themeColor="text1"/>
        </w:rPr>
        <w:t>was</w:t>
      </w:r>
      <w:r w:rsidR="000B41F7" w:rsidRPr="00294BBF">
        <w:rPr>
          <w:color w:val="000000" w:themeColor="text1"/>
        </w:rPr>
        <w:t xml:space="preserve"> </w:t>
      </w:r>
      <w:r w:rsidR="000030AE" w:rsidRPr="00294BBF">
        <w:rPr>
          <w:color w:val="000000" w:themeColor="text1"/>
        </w:rPr>
        <w:t>therefore considered as explanatory variables and incorporated into the model structure based on</w:t>
      </w:r>
      <w:r w:rsidR="00723696" w:rsidRPr="00294BBF">
        <w:rPr>
          <w:color w:val="000000" w:themeColor="text1"/>
        </w:rPr>
        <w:t xml:space="preserve"> this</w:t>
      </w:r>
      <w:r w:rsidR="000030AE" w:rsidRPr="00294BBF">
        <w:rPr>
          <w:color w:val="000000" w:themeColor="text1"/>
        </w:rPr>
        <w:t xml:space="preserve"> </w:t>
      </w:r>
      <w:r w:rsidR="000030AE" w:rsidRPr="00294BBF">
        <w:rPr>
          <w:i/>
          <w:color w:val="000000" w:themeColor="text1"/>
        </w:rPr>
        <w:t>a priori</w:t>
      </w:r>
      <w:r w:rsidR="000030AE" w:rsidRPr="00294BBF">
        <w:rPr>
          <w:color w:val="000000" w:themeColor="text1"/>
        </w:rPr>
        <w:t xml:space="preserve"> reasoning </w:t>
      </w:r>
      <w:r w:rsidR="001A2A51" w:rsidRPr="00294BBF">
        <w:rPr>
          <w:color w:val="000000" w:themeColor="text1"/>
        </w:rPr>
        <w:fldChar w:fldCharType="begin" w:fldLock="1"/>
      </w:r>
      <w:r w:rsidR="00AD6103" w:rsidRPr="00294BBF">
        <w:rPr>
          <w:color w:val="000000" w:themeColor="text1"/>
        </w:rPr>
        <w:instrText>ADDIN CSL_CITATION { "citationItems" : [ { "id" : "ITEM-1", "itemData" : { "DOI" : "10.1007/978-0-387-74075-1", "ISBN" : "9780387740737", "ISSN" : "00033472", "PMID" : "20940640", "abstract" : "The abstract concept of \"information\" can be quantified and this has led to many important advances in the analysis of data in the empirical sciences. This text focuses on a science philosophy based on \"multiple working hypotheses\" and statistical models to represent them. The fundamental science question relates to the empirical evidence for hypotheses in this seta formal strength of evidence. Kullback-Leibler information is the information lost when a model is used to approximate full reality. Hirotugu Akaike found a link between K-L information (a cornerstone of information theory) and the maximized log-likelihood (a cornerstone of mathematical statistics). This combination has become the basis for a new paradigm in model based inference. The text advocates formal inference from all the hypotheses/models in the a priori setmultimodel inference. This compelling approach allows a simple ranking of the science hypothesis and their models. Simple methods are introduced for computing the likelihood of model i, given the data; the probability of model i, given the data; and evidence ratios. These quantities represent a formal strength of evidence and are easy to compute and understand, given the estimated model parameters and associated quantities (e.g., residual sum of squares, maximized log-likelihood, and covariance matrices). Additional forms of multimodel inference include model averaging, unconditional variances, and ways to rank the relative importance of predictor variables. This textbook is written for people new to the information-theoretic approaches to statistical inference, whether graduate students, post-docs, or professionals in various universities, agencies or institutes. Readers are expected to have a background in general statistical principles, regression analysis, and some exposure to likelihood methods. This is not an elementary text as it assumes reasonable competence in modeling and parameter estimation. DAVID R. ANDERSON retired recently from serving as a senior scientist with the U.S. Geological Survey and professor in the Department of Fish, Wildlife, and Conservation Biology at Colorado State University. He has an emeritus professorship at CSU and is president of the Applied Information Company in Fort Collins. He has authored 18 scientific books and research monographs and over 100 journal publications. He has received a variety of awards, including U.S. Department of Interiors Meritorious Service Award and The Wildlife Society\u2026", "author" : [ { "dropping-particle" : "", "family" : "Anderson", "given" : "David R.", "non-dropping-particle" : "", "parse-names" : false, "suffix" : "" } ], "container-title" : "Model Based Inference in the Life Sciences: A Primer on Evidence", "id" : "ITEM-1", "issued" : { "date-parts" : [ [ "2008" ] ] }, "number-of-pages" : "1-184", "publisher" : "Springer Science &amp; Business Media", "publisher-place" : "New York", "title" : "Model based inference in the life sciences: A primer on evidence", "type" : "book" }, "uris" : [ "http://www.mendeley.com/documents/?uuid=476e67f8-51a3-4ab8-911a-13453dd765cd", "http://www.mendeley.com/documents/?uuid=4c4fdc75-d1e9-464b-96c2-3db702229ae6" ] } ], "mendeley" : { "formattedCitation" : "(Anderson, 2008)", "plainTextFormattedCitation" : "(Anderson, 2008)", "previouslyFormattedCitation" : "(Anderson, 2008)" }, "properties" : { "noteIndex" : 0 }, "schema" : "https://github.com/citation-style-language/schema/raw/master/csl-citation.json" }</w:instrText>
      </w:r>
      <w:r w:rsidR="001A2A51" w:rsidRPr="00294BBF">
        <w:rPr>
          <w:color w:val="000000" w:themeColor="text1"/>
        </w:rPr>
        <w:fldChar w:fldCharType="separate"/>
      </w:r>
      <w:r w:rsidR="00763109" w:rsidRPr="00294BBF">
        <w:rPr>
          <w:noProof/>
          <w:color w:val="000000" w:themeColor="text1"/>
        </w:rPr>
        <w:t>(Anderson, 2008)</w:t>
      </w:r>
      <w:r w:rsidR="001A2A51" w:rsidRPr="00294BBF">
        <w:rPr>
          <w:color w:val="000000" w:themeColor="text1"/>
        </w:rPr>
        <w:fldChar w:fldCharType="end"/>
      </w:r>
      <w:r w:rsidR="009140B5" w:rsidRPr="00294BBF">
        <w:rPr>
          <w:color w:val="000000" w:themeColor="text1"/>
        </w:rPr>
        <w:t>.</w:t>
      </w:r>
      <w:r w:rsidR="001A2A51" w:rsidRPr="00294BBF">
        <w:rPr>
          <w:color w:val="000000" w:themeColor="text1"/>
        </w:rPr>
        <w:t xml:space="preserve"> </w:t>
      </w:r>
    </w:p>
    <w:p w14:paraId="7633D0DE" w14:textId="5DCB6B3A" w:rsidR="00C27032" w:rsidRPr="00294BBF" w:rsidRDefault="00C27032" w:rsidP="00490B2E">
      <w:pPr>
        <w:pStyle w:val="Overskrift3"/>
        <w:rPr>
          <w:color w:val="000000" w:themeColor="text1"/>
        </w:rPr>
      </w:pPr>
      <w:bookmarkStart w:id="12" w:name="_Toc487401363"/>
      <w:r w:rsidRPr="00294BBF">
        <w:rPr>
          <w:color w:val="000000" w:themeColor="text1"/>
        </w:rPr>
        <w:t xml:space="preserve">Model </w:t>
      </w:r>
      <w:r w:rsidR="007F5FBA" w:rsidRPr="00294BBF">
        <w:rPr>
          <w:color w:val="000000" w:themeColor="text1"/>
        </w:rPr>
        <w:t xml:space="preserve">validation and assessment  </w:t>
      </w:r>
      <w:bookmarkEnd w:id="12"/>
      <w:r w:rsidRPr="00294BBF">
        <w:rPr>
          <w:color w:val="000000" w:themeColor="text1"/>
        </w:rPr>
        <w:tab/>
      </w:r>
    </w:p>
    <w:p w14:paraId="1AF80B3A" w14:textId="41DCE082" w:rsidR="00D54107" w:rsidRDefault="00C27032" w:rsidP="00C64BEF">
      <w:pPr>
        <w:rPr>
          <w:color w:val="000000" w:themeColor="text1"/>
          <w:szCs w:val="20"/>
        </w:rPr>
      </w:pPr>
      <w:r w:rsidRPr="00294BBF">
        <w:rPr>
          <w:rStyle w:val="Overskrift4Tegn"/>
          <w:color w:val="000000" w:themeColor="text1"/>
        </w:rPr>
        <w:t xml:space="preserve">Model </w:t>
      </w:r>
      <w:r w:rsidR="007F5FBA" w:rsidRPr="00294BBF">
        <w:rPr>
          <w:rStyle w:val="Overskrift4Tegn"/>
          <w:color w:val="000000" w:themeColor="text1"/>
        </w:rPr>
        <w:t>validation metrics</w:t>
      </w:r>
      <w:r w:rsidRPr="00294BBF">
        <w:rPr>
          <w:rStyle w:val="Overskrift4Tegn"/>
          <w:color w:val="000000" w:themeColor="text1"/>
        </w:rPr>
        <w:tab/>
      </w:r>
      <w:r w:rsidRPr="00294BBF">
        <w:rPr>
          <w:b/>
          <w:color w:val="000000" w:themeColor="text1"/>
        </w:rPr>
        <w:br/>
      </w:r>
      <w:proofErr w:type="gramStart"/>
      <w:r w:rsidR="00C64BEF" w:rsidRPr="00294BBF">
        <w:rPr>
          <w:color w:val="000000" w:themeColor="text1"/>
        </w:rPr>
        <w:t>To</w:t>
      </w:r>
      <w:proofErr w:type="gramEnd"/>
      <w:r w:rsidR="00C64BEF" w:rsidRPr="00294BBF">
        <w:rPr>
          <w:color w:val="000000" w:themeColor="text1"/>
        </w:rPr>
        <w:t xml:space="preserve"> assess a model’s goodness of fit, several standard measures were </w:t>
      </w:r>
      <w:r w:rsidR="0097794E">
        <w:rPr>
          <w:color w:val="000000" w:themeColor="text1"/>
        </w:rPr>
        <w:t>employed</w:t>
      </w:r>
      <w:r w:rsidR="00C64BEF" w:rsidRPr="00294BBF">
        <w:rPr>
          <w:color w:val="000000" w:themeColor="text1"/>
        </w:rPr>
        <w:t xml:space="preserve">. In generalized linear and generalised additive models the “explained deviance” (Dev. </w:t>
      </w:r>
      <w:proofErr w:type="spellStart"/>
      <w:r w:rsidR="00C64BEF" w:rsidRPr="00294BBF">
        <w:rPr>
          <w:color w:val="000000" w:themeColor="text1"/>
        </w:rPr>
        <w:t>Expl</w:t>
      </w:r>
      <w:proofErr w:type="spellEnd"/>
      <w:r w:rsidR="00C64BEF" w:rsidRPr="00294BBF">
        <w:rPr>
          <w:color w:val="000000" w:themeColor="text1"/>
        </w:rPr>
        <w:t xml:space="preserve">.) is an analogue to </w:t>
      </w:r>
      <w:r w:rsidR="00B0682B" w:rsidRPr="00294BBF">
        <w:rPr>
          <w:color w:val="000000" w:themeColor="text1"/>
        </w:rPr>
        <w:t>the coefficient of determination (</w:t>
      </w:r>
      <w:r w:rsidR="00C64BEF" w:rsidRPr="00294BBF">
        <w:rPr>
          <w:color w:val="000000" w:themeColor="text1"/>
        </w:rPr>
        <w:t>R</w:t>
      </w:r>
      <w:r w:rsidR="00C64BEF" w:rsidRPr="00294BBF">
        <w:rPr>
          <w:color w:val="000000" w:themeColor="text1"/>
          <w:vertAlign w:val="superscript"/>
        </w:rPr>
        <w:t>2</w:t>
      </w:r>
      <w:r w:rsidR="00B0682B" w:rsidRPr="00294BBF">
        <w:rPr>
          <w:color w:val="000000" w:themeColor="text1"/>
        </w:rPr>
        <w:t>)</w:t>
      </w:r>
      <w:r w:rsidR="008775D0">
        <w:rPr>
          <w:color w:val="000000" w:themeColor="text1"/>
        </w:rPr>
        <w:t xml:space="preserve"> and was used here as an overall indicator of model quality. The </w:t>
      </w:r>
      <w:proofErr w:type="spellStart"/>
      <w:r w:rsidR="00C64BEF" w:rsidRPr="00294BBF">
        <w:rPr>
          <w:color w:val="000000" w:themeColor="text1"/>
        </w:rPr>
        <w:t>Akaike</w:t>
      </w:r>
      <w:proofErr w:type="spellEnd"/>
      <w:r w:rsidR="00C64BEF" w:rsidRPr="00294BBF">
        <w:rPr>
          <w:color w:val="000000" w:themeColor="text1"/>
        </w:rPr>
        <w:t xml:space="preserve"> Information Criterion (AIC)</w:t>
      </w:r>
      <w:r w:rsidR="008775D0">
        <w:rPr>
          <w:color w:val="000000" w:themeColor="text1"/>
        </w:rPr>
        <w:t xml:space="preserve">, which </w:t>
      </w:r>
      <w:r w:rsidR="00C64BEF" w:rsidRPr="00294BBF">
        <w:rPr>
          <w:color w:val="000000" w:themeColor="text1"/>
        </w:rPr>
        <w:t>measures the trade-off between model fit and model complexity</w:t>
      </w:r>
      <w:r w:rsidR="000B2B07">
        <w:rPr>
          <w:color w:val="000000" w:themeColor="text1"/>
        </w:rPr>
        <w:t xml:space="preserve"> </w:t>
      </w:r>
      <w:r w:rsidR="000B2B07">
        <w:rPr>
          <w:color w:val="000000" w:themeColor="text1"/>
        </w:rPr>
        <w:fldChar w:fldCharType="begin" w:fldLock="1"/>
      </w:r>
      <w:r w:rsidR="000B2B07">
        <w:rPr>
          <w:color w:val="000000" w:themeColor="text1"/>
        </w:rPr>
        <w:instrText>ADDIN CSL_CITATION { "citationItems" : [ { "id" : "ITEM-1", "itemData" : { "DOI" : "10.1007/s00265-010-1029-6", "ISBN" : "0340-5443", "ISSN" : "03405443", "PMID" : "3527", "abstract" : "We briefly outline the information-theoretic (I-T) approaches to valid inference including a review of some simple methods for making formal inference from all the hypotheses in the model set (multimodel inference). The I-T approaches can replace the usual t tests and ANOVA tables that are so inferentially limited, but still commonly used. The I-T methods are easy to compute and understand and provide formal measures of the strength of evidence for both the null and alternative hypotheses, given the data. We give an example to highlight the importance of deriving alternative hypo</w:instrText>
      </w:r>
      <w:r w:rsidR="000B2B07" w:rsidRPr="006773E4">
        <w:rPr>
          <w:color w:val="000000" w:themeColor="text1"/>
          <w:lang w:val="en-US"/>
        </w:rPr>
        <w:instrText>theses and representing these as probability models. Fifteen technical issues are addressed to clarify various points that have appeared incorrectly in the recent literature. We offer several remarks regarding the future of empirical science and data analysis under an I-T framework.", "author" : [ { "dropping-particle" : "", "family" : "Burnham", "given" : "Kenneth P.", "non-dropping-particle" : "", "parse-names" : false, "suffix" : "" }, { "dropping-particle" : "", "family" : "Anderson", "given" : "David R.", "non-dropping-particle" : "", "parse-names" : false, "suffix" : "" }, { "dropping-particle" : "", "family" : "Huyvaert", "given" : "Kathryn P.", "non-dropping-particle" : "", "parse-names" : false, "suffix" : "" } ], "container-title" : "Behavioral Ecology and Sociobiology", "id" : "ITEM-1", "issue" : "1", "issued" : { "date-parts" : [ [ "2011" ] ] }, "page" : "23-35", "title" : "AIC model selection and multimodel inference in behavioral ecology: Some background, observations, and comparisons", "type" : "article-journal", "volume" : "65" }, "uris" : [ "http://www.mendeley.com/documents/?uuid=43e9c752-df9e-42ae-beea-6f67fc4e98f6" ] } ], "mendeley" : { "formattedCitation" : "(Burnham &lt;i&gt;et al.&lt;/i&gt;, 2011)", "plainTextFormattedCitation" : "(Burnham et al., 2011)", "previouslyFormattedCitation" : "(Burnham &lt;i&gt;et al.&lt;/i&gt;, 2011)" }, "properties" : { "noteIndex" : 13 }, "schema" : "https://github.com/citation-style-language/schema/raw/master/csl-citation.json" }</w:instrText>
      </w:r>
      <w:r w:rsidR="000B2B07">
        <w:rPr>
          <w:color w:val="000000" w:themeColor="text1"/>
        </w:rPr>
        <w:fldChar w:fldCharType="separate"/>
      </w:r>
      <w:r w:rsidR="000B2B07" w:rsidRPr="006773E4">
        <w:rPr>
          <w:noProof/>
          <w:color w:val="000000" w:themeColor="text1"/>
          <w:lang w:val="en-US"/>
        </w:rPr>
        <w:t xml:space="preserve">(Burnham </w:t>
      </w:r>
      <w:r w:rsidR="006773E4" w:rsidRPr="006773E4">
        <w:rPr>
          <w:i/>
          <w:noProof/>
          <w:color w:val="000000" w:themeColor="text1"/>
          <w:lang w:val="en-US"/>
        </w:rPr>
        <w:t>et al.</w:t>
      </w:r>
      <w:r w:rsidR="000B2B07" w:rsidRPr="006773E4">
        <w:rPr>
          <w:noProof/>
          <w:color w:val="000000" w:themeColor="text1"/>
          <w:lang w:val="en-US"/>
        </w:rPr>
        <w:t>, 2011)</w:t>
      </w:r>
      <w:r w:rsidR="000B2B07">
        <w:rPr>
          <w:color w:val="000000" w:themeColor="text1"/>
        </w:rPr>
        <w:fldChar w:fldCharType="end"/>
      </w:r>
      <w:r w:rsidR="000B2B07" w:rsidRPr="006773E4">
        <w:rPr>
          <w:color w:val="000000" w:themeColor="text1"/>
          <w:lang w:val="en-US"/>
        </w:rPr>
        <w:t xml:space="preserve">, </w:t>
      </w:r>
      <w:r w:rsidR="008775D0" w:rsidRPr="006773E4">
        <w:rPr>
          <w:color w:val="000000" w:themeColor="text1"/>
          <w:lang w:val="en-US"/>
        </w:rPr>
        <w:t>was used as the primary tool for model selection: i</w:t>
      </w:r>
      <w:r w:rsidR="00C64BEF" w:rsidRPr="006773E4">
        <w:rPr>
          <w:color w:val="000000" w:themeColor="text1"/>
          <w:lang w:val="en-US"/>
        </w:rPr>
        <w:t xml:space="preserve">n a set of models, the model with the smallest AIC has the smallest information loss and is therefore defined as the “best” (most parsimonious) model within the set </w:t>
      </w:r>
      <w:r w:rsidR="00C64BEF" w:rsidRPr="00294BBF">
        <w:rPr>
          <w:color w:val="000000" w:themeColor="text1"/>
        </w:rPr>
        <w:fldChar w:fldCharType="begin" w:fldLock="1"/>
      </w:r>
      <w:r w:rsidR="0044442D" w:rsidRPr="006773E4">
        <w:rPr>
          <w:color w:val="000000" w:themeColor="text1"/>
          <w:lang w:val="en-US"/>
        </w:rPr>
        <w:instrText>ADDIN CSL_CITATION { "citationItems" : [ { "id" : "ITEM-1", "itemData" : { "DOI"</w:instrText>
      </w:r>
      <w:r w:rsidR="0044442D" w:rsidRPr="000B2B07">
        <w:rPr>
          <w:color w:val="000000" w:themeColor="text1"/>
          <w:lang w:val="da-DK"/>
        </w:rPr>
        <w:instrText xml:space="preserve"> : "10.1007/s00265-010-1029-6", "ISBN" : "0340-5443", "ISSN" : "03405443", "PMID" : "3527", "abstract" : "We briefly outline the information-theoretic (I-T) approaches to valid inference including a review of some simple methods for making formal inference from all the hypotheses in the model set (multimodel inference). The I-T approaches can replace the usual t tests and ANOVA tables that are so inferentially limited, but still commonly used. The I-T methods are easy to compute and understand and provide formal measures of the strength of evidence for both the null and alternative hypotheses, given the data. We give an example to highlight the importance of deriving alternative hypotheses and representing these as probability models. Fifteen technical issues are addressed to clarify various points that have appeared incorrectly in the recent literature. We offer several remarks regarding the future of empirical science and data analysis under an I-T framework.", "author" : [ { "dropping-particle" : "", "family" : "Burnham", "given" : "Kenneth P.", "non-dropping-particle" : "", "parse-names" : false, "suffix" : "" }, { "dropping-particle" : "", "family" : "Ander</w:instrText>
      </w:r>
      <w:r w:rsidR="0044442D" w:rsidRPr="00294BBF">
        <w:rPr>
          <w:color w:val="000000" w:themeColor="text1"/>
        </w:rPr>
        <w:instrText>son", "given" : "David R.", "non-dropping-particle" : "", "parse-names" : false, "suffix" : "" }, { "dropping-particle" : "", "family" : "Huyvaert", "given" : "Kathryn P.", "non-dropping-particle" : "", "parse-names" : false, "suffix" : "" } ], "container-title" : "Behavioral Ecology and Sociobiology", "id" : "ITEM-1", "issue" : "1", "issued" : { "date-parts" : [ [ "2011" ] ] }, "page" : "23-35", "title" : "AIC model selection and multimodel inference in behavioral ecology: Some background, observations, and comparisons", "type" : "article-journal", "volume" : "65" }, "uris" : [ "http://www.mendeley.com/documents/?uuid=43e9c752-df9e-42ae-beea-6f67fc4e98f6", "http://www.mendeley.com/documents/?uuid=b876fd97-e888-4ac1-9f4a-8ed640d272ad" ] }, { "id" : "ITEM-2", "itemData" : { "DOI" : "10.1007/978-0-387-74075-1", "ISBN" : "9780387740737", "ISSN" : "00033472", "PMID" : "20940640", "abstract" : "The abstract concept of \"information\" can be quantified and this has led to many important advances in the analysis of data in the empirical sciences. This text focuses on a science philosophy based on \"multiple working hypotheses\" and statistical models to represent them. The fundamental science question relates to the empirical evidence for hypotheses in this seta formal strength of evidence. Kullback-Leibler information is the information lost when a model is used to approximate full reality. Hirotugu Akaike found a link between K-L information (a cornerstone of information theory) and the maximized log-likelihood (a cornerstone of mathematical statistics). This combination has become the basis for a new paradigm in model based inference. The text advocates formal inference from all the hypotheses/models in the a priori setmultimodel inference. This compelling approach allows a simple ranking of the science hypothesis and their models. Simple methods are introduced for computing the likelihood of model i, given the data; the probability of model i, given the data; and evidence ratios. These quantities represent a formal strength of evidence and are easy to compute and understand, given the estimated model parameters and associated quantities (e.g., residual sum of squares, maximized log-likelihood, and covariance matrices). Additional forms of multimodel inference include model averaging, unconditional variances, and ways to rank the relative importance of predictor variables. This textbook is written for people new to the information-theoretic approaches to statistical inference, whether graduate students, post-docs, or professionals in various universities, agencies or institutes. Readers are expected to have a background in general statistical principles, regression analysis, and some exposure to likelihood methods. This is not an elementary text as it assumes reasonable competence in modeling and parameter estimation. DAVID R. ANDERSON retired recently from serving as a senior scientist with the U.S. Geological Survey and professor in the Department of Fish, Wildlife, and Conservation Biology at Colorado State University. He has an emeritus professorship at CSU and is president of the Applied Information Company in Fort Collins. He has authored 18 scientific books and research monographs and over 100 journal publications. He has received a variety of awards, including U.S. Department of Interiors Meritorious Service Award and The Wildlife Society\u2026", "author" : [ { "dropping-particle" : "", "family" : "Anderson", "given" : "David R.", "non-dropping-particle" : "", "parse-names" : false, "suffix" : "" } ], "container-title" : "Model Based Inference in the Life Sciences: A Primer on Evidence", "id" : "ITEM-2", "issued" : { "date-parts" : [ [ "2008" ] ] }, "number-of-pages" : "1-184", "publisher" : "Springer Science &amp; Business Media", "publisher-place" : "New York", "title" : "Model based inference in the life sciences: A primer on evidence", "type" : "book" }, "uris" : [ "http://www.mendeley.com/documents/?uuid=4c4fdc75-d1e9-464b-96c2-3db702229ae6", "http://www.mendeley.com/documents/?uuid=476e67f8-51a3-4ab8-911a-13453dd765cd" ] } ], "mendeley" : { "formattedCitation" : "(Anderson, 2008; Burnham &lt;i&gt;et al.&lt;/i&gt;, 2011)", "plainTextFormattedCitation" : "(Anderson, 2008; Burnham et al., 2011)", "previouslyFormattedCitation" : "(Anderson, 2008; Burnham &lt;i&gt;et al.&lt;/i&gt;, 2011)" }, "properties" : { "noteIndex" : 0 }, "schema" : "https://github.com/citation-style-language/schema/raw/master/csl-citation.json" }</w:instrText>
      </w:r>
      <w:r w:rsidR="00C64BEF" w:rsidRPr="00294BBF">
        <w:rPr>
          <w:color w:val="000000" w:themeColor="text1"/>
        </w:rPr>
        <w:fldChar w:fldCharType="separate"/>
      </w:r>
      <w:r w:rsidR="0044442D" w:rsidRPr="00294BBF">
        <w:rPr>
          <w:noProof/>
          <w:color w:val="000000" w:themeColor="text1"/>
        </w:rPr>
        <w:t xml:space="preserve">(Anderson, 2008; Burnham </w:t>
      </w:r>
      <w:r w:rsidR="006773E4" w:rsidRPr="006773E4">
        <w:rPr>
          <w:i/>
          <w:noProof/>
          <w:color w:val="000000" w:themeColor="text1"/>
        </w:rPr>
        <w:t>et al.</w:t>
      </w:r>
      <w:r w:rsidR="0044442D" w:rsidRPr="00294BBF">
        <w:rPr>
          <w:noProof/>
          <w:color w:val="000000" w:themeColor="text1"/>
        </w:rPr>
        <w:t>, 2011)</w:t>
      </w:r>
      <w:r w:rsidR="00C64BEF" w:rsidRPr="00294BBF">
        <w:rPr>
          <w:color w:val="000000" w:themeColor="text1"/>
        </w:rPr>
        <w:fldChar w:fldCharType="end"/>
      </w:r>
      <w:r w:rsidR="00C64BEF" w:rsidRPr="00294BBF">
        <w:rPr>
          <w:color w:val="000000" w:themeColor="text1"/>
        </w:rPr>
        <w:t xml:space="preserve">. The difference in AIC relative to the smallest AIC value in the model set (∆AIC), provides an easy way to compare and rank models </w:t>
      </w:r>
      <w:r w:rsidR="00C64BEF" w:rsidRPr="00294BBF">
        <w:rPr>
          <w:color w:val="000000" w:themeColor="text1"/>
        </w:rPr>
        <w:fldChar w:fldCharType="begin" w:fldLock="1"/>
      </w:r>
      <w:r w:rsidR="00E40F45" w:rsidRPr="00294BBF">
        <w:rPr>
          <w:color w:val="000000" w:themeColor="text1"/>
        </w:rPr>
        <w:instrText>ADDIN CSL_CITATION { "citationItems" : [ { "id" : "ITEM-1", "itemData" : { "DOI" : "10.1007/978-0-387-74075-1", "ISBN" : "9780387740737", "ISSN" : "00033472", "PMID" : "20940640", "abstract" : "The abstract concept of \"information\" can be quantified and this has led to many important advances in the analysis of data in the empirical sciences. This text focuses on a science philosophy based on \"multiple working hypotheses\" and statistical models to represent them. The fundamental science question relates to the empirical evidence for hypotheses in this seta formal strength of evidence. Kullback-Leibler information is the information lost when a model is used to approximate full reality. Hirotugu Akaike found a link between K-L information (a cornerstone of information theory) and the maximized log-likelihood (a cornerstone of mathematical statistics). This combination has become the basis for a new paradigm in model based inference. The text advocates formal inference from all the hypotheses/models in the a priori setmultimodel inference. This compelling approach allows a simple ranking of the science hypothesis and their models. Simple methods are introduced for computing the likelihood of model i, given the data; the probability of model i, given the data; and evidence ratios. These quantities represent a formal strength of evidence and are easy to compute and understand, given the estimated model parameters and associated quantities (e.g., residual sum of squares, maximized log-likelihood, and covariance matrices). Additional forms of multimodel inference include model averaging, unconditional variances, and ways to rank the relative importance of predictor variables. This textbook is written for people new to the information-theoretic approaches to statistical inference, whether graduate students, post-docs, or professionals in various universities, agencies or institutes. Readers are expected to have a background in general statistical principles, regression analysis, and some exposure to likelihood methods. This is not an elementary text as it assumes reasonable competence in modeling and parameter estimation. DAVID R. ANDERSON retired recently from serving as a senior scientist with the U.S. Geological Survey and professor in the Department of Fish, Wildlife, and Conservation Biology at Colorado State University. He has an emeritus professorship at CSU and is president of the Applied Information Company in Fort Collins. He has authored 18 scientific books and research monographs and over 100 journal publications. He has received a variety of awards, including U.S. Department of Interiors Meritorious Service Award and The Wildlife Society\u2026", "author" : [ { "dropping-particle" : "", "family" : "Anderson", "given" : "David R.", "non-dropping-particle" : "", "parse-names" : false, "suffix" : "" } ], "container-title" : "Model Based Inference in the Life Sciences: A Primer on Evidence", "id" : "ITEM-1", "issued" : { "date-parts" : [ [ "2008" ] ] }, "number-of-pages" : "1-184", "publisher" : "Springer Science &amp; Business Media", "publisher-place" : "New York", "title" : "Model based inference in the life sciences: A primer on evidence", "type" : "book" }, "uris" : [ "http://www.mendeley.com/documents/?uuid=4c4fdc75-d1e9-464b-96c2-3db702229ae6", "http://www.mendeley.com/documents/?uuid=476e67f8-51a3-4ab8-911a-13453dd765cd" ] }, { "id" : "ITEM-2", "itemData" : { "DOI" : "10.1007/s00265-010-1029-6", "ISBN" : "0340-5443", "ISSN" : "03405443", "PMID" : "3527", "abstract" : "We briefly outline the information-theoretic (I-T) approaches to valid inference including a review of some simple methods for making formal inference from all the hypotheses in the model set (multimodel inference). The I-T approaches can replace the usual t tests and ANOVA tables that are so inferentially limited, but still commonly used. The I-T methods are easy to compute and understand and provide formal measures of the strength of evidence for both the null and alternative hypotheses, given the data. We give an example to highlight the importance of deriving alternative hypotheses and representing these as probability models. Fifteen technical issues are addressed to clarify various points that have appeared incorrectly in the recent literature. We offer several remarks regarding the future of empirical science and data analysis under an I-T framework.", "author" : [ { "dropping-particle" : "", "family" : "Burnham", "given" : "Kenneth P.", "non-dropping-particle" : "", "parse-names" : false, "suffix" : "" }, { "dropping-particle" : "", "family" : "Anderson", "given" : "David R.", "non-dropping-particle" : "", "parse-names" : false, "suffix" : "" }, { "dropping-particle" : "", "family" : "Huyvaert", "given" : "Kathryn P.", "non-dropping-particle" : "", "parse-names" : false, "suffix" : "" } ], "container-title" : "Behavioral Ecology and Sociobiology", "id" : "ITEM-2", "issue" : "1", "issued" : { "date-parts" : [ [ "2011" ] ] }, "page" : "23-35", "title" : "AIC model selection and multimodel inference in behavioral ecology: Some background, observations, and comparisons", "type" : "article-journal", "volume" : "65" }, "uris" : [ "http://www.mendeley.com/documents/?uuid=b876fd97-e888-4ac1-9f4a-8ed640d272ad", "http://www.mendeley.com/documents/?uuid=43e9c752-df9e-42ae-beea-6f67fc4e98f6", "http://www.mendeley.com/documents/?uuid=51924e72-b9ed-4d27-a6c6-d97cdbe71540" ] } ], "mendeley" : { "formattedCitation" : "(Anderson, 2008; Burnham &lt;i&gt;et al.&lt;/i&gt;, 2011)", "plainTextFormattedCitation" : "(Anderson, 2008; Burnham et al., 2011)", "previouslyFormattedCitation" : "(Anderson, 2008; Burnham &lt;i&gt;et al.&lt;/i&gt;, 2011)" }, "properties" : { "noteIndex" : 0 }, "schema" : "https://github.com/citation-style-language/schema/raw/master/csl-citation.json" }</w:instrText>
      </w:r>
      <w:r w:rsidR="00C64BEF" w:rsidRPr="00294BBF">
        <w:rPr>
          <w:color w:val="000000" w:themeColor="text1"/>
        </w:rPr>
        <w:fldChar w:fldCharType="separate"/>
      </w:r>
      <w:r w:rsidR="00E40F45" w:rsidRPr="00294BBF">
        <w:rPr>
          <w:noProof/>
          <w:color w:val="000000" w:themeColor="text1"/>
        </w:rPr>
        <w:t xml:space="preserve">(Anderson, 2008; Burnham </w:t>
      </w:r>
      <w:r w:rsidR="006773E4" w:rsidRPr="006773E4">
        <w:rPr>
          <w:i/>
          <w:noProof/>
          <w:color w:val="000000" w:themeColor="text1"/>
        </w:rPr>
        <w:t>et al.</w:t>
      </w:r>
      <w:r w:rsidR="00E40F45" w:rsidRPr="00294BBF">
        <w:rPr>
          <w:noProof/>
          <w:color w:val="000000" w:themeColor="text1"/>
        </w:rPr>
        <w:t>, 2011)</w:t>
      </w:r>
      <w:r w:rsidR="00C64BEF" w:rsidRPr="00294BBF">
        <w:rPr>
          <w:color w:val="000000" w:themeColor="text1"/>
        </w:rPr>
        <w:fldChar w:fldCharType="end"/>
      </w:r>
      <w:r w:rsidR="002505D8">
        <w:rPr>
          <w:color w:val="000000" w:themeColor="text1"/>
        </w:rPr>
        <w:t>: t</w:t>
      </w:r>
      <w:r w:rsidR="00C64BEF" w:rsidRPr="00294BBF">
        <w:rPr>
          <w:color w:val="000000" w:themeColor="text1"/>
        </w:rPr>
        <w:t xml:space="preserve">he </w:t>
      </w:r>
      <w:r w:rsidR="00C64BEF" w:rsidRPr="00294BBF">
        <w:rPr>
          <w:color w:val="000000" w:themeColor="text1"/>
        </w:rPr>
        <w:lastRenderedPageBreak/>
        <w:t>“best” model within a set has by definition ∆AIC ≡ 0.</w:t>
      </w:r>
      <w:r w:rsidR="009A5F4A" w:rsidRPr="00294BBF">
        <w:rPr>
          <w:color w:val="000000" w:themeColor="text1"/>
        </w:rPr>
        <w:t xml:space="preserve"> </w:t>
      </w:r>
      <w:r w:rsidR="005930DF">
        <w:rPr>
          <w:color w:val="000000" w:themeColor="text1"/>
        </w:rPr>
        <w:t>However, e</w:t>
      </w:r>
      <w:r w:rsidR="00C64BEF" w:rsidRPr="00294BBF">
        <w:rPr>
          <w:color w:val="000000" w:themeColor="text1"/>
        </w:rPr>
        <w:t xml:space="preserve">valuating models based on the same data set used for calibration has been proposed to be a poor approach </w:t>
      </w:r>
      <w:r w:rsidR="00C64BEF" w:rsidRPr="00294BBF">
        <w:rPr>
          <w:color w:val="000000" w:themeColor="text1"/>
        </w:rPr>
        <w:fldChar w:fldCharType="begin" w:fldLock="1"/>
      </w:r>
      <w:r w:rsidR="00065C02" w:rsidRPr="00294BBF">
        <w:rPr>
          <w:color w:val="000000" w:themeColor="text1"/>
        </w:rPr>
        <w:instrText>ADDIN CSL_CITATION { "citationItems" : [ { "id" : "ITEM-1", "itemData" : { "DOI" : "10.1016/S0304-3800(00)00354-9", "ISBN" : "0304-3800", "ISSN" : "03043800", "PMID" : "429", "abstract" : "With the rise of new powerful statistical techniques and GIS tools, the development of predictive habitat distribution models has rapidly increased in ecology. Such models are static and probabilistic in nature, since they statistically relate the geographical distribution of species or communities to their present environment. A wide array of models has been developed to cover aspects as diverse as biogeography, conservation biology, climate change research, and habitat or species management. In this paper, we present a review of predictive habitat distribution modeling. The variety of statistical techniques used is growing. Ordinary multiple regression and its generalized form (GLM) are very popular and are often used for modeling species distributions. Other methods include neural networks, ordination and classification methods, Bayesian models, locally weighted approaches (e.g. GAM), environmental envelopes or even combinations of these models. The selection of an appropriate method should not depend solely on statistical considerations. Some models are better suited to reflect theoretical findings on the shape and nature of the species' response (or realized niche). Conceptual considerations include e.g. the trade-off between optimizing accuracy versus optimizing generality. In the field of static distribution modeling, the latter is mostly related to selecting appropriate predictor variables and to designing an appropriate procedure for model selection. New methods, including threshold-independent measures (e.g. receiver operating characteristic (ROC)-plots) and resampling techniques (e.g. bootstrap, cross-validation) have been introduced in ecology for testing the accuracy of predictive models. The choice of an evaluation measure should be driven primarily by the goals of the study. This may possibly lead to the attribution of different weights to the various types of prediction errors (e.g. omission, commission or confusion). Testing the model in a wider range of situations (in space and time) will permit one to define the range of applications for which the model predictions are suitable. In turn, the qualification of the model depends primarily on the goals of the study that define the qualification criteria and on the usability of the model, rather than on statistics alone. ?? 2000 Elsevier Science B.V.", "author" : [ { "dropping-particle" : "", "family" : "Guisan", "given" : "Antoine", "non-dropping-particle" : "", "parse-names" : false, "suffix" : "" }, { "dropping-particle" : "", "family" : "Zimmermann", "given" : "Niklaus E", "non-dropping-particle" : "", "parse-names" : false, "suffix" : "" } ], "container-title" : "Ecological Modelling", "id" : "ITEM-1", "issue" : "2-3", "issued" : { "date-parts" : [ [ "2000" ] ] }, "page" : "147-186", "title" : "Predictive habitat distribution models in ecology", "type" : "article-journal", "volume" : "135" }, "uris" : [ "http://www.mendeley.com/documents/?uuid=9a64d3e6-8616-42a8-a748-6a3f64a545a0" ] } ], "mendeley" : { "formattedCitation" : "(Guisan and Zimmermann, 2000)", "plainTextFormattedCitation" : "(Guisan and Zimmermann, 2000)", "previouslyFormattedCitation" : "(Guisan and Zimmermann, 2000)" }, "properties" : { "noteIndex" : 0 }, "schema" : "https://github.com/citation-style-language/schema/raw/master/csl-citation.json" }</w:instrText>
      </w:r>
      <w:r w:rsidR="00C64BEF" w:rsidRPr="00294BBF">
        <w:rPr>
          <w:color w:val="000000" w:themeColor="text1"/>
        </w:rPr>
        <w:fldChar w:fldCharType="separate"/>
      </w:r>
      <w:r w:rsidR="00E40F45" w:rsidRPr="00294BBF">
        <w:rPr>
          <w:noProof/>
          <w:color w:val="000000" w:themeColor="text1"/>
        </w:rPr>
        <w:t>(Guisan and Zimmermann, 2000)</w:t>
      </w:r>
      <w:r w:rsidR="00C64BEF" w:rsidRPr="00294BBF">
        <w:rPr>
          <w:color w:val="000000" w:themeColor="text1"/>
        </w:rPr>
        <w:fldChar w:fldCharType="end"/>
      </w:r>
      <w:r w:rsidR="00C64BEF" w:rsidRPr="00294BBF">
        <w:rPr>
          <w:color w:val="000000" w:themeColor="text1"/>
        </w:rPr>
        <w:t xml:space="preserve">. Therefore, for the purpose of evaluation, 5-fold </w:t>
      </w:r>
      <w:r w:rsidR="00C64BEF" w:rsidRPr="00294BBF">
        <w:rPr>
          <w:color w:val="000000" w:themeColor="text1"/>
          <w:szCs w:val="20"/>
        </w:rPr>
        <w:t xml:space="preserve">cross validation (CV) was employed, where the </w:t>
      </w:r>
      <w:r w:rsidR="00C64BEF" w:rsidRPr="00294BBF">
        <w:rPr>
          <w:color w:val="000000" w:themeColor="text1"/>
        </w:rPr>
        <w:t xml:space="preserve">models were trained with 80% of the data and predictions </w:t>
      </w:r>
      <w:r w:rsidR="00E245DA" w:rsidRPr="00294BBF">
        <w:rPr>
          <w:color w:val="000000" w:themeColor="text1"/>
        </w:rPr>
        <w:t xml:space="preserve">subsequently </w:t>
      </w:r>
      <w:r w:rsidR="00C64BEF" w:rsidRPr="00294BBF">
        <w:rPr>
          <w:color w:val="000000" w:themeColor="text1"/>
        </w:rPr>
        <w:t>made and validated against for the remaining 20%</w:t>
      </w:r>
      <w:r w:rsidR="00C64BEF" w:rsidRPr="00294BBF">
        <w:rPr>
          <w:color w:val="000000" w:themeColor="text1"/>
          <w:szCs w:val="20"/>
        </w:rPr>
        <w:t>.</w:t>
      </w:r>
      <w:r w:rsidR="00C64BEF" w:rsidRPr="00294BBF">
        <w:rPr>
          <w:color w:val="000000" w:themeColor="text1"/>
        </w:rPr>
        <w:t xml:space="preserve"> </w:t>
      </w:r>
      <w:r w:rsidR="00C64BEF" w:rsidRPr="00294BBF">
        <w:rPr>
          <w:color w:val="000000" w:themeColor="text1"/>
          <w:szCs w:val="20"/>
        </w:rPr>
        <w:t>Data partitioning was performed based on years, with every 5</w:t>
      </w:r>
      <w:r w:rsidR="00C64BEF" w:rsidRPr="00294BBF">
        <w:rPr>
          <w:color w:val="000000" w:themeColor="text1"/>
          <w:szCs w:val="20"/>
          <w:vertAlign w:val="superscript"/>
        </w:rPr>
        <w:t>th</w:t>
      </w:r>
      <w:r w:rsidR="00C64BEF" w:rsidRPr="00294BBF">
        <w:rPr>
          <w:color w:val="000000" w:themeColor="text1"/>
          <w:szCs w:val="20"/>
        </w:rPr>
        <w:t xml:space="preserve"> year being incorporated into the same fold. The </w:t>
      </w:r>
      <w:r w:rsidR="00C64BEF" w:rsidRPr="00294BBF">
        <w:rPr>
          <w:color w:val="000000" w:themeColor="text1"/>
        </w:rPr>
        <w:t>prediction-based model validation metrics</w:t>
      </w:r>
      <w:r w:rsidR="007F5FBA" w:rsidRPr="00294BBF">
        <w:rPr>
          <w:color w:val="000000" w:themeColor="text1"/>
          <w:szCs w:val="20"/>
        </w:rPr>
        <w:t xml:space="preserve"> were derived for each of the five</w:t>
      </w:r>
      <w:r w:rsidR="00C64BEF" w:rsidRPr="00294BBF">
        <w:rPr>
          <w:color w:val="000000" w:themeColor="text1"/>
          <w:szCs w:val="20"/>
        </w:rPr>
        <w:t xml:space="preserve"> iterations and their mean calculated.</w:t>
      </w:r>
    </w:p>
    <w:p w14:paraId="1A993975" w14:textId="5087E361" w:rsidR="00A86C20" w:rsidRDefault="003B7267" w:rsidP="00C64BEF">
      <w:pPr>
        <w:rPr>
          <w:color w:val="000000" w:themeColor="text1"/>
        </w:rPr>
      </w:pPr>
      <w:r>
        <w:rPr>
          <w:color w:val="000000" w:themeColor="text1"/>
        </w:rPr>
        <w:t xml:space="preserve">The ability of the </w:t>
      </w:r>
      <w:r w:rsidR="00C64BEF" w:rsidRPr="00294BBF">
        <w:rPr>
          <w:color w:val="000000" w:themeColor="text1"/>
        </w:rPr>
        <w:t>model</w:t>
      </w:r>
      <w:r>
        <w:rPr>
          <w:color w:val="000000" w:themeColor="text1"/>
        </w:rPr>
        <w:t xml:space="preserve">s to discriminate between the presence and absence of larvae </w:t>
      </w:r>
      <w:r w:rsidR="00C64BEF" w:rsidRPr="00294BBF">
        <w:rPr>
          <w:color w:val="000000" w:themeColor="text1"/>
        </w:rPr>
        <w:t xml:space="preserve">were derived from a confusion matrix, summarizing the four possible </w:t>
      </w:r>
      <w:r w:rsidR="00622126">
        <w:rPr>
          <w:color w:val="000000" w:themeColor="text1"/>
        </w:rPr>
        <w:t>outcomes</w:t>
      </w:r>
      <w:r w:rsidR="00622126" w:rsidRPr="00294BBF">
        <w:rPr>
          <w:color w:val="000000" w:themeColor="text1"/>
        </w:rPr>
        <w:t xml:space="preserve"> </w:t>
      </w:r>
      <w:r w:rsidR="00C64BEF" w:rsidRPr="00294BBF">
        <w:rPr>
          <w:color w:val="000000" w:themeColor="text1"/>
        </w:rPr>
        <w:t>between modelled presence/absence predictions and the validation data set (</w:t>
      </w:r>
      <w:r w:rsidR="00AB7854" w:rsidRPr="00294BBF">
        <w:rPr>
          <w:color w:val="000000" w:themeColor="text1"/>
        </w:rPr>
        <w:t>Table 1</w:t>
      </w:r>
      <w:r w:rsidR="00C64BEF" w:rsidRPr="00294BBF">
        <w:rPr>
          <w:color w:val="000000" w:themeColor="text1"/>
        </w:rPr>
        <w:t>). The threshold used for translating the predicted probability of blu</w:t>
      </w:r>
      <w:r w:rsidR="00C206EE" w:rsidRPr="00294BBF">
        <w:rPr>
          <w:color w:val="000000" w:themeColor="text1"/>
        </w:rPr>
        <w:t>e whiting larval-</w:t>
      </w:r>
      <w:r w:rsidR="00C64BEF" w:rsidRPr="00294BBF">
        <w:rPr>
          <w:color w:val="000000" w:themeColor="text1"/>
        </w:rPr>
        <w:t xml:space="preserve">occurrence into presences and absences was chosen for each model so that the total number of presences in the prediction data set was equal to the number of presences in the observed dataset, in accordance with </w:t>
      </w:r>
      <w:r w:rsidR="00C64BEF" w:rsidRPr="00294BBF">
        <w:rPr>
          <w:color w:val="000000" w:themeColor="text1"/>
        </w:rPr>
        <w:fldChar w:fldCharType="begin" w:fldLock="1"/>
      </w:r>
      <w:r w:rsidR="00E40F45" w:rsidRPr="00294BBF">
        <w:rPr>
          <w:color w:val="000000" w:themeColor="text1"/>
        </w:rPr>
        <w:instrText>ADDIN CSL_CITATION { "citationItems" : [ { "id" : "ITEM-1", "itemData" : { "DOI" : "10.1016/j.ecolmodel.2008.05.015", "author" : [ { "dropping-particle" : "", "family" : "Freeman", "given" : "Elizabeth A", "non-dropping-particle" : "", "parse-names" : false, "suffix" : "" }, { "dropping-particle" : "", "family" : "Moisen", "given" : "Gretchen G", "non-dropping-particle" : "", "parse-names" : false, "suffix" : "" } ], "container-title" : "Ecological Modelling", "id" : "ITEM-1", "issue" : "1-2", "issued" : { "date-parts" : [ [ "2008" ] ] }, "page" : "48-58", "title" : "A comparison of the performance of threshold criteria for binary classification in terms of predicted prevalence and kappa", "type" : "article-journal", "volume" : "217" }, "uris" : [ "http://www.mendeley.com/documents/?uuid=14d0c13e-c679-43ea-91e6-f4fadf414d02", "http://www.mendeley.com/documents/?uuid=9debb0f2-828e-4ddb-8ad0-6f2f33db8eee" ] } ], "mendeley" : { "formattedCitation" : "(Freeman and Moisen, 2008)", "manualFormatting" : "Freeman and Moisen (2008)", "plainTextFormattedCitation" : "(Freeman and Moisen, 2008)", "previouslyFormattedCitation" : "(Freeman and Moisen, 2008)" }, "properties" : { "noteIndex" : 0 }, "schema" : "https://github.com/citation-style-language/schema/raw/master/csl-citation.json" }</w:instrText>
      </w:r>
      <w:r w:rsidR="00C64BEF" w:rsidRPr="00294BBF">
        <w:rPr>
          <w:color w:val="000000" w:themeColor="text1"/>
        </w:rPr>
        <w:fldChar w:fldCharType="separate"/>
      </w:r>
      <w:r w:rsidR="00C64BEF" w:rsidRPr="00294BBF">
        <w:rPr>
          <w:noProof/>
          <w:color w:val="000000" w:themeColor="text1"/>
        </w:rPr>
        <w:t>Freeman and Moisen (2008)</w:t>
      </w:r>
      <w:r w:rsidR="00C64BEF" w:rsidRPr="00294BBF">
        <w:rPr>
          <w:color w:val="000000" w:themeColor="text1"/>
        </w:rPr>
        <w:fldChar w:fldCharType="end"/>
      </w:r>
      <w:r w:rsidR="00C64BEF" w:rsidRPr="00294BBF">
        <w:rPr>
          <w:color w:val="000000" w:themeColor="text1"/>
        </w:rPr>
        <w:t xml:space="preserve">. The positive predictive value (PPV) is the </w:t>
      </w:r>
      <w:r w:rsidR="00B86C7C">
        <w:rPr>
          <w:color w:val="000000" w:themeColor="text1"/>
        </w:rPr>
        <w:t xml:space="preserve">proportion of hauls </w:t>
      </w:r>
      <w:r w:rsidR="00C64BEF" w:rsidRPr="00294BBF">
        <w:rPr>
          <w:color w:val="000000" w:themeColor="text1"/>
        </w:rPr>
        <w:t xml:space="preserve">where the presence of larvae is predicted </w:t>
      </w:r>
      <w:r w:rsidR="002112FC">
        <w:rPr>
          <w:color w:val="000000" w:themeColor="text1"/>
        </w:rPr>
        <w:t>and was</w:t>
      </w:r>
      <w:r w:rsidR="002112FC" w:rsidRPr="00294BBF">
        <w:rPr>
          <w:color w:val="000000" w:themeColor="text1"/>
        </w:rPr>
        <w:t xml:space="preserve"> </w:t>
      </w:r>
      <w:r w:rsidR="00C64BEF" w:rsidRPr="00294BBF">
        <w:rPr>
          <w:color w:val="000000" w:themeColor="text1"/>
        </w:rPr>
        <w:t xml:space="preserve">in fact a </w:t>
      </w:r>
      <w:r w:rsidR="00405537" w:rsidRPr="00294BBF">
        <w:rPr>
          <w:color w:val="000000" w:themeColor="text1"/>
        </w:rPr>
        <w:t>larval-presence:</w:t>
      </w:r>
      <w:r w:rsidR="00405537" w:rsidRPr="00294BBF">
        <w:rPr>
          <w:color w:val="000000" w:themeColor="text1"/>
        </w:rPr>
        <w:tab/>
      </w:r>
    </w:p>
    <w:p w14:paraId="01FDFF58" w14:textId="51A320A2" w:rsidR="00D367BC" w:rsidRDefault="00405537" w:rsidP="00C64BEF">
      <w:pPr>
        <w:rPr>
          <w:color w:val="000000" w:themeColor="text1"/>
        </w:rPr>
      </w:pPr>
      <w:r w:rsidRPr="00294BBF">
        <w:rPr>
          <w:color w:val="000000" w:themeColor="text1"/>
        </w:rPr>
        <w:tab/>
      </w:r>
      <w:r w:rsidR="00C64BEF" w:rsidRPr="00294BBF">
        <w:rPr>
          <w:color w:val="000000" w:themeColor="text1"/>
        </w:rPr>
        <w:tab/>
      </w:r>
      <w:r w:rsidR="00A04DFB">
        <w:rPr>
          <w:color w:val="000000" w:themeColor="text1"/>
        </w:rPr>
        <w:tab/>
      </w:r>
      <w:r w:rsidR="00145EA5">
        <w:rPr>
          <w:color w:val="000000" w:themeColor="text1"/>
        </w:rPr>
        <w:tab/>
      </w:r>
      <m:oMath>
        <m:r>
          <m:rPr>
            <m:sty m:val="p"/>
          </m:rPr>
          <w:rPr>
            <w:rFonts w:ascii="Cambria Math" w:hAnsi="Cambria Math" w:cs="Times New Roman"/>
            <w:color w:val="000000" w:themeColor="text1"/>
          </w:rPr>
          <m:t xml:space="preserve">PPV= </m:t>
        </m:r>
        <m:f>
          <m:fPr>
            <m:ctrlPr>
              <w:rPr>
                <w:rFonts w:ascii="Cambria Math" w:hAnsi="Cambria Math" w:cs="Times New Roman"/>
                <w:color w:val="000000" w:themeColor="text1"/>
              </w:rPr>
            </m:ctrlPr>
          </m:fPr>
          <m:num>
            <m:r>
              <w:rPr>
                <w:rFonts w:ascii="Cambria Math" w:hAnsi="Cambria Math" w:cs="Times New Roman"/>
                <w:color w:val="000000" w:themeColor="text1"/>
              </w:rPr>
              <m:t>TP</m:t>
            </m:r>
          </m:num>
          <m:den>
            <m:r>
              <w:rPr>
                <w:rFonts w:ascii="Cambria Math" w:hAnsi="Cambria Math" w:cs="Times New Roman"/>
                <w:color w:val="000000" w:themeColor="text1"/>
              </w:rPr>
              <m:t>TP+FP</m:t>
            </m:r>
          </m:den>
        </m:f>
      </m:oMath>
      <w:r w:rsidR="00C64BEF" w:rsidRPr="00294BBF">
        <w:rPr>
          <w:color w:val="000000" w:themeColor="text1"/>
        </w:rPr>
        <w:tab/>
      </w:r>
      <w:r w:rsidR="00145EA5">
        <w:rPr>
          <w:color w:val="000000" w:themeColor="text1"/>
        </w:rPr>
        <w:tab/>
      </w:r>
      <w:r w:rsidR="00BD12A0" w:rsidRPr="00294BBF">
        <w:rPr>
          <w:color w:val="000000" w:themeColor="text1"/>
        </w:rPr>
        <w:tab/>
      </w:r>
      <w:r w:rsidR="00BD12A0" w:rsidRPr="00294BBF">
        <w:rPr>
          <w:color w:val="000000" w:themeColor="text1"/>
        </w:rPr>
        <w:tab/>
      </w:r>
      <w:r w:rsidR="00BD12A0" w:rsidRPr="00294BBF">
        <w:rPr>
          <w:color w:val="000000" w:themeColor="text1"/>
        </w:rPr>
        <w:tab/>
      </w:r>
      <w:r w:rsidR="00A04DFB">
        <w:rPr>
          <w:color w:val="000000" w:themeColor="text1"/>
        </w:rPr>
        <w:tab/>
      </w:r>
      <w:r w:rsidR="00BD12A0" w:rsidRPr="00294BBF">
        <w:rPr>
          <w:color w:val="000000" w:themeColor="text1"/>
        </w:rPr>
        <w:t>(2</w:t>
      </w:r>
      <w:proofErr w:type="gramStart"/>
      <w:r w:rsidR="00BD12A0" w:rsidRPr="00294BBF">
        <w:rPr>
          <w:color w:val="000000" w:themeColor="text1"/>
        </w:rPr>
        <w:t>)</w:t>
      </w:r>
      <w:proofErr w:type="gramEnd"/>
      <w:r w:rsidR="00C64BEF" w:rsidRPr="00294BBF">
        <w:rPr>
          <w:color w:val="000000" w:themeColor="text1"/>
        </w:rPr>
        <w:br/>
        <w:t xml:space="preserve">where </w:t>
      </w:r>
      <w:r w:rsidR="006773E4">
        <w:rPr>
          <w:color w:val="000000" w:themeColor="text1"/>
        </w:rPr>
        <w:t>TP</w:t>
      </w:r>
      <w:r w:rsidR="00467F6C">
        <w:rPr>
          <w:color w:val="000000" w:themeColor="text1"/>
        </w:rPr>
        <w:t xml:space="preserve"> (true positive)</w:t>
      </w:r>
      <w:r w:rsidR="006773E4">
        <w:rPr>
          <w:color w:val="000000" w:themeColor="text1"/>
        </w:rPr>
        <w:t xml:space="preserve"> and FP</w:t>
      </w:r>
      <w:r w:rsidR="00C64BEF" w:rsidRPr="00294BBF">
        <w:rPr>
          <w:color w:val="000000" w:themeColor="text1"/>
        </w:rPr>
        <w:t xml:space="preserve"> </w:t>
      </w:r>
      <w:r w:rsidR="00467F6C">
        <w:rPr>
          <w:color w:val="000000" w:themeColor="text1"/>
        </w:rPr>
        <w:t xml:space="preserve">(false positive) </w:t>
      </w:r>
      <w:r w:rsidR="00C64BEF" w:rsidRPr="00294BBF">
        <w:rPr>
          <w:color w:val="000000" w:themeColor="text1"/>
        </w:rPr>
        <w:t>are the elements of the confusion matrix (</w:t>
      </w:r>
      <w:r w:rsidR="00AB7854" w:rsidRPr="00294BBF">
        <w:rPr>
          <w:color w:val="000000" w:themeColor="text1"/>
        </w:rPr>
        <w:t>Table 1</w:t>
      </w:r>
      <w:r w:rsidR="00C64BEF" w:rsidRPr="00294BBF">
        <w:rPr>
          <w:color w:val="000000" w:themeColor="text1"/>
        </w:rPr>
        <w:t xml:space="preserve">). The negative predictive value (NPV) is the </w:t>
      </w:r>
      <w:r w:rsidR="0089442A">
        <w:rPr>
          <w:color w:val="000000" w:themeColor="text1"/>
        </w:rPr>
        <w:t>proportion of</w:t>
      </w:r>
      <w:r w:rsidR="0089442A" w:rsidRPr="00294BBF">
        <w:rPr>
          <w:color w:val="000000" w:themeColor="text1"/>
        </w:rPr>
        <w:t xml:space="preserve"> </w:t>
      </w:r>
      <w:r w:rsidR="0089442A">
        <w:rPr>
          <w:color w:val="000000" w:themeColor="text1"/>
        </w:rPr>
        <w:t xml:space="preserve">sites </w:t>
      </w:r>
      <w:r w:rsidR="00C64BEF" w:rsidRPr="00294BBF">
        <w:rPr>
          <w:color w:val="000000" w:themeColor="text1"/>
        </w:rPr>
        <w:t xml:space="preserve">where no larvae are predicted </w:t>
      </w:r>
      <w:r w:rsidR="00FF6983">
        <w:rPr>
          <w:color w:val="000000" w:themeColor="text1"/>
        </w:rPr>
        <w:t>that are</w:t>
      </w:r>
      <w:r w:rsidR="00C64BEF" w:rsidRPr="00294BBF">
        <w:rPr>
          <w:color w:val="000000" w:themeColor="text1"/>
        </w:rPr>
        <w:t xml:space="preserve"> actually an absence:</w:t>
      </w:r>
    </w:p>
    <w:p w14:paraId="3D4CD884" w14:textId="7A27BA65" w:rsidR="003037F7" w:rsidRPr="00294BBF" w:rsidRDefault="00C64BEF" w:rsidP="00C64BEF">
      <w:pPr>
        <w:rPr>
          <w:color w:val="000000" w:themeColor="text1"/>
        </w:rPr>
      </w:pPr>
      <w:r w:rsidRPr="00294BBF">
        <w:rPr>
          <w:color w:val="000000" w:themeColor="text1"/>
        </w:rPr>
        <w:tab/>
      </w:r>
      <w:r w:rsidR="00BD12A0" w:rsidRPr="00294BBF">
        <w:rPr>
          <w:color w:val="000000" w:themeColor="text1"/>
        </w:rPr>
        <w:tab/>
      </w:r>
      <w:r w:rsidR="00BD12A0" w:rsidRPr="00294BBF">
        <w:rPr>
          <w:color w:val="000000" w:themeColor="text1"/>
        </w:rPr>
        <w:tab/>
      </w:r>
      <w:r w:rsidR="00145EA5">
        <w:rPr>
          <w:color w:val="000000" w:themeColor="text1"/>
        </w:rPr>
        <w:tab/>
      </w:r>
      <m:oMath>
        <m:r>
          <m:rPr>
            <m:sty m:val="p"/>
          </m:rPr>
          <w:rPr>
            <w:rFonts w:ascii="Cambria Math" w:hAnsi="Cambria Math" w:cs="Times New Roman"/>
            <w:color w:val="000000" w:themeColor="text1"/>
          </w:rPr>
          <m:t xml:space="preserve">NPV= </m:t>
        </m:r>
        <m:f>
          <m:fPr>
            <m:ctrlPr>
              <w:rPr>
                <w:rFonts w:ascii="Cambria Math" w:hAnsi="Cambria Math" w:cs="Times New Roman"/>
                <w:color w:val="000000" w:themeColor="text1"/>
              </w:rPr>
            </m:ctrlPr>
          </m:fPr>
          <m:num>
            <m:r>
              <w:rPr>
                <w:rFonts w:ascii="Cambria Math" w:hAnsi="Cambria Math" w:cs="Times New Roman"/>
                <w:color w:val="000000" w:themeColor="text1"/>
              </w:rPr>
              <m:t>TN</m:t>
            </m:r>
          </m:num>
          <m:den>
            <m:r>
              <w:rPr>
                <w:rFonts w:ascii="Cambria Math" w:hAnsi="Cambria Math" w:cs="Times New Roman"/>
                <w:color w:val="000000" w:themeColor="text1"/>
              </w:rPr>
              <m:t>FN+TN</m:t>
            </m:r>
          </m:den>
        </m:f>
      </m:oMath>
      <w:r w:rsidRPr="00294BBF">
        <w:rPr>
          <w:color w:val="000000" w:themeColor="text1"/>
        </w:rPr>
        <w:tab/>
      </w:r>
      <w:r w:rsidR="00145EA5">
        <w:rPr>
          <w:color w:val="000000" w:themeColor="text1"/>
        </w:rPr>
        <w:tab/>
      </w:r>
      <w:r w:rsidR="00145EA5">
        <w:rPr>
          <w:color w:val="000000" w:themeColor="text1"/>
        </w:rPr>
        <w:tab/>
      </w:r>
      <w:r w:rsidR="00A04DFB">
        <w:rPr>
          <w:color w:val="000000" w:themeColor="text1"/>
        </w:rPr>
        <w:tab/>
      </w:r>
      <w:r w:rsidR="00BD12A0" w:rsidRPr="00294BBF">
        <w:rPr>
          <w:color w:val="000000" w:themeColor="text1"/>
        </w:rPr>
        <w:tab/>
      </w:r>
      <w:r w:rsidR="00BD12A0" w:rsidRPr="00294BBF">
        <w:rPr>
          <w:color w:val="000000" w:themeColor="text1"/>
        </w:rPr>
        <w:tab/>
        <w:t>(3</w:t>
      </w:r>
      <w:proofErr w:type="gramStart"/>
      <w:r w:rsidR="00BD12A0" w:rsidRPr="00294BBF">
        <w:rPr>
          <w:color w:val="000000" w:themeColor="text1"/>
        </w:rPr>
        <w:t>)</w:t>
      </w:r>
      <w:proofErr w:type="gramEnd"/>
      <w:r w:rsidRPr="00294BBF">
        <w:rPr>
          <w:color w:val="000000" w:themeColor="text1"/>
        </w:rPr>
        <w:br/>
      </w:r>
      <w:r w:rsidR="0046798C">
        <w:rPr>
          <w:color w:val="000000" w:themeColor="text1"/>
        </w:rPr>
        <w:t xml:space="preserve">where TN are the true negatives and FN the false negatives. </w:t>
      </w:r>
      <w:r w:rsidRPr="00294BBF">
        <w:rPr>
          <w:color w:val="000000" w:themeColor="text1"/>
        </w:rPr>
        <w:t xml:space="preserve">The true skill statistic </w:t>
      </w:r>
      <w:r w:rsidRPr="00294BBF">
        <w:rPr>
          <w:color w:val="000000" w:themeColor="text1"/>
        </w:rPr>
        <w:lastRenderedPageBreak/>
        <w:t xml:space="preserve">(TSS) is the average of the net prediction success rate for presences and absences </w:t>
      </w:r>
      <w:r w:rsidRPr="00294BBF">
        <w:rPr>
          <w:color w:val="000000" w:themeColor="text1"/>
        </w:rPr>
        <w:fldChar w:fldCharType="begin" w:fldLock="1"/>
      </w:r>
      <w:r w:rsidR="00E40F45" w:rsidRPr="00294BBF">
        <w:rPr>
          <w:color w:val="000000" w:themeColor="text1"/>
        </w:rPr>
        <w:instrText>ADDIN CSL_CITATION { "citationItems" : [ { "id" : "ITEM-1", "itemData" : { "DOI" : "10.1111/j.1600-0587.2010.06354.x", "ISSN" : "09067590", "author" : [ { "dropping-particle" : "", "family" : "Liu", "given" : "Canran", "non-dropping-particle" : "", "parse-names" : false, "suffix" : "" }, { "dropping-particle" : "", "family" : "White", "given" : "Matt", "non-dropping-particle" : "", "parse-names" : false, "suffix" : "" }, { "dropping-particle" : "", "family" : "Newell", "given" : "Graeme", "non-dropping-particle" : "", "parse-names" : false, "suffix" : "" } ], "container-title" : "Ecography", "id" : "ITEM-1", "issue" : "2", "issued" : { "date-parts" : [ [ "2011", "4" ] ] }, "page" : "232-243", "title" : "Measuring and comparing the accuracy of species distribution models with presence-absence data", "type" : "article-journal", "volume" : "34" }, "uris" : [ "http://www.mendeley.com/documents/?uuid=18aef9e2-84db-479c-9917-99ba4bb73e7b", "http://www.mendeley.com/documents/?uuid=d9ae465f-b28d-4853-b5dc-6efa38fb7989" ] } ], "mendeley" : { "formattedCitation" : "(Liu &lt;i&gt;et al.&lt;/i&gt;, 2011)", "plainTextFormattedCitation" : "(Liu et al., 2011)", "previouslyFormattedCitation" : "(Liu &lt;i&gt;et al.&lt;/i&gt;, 2011)" }, "properties" : { "noteIndex" : 0 }, "schema" : "https://github.com/citation-style-language/schema/raw/master/csl-citation.json" }</w:instrText>
      </w:r>
      <w:r w:rsidRPr="00294BBF">
        <w:rPr>
          <w:color w:val="000000" w:themeColor="text1"/>
        </w:rPr>
        <w:fldChar w:fldCharType="separate"/>
      </w:r>
      <w:r w:rsidR="00E40F45" w:rsidRPr="00294BBF">
        <w:rPr>
          <w:noProof/>
          <w:color w:val="000000" w:themeColor="text1"/>
        </w:rPr>
        <w:t xml:space="preserve">(Liu </w:t>
      </w:r>
      <w:r w:rsidR="006773E4" w:rsidRPr="006773E4">
        <w:rPr>
          <w:i/>
          <w:noProof/>
          <w:color w:val="000000" w:themeColor="text1"/>
        </w:rPr>
        <w:t>et al.</w:t>
      </w:r>
      <w:r w:rsidR="00E40F45" w:rsidRPr="00294BBF">
        <w:rPr>
          <w:noProof/>
          <w:color w:val="000000" w:themeColor="text1"/>
        </w:rPr>
        <w:t>, 2011)</w:t>
      </w:r>
      <w:r w:rsidRPr="00294BBF">
        <w:rPr>
          <w:color w:val="000000" w:themeColor="text1"/>
        </w:rPr>
        <w:fldChar w:fldCharType="end"/>
      </w:r>
      <w:r w:rsidRPr="00294BBF">
        <w:rPr>
          <w:color w:val="000000" w:themeColor="text1"/>
        </w:rPr>
        <w:t xml:space="preserve"> and independent of prevalence </w:t>
      </w:r>
      <w:r w:rsidRPr="00294BBF">
        <w:rPr>
          <w:color w:val="000000" w:themeColor="text1"/>
        </w:rPr>
        <w:fldChar w:fldCharType="begin" w:fldLock="1"/>
      </w:r>
      <w:r w:rsidR="00E40F45" w:rsidRPr="00294BBF">
        <w:rPr>
          <w:color w:val="000000" w:themeColor="text1"/>
        </w:rPr>
        <w:instrText>ADDIN CSL_CITATION { "citationItems" : [ { "id" : "ITEM-1", "itemData" : { "DOI" : "10.1111/j.1365-2664.2006.01214.x", "ISBN" : "0021-8901", "ISSN" : "00218901", "PMID" : "6607", "abstract" : "1. In recent years the use of species distribution models by ecologists and conservation managers has increased considerably, along with an awareness of the need to provide accuracy assessment for predictions of such models. The kappa statistic is the most widely used measure for the performance of models generating presence\u2013absence predictions, but several studies have criticized it for being inherently dependent on prevalence, and argued that this dependency introduces statistical artefacts to estimates of predictive accuracy. This criticism has been supported recently by computer simulations showing that kappa responds to the prevalence of the modelled species in a unimodal fashion. 2. In this paper we provide a theoretical explanation for the observed dependence of kappa on prevalence, and introduce into ecology an alternative measure of accuracy, the true skill statistic (TSS), which corrects for this dependence while still keeping all the advantages of kappa. We also compare the responses of kappa and TSS to prevalence using empirical data, by modelling distribution patterns of 128 species of woody plant in Israel. 3. The theoretical analysis shows that kappa responds in a unimodal fashion to vari- ation in prevalence and that the level of prevalence that maximizes kappa depends on the ratio between sensitivity (the proportion of correctly predicted presences) and specificity (the proportion of correctly predicted absences). In contrast, TSS is inde- pendent of prevalence. 4. When the two measures of accuracy were compared using empirical data, kappa showed a unimodal response to prevalence, in agreement with the theoretical analysis. TSS showed a decreasing linear response to prevalence, a result we interpret as reflecting true ecological phenomena rather than a statistical artefact. This interpretation is supported by the fact that a similar pattern was found for the area under the ROC curve, a measure known to be independent of prevalence. 5. Synthesis and applications . Our results provide theoretical and empirical evidence that kappa, one of the most widely used measures of model performance in ecology, has serious limitations that make it unsuitable for such applications. The alternative we suggest, TSS, compensates for the shortcomings of kappa while keeping all of its advantages. We therefore recommend the TSS as a simple and intuitive measure for the performance of species distribution models when predictions are expressed as presence\u2013 ab\u2026", "author" : [ { "dropping-particle" : "", "family" : "Allouche", "given" : "Omri", "non-dropping-particle" : "", "parse-names" : false, "suffix" : "" }, { "dropping-particle" : "", "family" : "Tsoar", "given" : "Asaf", "non-dropping-particle" : "", "parse-names" : false, "suffix" : "" }, { "dropping-particle" : "", "family" : "Kadmon", "given" : "Ronen", "non-dropping-particle" : "", "parse-names" : false, "suffix" : "" } ], "container-title" : "Journal of Applied Ecology", "id" : "ITEM-1", "issue" : "6", "issued" : { "date-parts" : [ [ "2006" ] ] }, "page" : "1223-1232", "title" : "Assessing the accuracy of species distribution models: Prevalence, kappa and the true skill statistic (TSS)", "type" : "article-journal", "volume" : "43" }, "uris" : [ "http://www.mendeley.com/documents/?uuid=27000d71-3fdd-4b78-97d6-da26c78e7b05", "http://www.mendeley.com/documents/?uuid=c3654655-ae74-43b7-b5cf-cbea17d63429" ] } ], "mendeley" : { "formattedCitation" : "(Allouche &lt;i&gt;et al.&lt;/i&gt;, 2006)", "plainTextFormattedCitation" : "(Allouche et al., 2006)", "previouslyFormattedCitation" : "(Allouche &lt;i&gt;et al.&lt;/i&gt;, 2006)" }, "properties" : { "noteIndex" : 0 }, "schema" : "https://github.com/citation-style-language/schema/raw/master/csl-citation.json" }</w:instrText>
      </w:r>
      <w:r w:rsidRPr="00294BBF">
        <w:rPr>
          <w:color w:val="000000" w:themeColor="text1"/>
        </w:rPr>
        <w:fldChar w:fldCharType="separate"/>
      </w:r>
      <w:r w:rsidR="00E40F45" w:rsidRPr="00294BBF">
        <w:rPr>
          <w:noProof/>
          <w:color w:val="000000" w:themeColor="text1"/>
        </w:rPr>
        <w:t xml:space="preserve">(Allouche </w:t>
      </w:r>
      <w:r w:rsidR="006773E4" w:rsidRPr="006773E4">
        <w:rPr>
          <w:i/>
          <w:noProof/>
          <w:color w:val="000000" w:themeColor="text1"/>
        </w:rPr>
        <w:t>et al.</w:t>
      </w:r>
      <w:r w:rsidR="00E40F45" w:rsidRPr="00294BBF">
        <w:rPr>
          <w:noProof/>
          <w:color w:val="000000" w:themeColor="text1"/>
        </w:rPr>
        <w:t>, 2006)</w:t>
      </w:r>
      <w:r w:rsidRPr="00294BBF">
        <w:rPr>
          <w:color w:val="000000" w:themeColor="text1"/>
        </w:rPr>
        <w:fldChar w:fldCharType="end"/>
      </w:r>
      <w:r w:rsidRPr="00294BBF">
        <w:rPr>
          <w:color w:val="000000" w:themeColor="text1"/>
        </w:rPr>
        <w:t xml:space="preserve"> and calculated by: </w:t>
      </w:r>
      <w:r w:rsidR="00277480" w:rsidRPr="00294BBF">
        <w:rPr>
          <w:color w:val="000000" w:themeColor="text1"/>
        </w:rPr>
        <w:tab/>
      </w:r>
      <w:r w:rsidR="00BD12A0" w:rsidRPr="00294BBF">
        <w:rPr>
          <w:color w:val="000000" w:themeColor="text1"/>
        </w:rPr>
        <w:br/>
      </w:r>
      <w:r w:rsidR="00405537" w:rsidRPr="00294BBF">
        <w:rPr>
          <w:color w:val="000000" w:themeColor="text1"/>
        </w:rPr>
        <w:tab/>
      </w:r>
      <w:r w:rsidR="00405537" w:rsidRPr="00294BBF">
        <w:rPr>
          <w:color w:val="000000" w:themeColor="text1"/>
        </w:rPr>
        <w:tab/>
      </w:r>
      <w:r w:rsidR="00405537" w:rsidRPr="00294BBF">
        <w:rPr>
          <w:color w:val="000000" w:themeColor="text1"/>
        </w:rPr>
        <w:tab/>
      </w:r>
      <w:r w:rsidR="00405537" w:rsidRPr="00294BBF">
        <w:rPr>
          <w:color w:val="000000" w:themeColor="text1"/>
        </w:rPr>
        <w:tab/>
      </w:r>
      <w:r w:rsidRPr="00294BBF">
        <w:rPr>
          <w:color w:val="000000" w:themeColor="text1"/>
        </w:rPr>
        <w:t>TSS= sensitivity + specificity -1,</w:t>
      </w:r>
      <w:r w:rsidRPr="00294BBF">
        <w:rPr>
          <w:color w:val="000000" w:themeColor="text1"/>
        </w:rPr>
        <w:tab/>
      </w:r>
      <w:r w:rsidR="00BD12A0" w:rsidRPr="00294BBF">
        <w:rPr>
          <w:color w:val="000000" w:themeColor="text1"/>
        </w:rPr>
        <w:tab/>
      </w:r>
      <w:r w:rsidR="00BD12A0" w:rsidRPr="00294BBF">
        <w:rPr>
          <w:color w:val="000000" w:themeColor="text1"/>
        </w:rPr>
        <w:tab/>
        <w:t>(4)</w:t>
      </w:r>
      <w:r w:rsidRPr="00294BBF">
        <w:rPr>
          <w:color w:val="000000" w:themeColor="text1"/>
        </w:rPr>
        <w:br/>
        <w:t>where sensitivity is the probability that the model correctl</w:t>
      </w:r>
      <w:r w:rsidR="00BD12A0" w:rsidRPr="00294BBF">
        <w:rPr>
          <w:color w:val="000000" w:themeColor="text1"/>
        </w:rPr>
        <w:t>y predicts a presence at a site</w:t>
      </w:r>
      <w:r w:rsidR="00BD12A0" w:rsidRPr="00294BBF">
        <w:rPr>
          <w:color w:val="000000" w:themeColor="text1"/>
        </w:rPr>
        <w:br/>
      </w:r>
      <w:r w:rsidR="00405537" w:rsidRPr="00294BBF">
        <w:rPr>
          <w:color w:val="000000" w:themeColor="text1"/>
        </w:rPr>
        <w:tab/>
      </w:r>
      <w:r w:rsidR="00405537" w:rsidRPr="00294BBF">
        <w:rPr>
          <w:color w:val="000000" w:themeColor="text1"/>
        </w:rPr>
        <w:tab/>
      </w:r>
      <w:r w:rsidR="00440D39" w:rsidRPr="00294BBF">
        <w:rPr>
          <w:color w:val="000000" w:themeColor="text1"/>
        </w:rPr>
        <w:tab/>
      </w:r>
      <w:r w:rsidR="00405537" w:rsidRPr="00294BBF">
        <w:rPr>
          <w:color w:val="000000" w:themeColor="text1"/>
        </w:rPr>
        <w:tab/>
      </w:r>
      <m:oMath>
        <m:r>
          <m:rPr>
            <m:sty m:val="p"/>
          </m:rPr>
          <w:rPr>
            <w:rFonts w:ascii="Cambria Math" w:hAnsi="Cambria Math" w:cs="Arial"/>
            <w:color w:val="000000" w:themeColor="text1"/>
          </w:rPr>
          <m:t xml:space="preserve">Sensitivity= </m:t>
        </m:r>
        <m:f>
          <m:fPr>
            <m:ctrlPr>
              <w:rPr>
                <w:rFonts w:ascii="Cambria Math" w:hAnsi="Cambria Math" w:cs="Arial"/>
                <w:color w:val="000000" w:themeColor="text1"/>
              </w:rPr>
            </m:ctrlPr>
          </m:fPr>
          <m:num>
            <m:r>
              <w:rPr>
                <w:rFonts w:ascii="Cambria Math" w:hAnsi="Cambria Math" w:cs="Arial"/>
                <w:color w:val="000000" w:themeColor="text1"/>
              </w:rPr>
              <m:t>TP</m:t>
            </m:r>
          </m:num>
          <m:den>
            <m:r>
              <w:rPr>
                <w:rFonts w:ascii="Cambria Math" w:hAnsi="Cambria Math" w:cs="Arial"/>
                <w:color w:val="000000" w:themeColor="text1"/>
              </w:rPr>
              <m:t>TP+FN</m:t>
            </m:r>
          </m:den>
        </m:f>
      </m:oMath>
      <w:r w:rsidRPr="00294BBF">
        <w:rPr>
          <w:color w:val="000000" w:themeColor="text1"/>
        </w:rPr>
        <w:tab/>
      </w:r>
      <w:r w:rsidR="00440D39" w:rsidRPr="00294BBF">
        <w:rPr>
          <w:color w:val="000000" w:themeColor="text1"/>
        </w:rPr>
        <w:tab/>
      </w:r>
      <w:r w:rsidR="00BD12A0" w:rsidRPr="00294BBF">
        <w:rPr>
          <w:color w:val="000000" w:themeColor="text1"/>
        </w:rPr>
        <w:tab/>
      </w:r>
      <w:r w:rsidR="00BD12A0" w:rsidRPr="00294BBF">
        <w:rPr>
          <w:color w:val="000000" w:themeColor="text1"/>
        </w:rPr>
        <w:tab/>
      </w:r>
      <w:r w:rsidR="00440D39" w:rsidRPr="00294BBF">
        <w:rPr>
          <w:color w:val="000000" w:themeColor="text1"/>
        </w:rPr>
        <w:tab/>
      </w:r>
      <w:r w:rsidR="00BD12A0" w:rsidRPr="00294BBF">
        <w:rPr>
          <w:color w:val="000000" w:themeColor="text1"/>
        </w:rPr>
        <w:t>(5)</w:t>
      </w:r>
      <w:r w:rsidRPr="00294BBF">
        <w:rPr>
          <w:color w:val="000000" w:themeColor="text1"/>
        </w:rPr>
        <w:br/>
        <w:t>and specificity is probability that a known absen</w:t>
      </w:r>
      <w:r w:rsidR="00277480" w:rsidRPr="00294BBF">
        <w:rPr>
          <w:color w:val="000000" w:themeColor="text1"/>
        </w:rPr>
        <w:t>ce site is correctly predicted</w:t>
      </w:r>
      <w:r w:rsidR="00BD12A0" w:rsidRPr="00294BBF">
        <w:rPr>
          <w:color w:val="000000" w:themeColor="text1"/>
        </w:rPr>
        <w:br/>
      </w:r>
      <w:r w:rsidR="00405537" w:rsidRPr="00294BBF">
        <w:rPr>
          <w:color w:val="000000" w:themeColor="text1"/>
        </w:rPr>
        <w:tab/>
      </w:r>
      <w:r w:rsidR="00405537" w:rsidRPr="00294BBF">
        <w:rPr>
          <w:color w:val="000000" w:themeColor="text1"/>
        </w:rPr>
        <w:tab/>
      </w:r>
      <w:r w:rsidR="00405537" w:rsidRPr="00294BBF">
        <w:rPr>
          <w:color w:val="000000" w:themeColor="text1"/>
        </w:rPr>
        <w:tab/>
      </w:r>
      <w:r w:rsidR="00405537" w:rsidRPr="00294BBF">
        <w:rPr>
          <w:color w:val="000000" w:themeColor="text1"/>
        </w:rPr>
        <w:tab/>
      </w:r>
      <m:oMath>
        <m:r>
          <m:rPr>
            <m:sty m:val="p"/>
          </m:rPr>
          <w:rPr>
            <w:rFonts w:ascii="Cambria Math" w:hAnsi="Cambria Math" w:cs="Times New Roman"/>
            <w:color w:val="000000" w:themeColor="text1"/>
          </w:rPr>
          <m:t>S</m:t>
        </m:r>
        <m:r>
          <m:rPr>
            <m:sty m:val="p"/>
          </m:rPr>
          <w:rPr>
            <w:rFonts w:ascii="Cambria Math" w:hAnsi="Cambria Math"/>
            <w:color w:val="000000" w:themeColor="text1"/>
          </w:rPr>
          <m:t>pecificity</m:t>
        </m:r>
        <m:r>
          <m:rPr>
            <m:sty m:val="p"/>
          </m:rPr>
          <w:rPr>
            <w:rFonts w:ascii="Cambria Math" w:hAnsi="Cambria Math" w:cs="Times New Roman"/>
            <w:color w:val="000000" w:themeColor="text1"/>
          </w:rPr>
          <m:t xml:space="preserve">= </m:t>
        </m:r>
        <m:f>
          <m:fPr>
            <m:ctrlPr>
              <w:rPr>
                <w:rFonts w:ascii="Cambria Math" w:hAnsi="Cambria Math" w:cs="Times New Roman"/>
                <w:color w:val="000000" w:themeColor="text1"/>
              </w:rPr>
            </m:ctrlPr>
          </m:fPr>
          <m:num>
            <m:r>
              <w:rPr>
                <w:rFonts w:ascii="Cambria Math" w:hAnsi="Cambria Math" w:cs="Times New Roman"/>
                <w:color w:val="000000" w:themeColor="text1"/>
              </w:rPr>
              <m:t>TN</m:t>
            </m:r>
          </m:num>
          <m:den>
            <m:r>
              <w:rPr>
                <w:rFonts w:ascii="Cambria Math" w:hAnsi="Cambria Math" w:cs="Times New Roman"/>
                <w:color w:val="000000" w:themeColor="text1"/>
              </w:rPr>
              <m:t>TN+FP</m:t>
            </m:r>
          </m:den>
        </m:f>
      </m:oMath>
      <w:r w:rsidRPr="00294BBF">
        <w:rPr>
          <w:color w:val="000000" w:themeColor="text1"/>
        </w:rPr>
        <w:tab/>
      </w:r>
      <w:r w:rsidRPr="00294BBF">
        <w:rPr>
          <w:color w:val="000000" w:themeColor="text1"/>
        </w:rPr>
        <w:tab/>
      </w:r>
      <w:r w:rsidR="00BD12A0" w:rsidRPr="00294BBF">
        <w:rPr>
          <w:color w:val="000000" w:themeColor="text1"/>
        </w:rPr>
        <w:tab/>
      </w:r>
      <w:r w:rsidR="00BD12A0" w:rsidRPr="00294BBF">
        <w:rPr>
          <w:color w:val="000000" w:themeColor="text1"/>
        </w:rPr>
        <w:tab/>
      </w:r>
      <w:r w:rsidR="00BD12A0" w:rsidRPr="00294BBF">
        <w:rPr>
          <w:color w:val="000000" w:themeColor="text1"/>
        </w:rPr>
        <w:tab/>
        <w:t>(6)</w:t>
      </w:r>
      <w:r w:rsidRPr="00294BBF">
        <w:rPr>
          <w:color w:val="000000" w:themeColor="text1"/>
        </w:rPr>
        <w:br/>
        <w:t>Accordingly, when the TSS is 1 it indicates that the model accuracy is perfect, while a TSS of zero is associated with a purely random model.</w:t>
      </w:r>
      <w:r w:rsidR="00DB2712" w:rsidRPr="00294BBF">
        <w:rPr>
          <w:color w:val="000000" w:themeColor="text1"/>
        </w:rPr>
        <w:t xml:space="preserve"> </w:t>
      </w:r>
      <w:r w:rsidR="00836600" w:rsidRPr="00294BBF">
        <w:rPr>
          <w:color w:val="000000" w:themeColor="text1"/>
        </w:rPr>
        <w:t>T</w:t>
      </w:r>
      <w:r w:rsidR="00954316" w:rsidRPr="00294BBF">
        <w:rPr>
          <w:color w:val="000000" w:themeColor="text1"/>
        </w:rPr>
        <w:t xml:space="preserve">he best performing models within the set </w:t>
      </w:r>
      <w:r w:rsidR="00836600" w:rsidRPr="00294BBF">
        <w:rPr>
          <w:color w:val="000000" w:themeColor="text1"/>
        </w:rPr>
        <w:t>were also</w:t>
      </w:r>
      <w:r w:rsidR="00954316" w:rsidRPr="00294BBF">
        <w:rPr>
          <w:color w:val="000000" w:themeColor="text1"/>
        </w:rPr>
        <w:t xml:space="preserve"> validated using standard model diagnostic tools</w:t>
      </w:r>
      <w:r w:rsidR="00E32526">
        <w:rPr>
          <w:color w:val="000000" w:themeColor="text1"/>
        </w:rPr>
        <w:t xml:space="preserve"> appropriate to generalised additive models e.g. </w:t>
      </w:r>
      <w:r w:rsidR="00954316" w:rsidRPr="00294BBF">
        <w:rPr>
          <w:color w:val="000000" w:themeColor="text1"/>
        </w:rPr>
        <w:t xml:space="preserve">the use of simulation-based quantile-quantile plots </w:t>
      </w:r>
      <w:r w:rsidR="00954316" w:rsidRPr="00294BBF">
        <w:rPr>
          <w:color w:val="000000" w:themeColor="text1"/>
        </w:rPr>
        <w:fldChar w:fldCharType="begin" w:fldLock="1"/>
      </w:r>
      <w:r w:rsidR="00E40F45" w:rsidRPr="00294BBF">
        <w:rPr>
          <w:color w:val="000000" w:themeColor="text1"/>
        </w:rPr>
        <w:instrText>ADDIN CSL_CITATION { "citationItems" : [ { "id" : "ITEM-1", "itemData" : { "DOI" : "10.1016/j.csda.2012.01.026", "ISSN" : "01679473", "abstract" : "The distributional assumption for a generalized linear model is often checked by plotting the ordered deviance residuals against the quantiles of a standard normal distribution. Such plots can be difficult to interpret, because even when the model is correct, the plot often deviates substantially from a straight line. To rectify this problem Ben and Yohai (2004) proposed plotting the deviance residuals against their theoretical quantiles, under the assumption that the model is correct. Such plots are closer to a straight line, when the model is correct, making them much more useful for model checking. However the quantile computation proposed in Ben and Yohai is, in general, relatively complicated to implement and computationally expensive, so that general purpose software for these plots is only available for the Poisson and binary cases in the R package robust. As an alternative the theoretical quantiles can efficiently and simply be estimated by repeatedly simulating new response data from the fitted model and computing the corresponding residuals. This method also provides reference bands for judging the significance of departures of QQ-plots from ideal straight line form. A second alternative is to estimate the quantiles using quantiles of the response variable distribution according to the estimated model. This latter alternative generally has lower computational cost than the first, but does not yield QQ-plot reference bands. In simulations the quantiles produced by the new methods give results indistinguishable from the original Ben and Yohai quantile computations, but the scaling of computational cost with sample size is much improved so that a 500 fold reduction in computation time was observed at sample size 50,000. Application of the methods to generalized linear models fitted to prostate cancer incidence data suggest that they are particularly useful in large dataset cases that might otherwise be incorrectly viewed as zero-inflated. The new approaches are simple enough to implement for any exponential family distribution and for several alternative types of residual, and this has been done for all the families available for use with generalized linear models in the basic distribution of R. ?? 2012 Elsevier B.V. All rights reserved.", "author" : [ { "dropping-particle" : "", "family" : "Augustin", "given" : "Nicole H.", "non-dropping-particle" : "", "parse-names" : false, "suffix" : "" }, { "dropping-particle" : "", "family" : "Sauleau", "given" : "Erik Andr\u00e9", "non-dropping-particle" : "", "parse-names" : false, "suffix" : "" }, { "dropping-particle" : "", "family" : "Wood", "given" : "Simon N.", "non-dropping-particle" : "", "parse-names" : false, "suffix" : "" } ], "container-title" : "Computational Statistics and Data Analysis", "id" : "ITEM-1", "issue" : "8", "issued" : { "date-parts" : [ [ "2012" ] ] }, "page" : "2404-2409", "publisher" : "Elsevier B.V.", "title" : "On quantile quantile plots for generalized linear models", "type" : "article-journal", "volume" : "56" }, "uris" : [ "http://www.mendeley.com/documents/?uuid=176ebb15-b939-4b0b-96cf-1c9a3d2c1aa5", "http://www.mendeley.com/documents/?uuid=ed05b61f-f4ec-4a18-a14f-56990146dbfb" ] } ], "mendeley" : { "formattedCitation" : "(Augustin &lt;i&gt;et al.&lt;/i&gt;, 2012)", "plainTextFormattedCitation" : "(Augustin et al., 2012)", "previouslyFormattedCitation" : "(Augustin &lt;i&gt;et al.&lt;/i&gt;, 2012)" }, "properties" : { "noteIndex" : 0 }, "schema" : "https://github.com/citation-style-language/schema/raw/master/csl-citation.json" }</w:instrText>
      </w:r>
      <w:r w:rsidR="00954316" w:rsidRPr="00294BBF">
        <w:rPr>
          <w:color w:val="000000" w:themeColor="text1"/>
        </w:rPr>
        <w:fldChar w:fldCharType="separate"/>
      </w:r>
      <w:r w:rsidR="00E40F45" w:rsidRPr="00294BBF">
        <w:rPr>
          <w:noProof/>
          <w:color w:val="000000" w:themeColor="text1"/>
        </w:rPr>
        <w:t xml:space="preserve">(Augustin </w:t>
      </w:r>
      <w:r w:rsidR="006773E4" w:rsidRPr="006773E4">
        <w:rPr>
          <w:i/>
          <w:noProof/>
          <w:color w:val="000000" w:themeColor="text1"/>
        </w:rPr>
        <w:t>et al.</w:t>
      </w:r>
      <w:r w:rsidR="00E40F45" w:rsidRPr="00294BBF">
        <w:rPr>
          <w:noProof/>
          <w:color w:val="000000" w:themeColor="text1"/>
        </w:rPr>
        <w:t>, 2012)</w:t>
      </w:r>
      <w:r w:rsidR="00954316" w:rsidRPr="00294BBF">
        <w:rPr>
          <w:color w:val="000000" w:themeColor="text1"/>
        </w:rPr>
        <w:fldChar w:fldCharType="end"/>
      </w:r>
      <w:r w:rsidR="00954316" w:rsidRPr="00294BBF">
        <w:rPr>
          <w:color w:val="000000" w:themeColor="text1"/>
        </w:rPr>
        <w:t>.</w:t>
      </w:r>
      <w:r w:rsidR="00DB2712" w:rsidRPr="00294BBF">
        <w:rPr>
          <w:color w:val="000000" w:themeColor="text1"/>
        </w:rPr>
        <w:tab/>
      </w:r>
      <w:r w:rsidR="00DB2712" w:rsidRPr="00294BBF">
        <w:rPr>
          <w:color w:val="000000" w:themeColor="text1"/>
        </w:rPr>
        <w:br/>
      </w:r>
      <w:r w:rsidR="00F42E93" w:rsidRPr="00294BBF">
        <w:rPr>
          <w:color w:val="000000" w:themeColor="text1"/>
        </w:rPr>
        <w:t>The relative importance of each</w:t>
      </w:r>
      <w:r w:rsidR="00716C92" w:rsidRPr="00294BBF">
        <w:rPr>
          <w:color w:val="000000" w:themeColor="text1"/>
        </w:rPr>
        <w:t xml:space="preserve"> variable</w:t>
      </w:r>
      <w:r w:rsidR="00F42E93" w:rsidRPr="00294BBF">
        <w:rPr>
          <w:color w:val="000000" w:themeColor="text1"/>
        </w:rPr>
        <w:t xml:space="preserve"> was evaluated using </w:t>
      </w:r>
      <w:r w:rsidRPr="00294BBF">
        <w:rPr>
          <w:color w:val="000000" w:themeColor="text1"/>
        </w:rPr>
        <w:t xml:space="preserve">permutation importance. </w:t>
      </w:r>
      <w:r w:rsidR="00E85970" w:rsidRPr="00294BBF">
        <w:rPr>
          <w:color w:val="000000" w:themeColor="text1"/>
        </w:rPr>
        <w:t>D</w:t>
      </w:r>
      <w:r w:rsidRPr="00294BBF">
        <w:rPr>
          <w:color w:val="000000" w:themeColor="text1"/>
        </w:rPr>
        <w:t xml:space="preserve">ata for each </w:t>
      </w:r>
      <w:r w:rsidR="0020332F" w:rsidRPr="00294BBF">
        <w:rPr>
          <w:color w:val="000000" w:themeColor="text1"/>
        </w:rPr>
        <w:t xml:space="preserve">explanatory </w:t>
      </w:r>
      <w:r w:rsidRPr="00294BBF">
        <w:rPr>
          <w:color w:val="000000" w:themeColor="text1"/>
        </w:rPr>
        <w:t xml:space="preserve">variable was randomly reassigned to a different CPR observation </w:t>
      </w:r>
      <w:r w:rsidR="003C7E34">
        <w:rPr>
          <w:color w:val="000000" w:themeColor="text1"/>
        </w:rPr>
        <w:t>from</w:t>
      </w:r>
      <w:r w:rsidR="003C7E34" w:rsidRPr="00294BBF">
        <w:rPr>
          <w:color w:val="000000" w:themeColor="text1"/>
        </w:rPr>
        <w:t xml:space="preserve"> </w:t>
      </w:r>
      <w:r w:rsidRPr="00294BBF">
        <w:rPr>
          <w:color w:val="000000" w:themeColor="text1"/>
        </w:rPr>
        <w:t>that which it was originally associated with: in this way, any potent</w:t>
      </w:r>
      <w:r w:rsidR="00C206EE" w:rsidRPr="00294BBF">
        <w:rPr>
          <w:color w:val="000000" w:themeColor="text1"/>
        </w:rPr>
        <w:t>ial relationship between larval-</w:t>
      </w:r>
      <w:r w:rsidRPr="00294BBF">
        <w:rPr>
          <w:color w:val="000000" w:themeColor="text1"/>
        </w:rPr>
        <w:t>presence/absence and the environmental variable is broken</w:t>
      </w:r>
      <w:r w:rsidR="005A76BE" w:rsidRPr="00294BBF">
        <w:rPr>
          <w:color w:val="000000" w:themeColor="text1"/>
        </w:rPr>
        <w:t>, while the statistical properties of the data remain unchanged</w:t>
      </w:r>
      <w:r w:rsidRPr="00294BBF">
        <w:rPr>
          <w:color w:val="000000" w:themeColor="text1"/>
        </w:rPr>
        <w:t xml:space="preserve">. The model was then refitted and the predictive performance in terms of TSS and PPV calculated, as described before. The process was repeated for each variable and the difference between the original model and the TSS and PPV for each of the randomised models was calculated. A strong </w:t>
      </w:r>
      <w:r w:rsidR="002F2187" w:rsidRPr="00294BBF">
        <w:rPr>
          <w:color w:val="000000" w:themeColor="text1"/>
        </w:rPr>
        <w:t xml:space="preserve">reduction </w:t>
      </w:r>
      <w:r w:rsidRPr="00294BBF">
        <w:rPr>
          <w:color w:val="000000" w:themeColor="text1"/>
        </w:rPr>
        <w:t xml:space="preserve">in the performance metrics indicates a greater sensitivity of the model to the variable that has been randomized. </w:t>
      </w:r>
    </w:p>
    <w:p w14:paraId="2355B8A5" w14:textId="6126A2D6" w:rsidR="00BC0DAF" w:rsidRPr="00294BBF" w:rsidRDefault="006B206B" w:rsidP="00161B41">
      <w:pPr>
        <w:rPr>
          <w:color w:val="000000" w:themeColor="text1"/>
        </w:rPr>
      </w:pPr>
      <w:r w:rsidRPr="00294BBF">
        <w:rPr>
          <w:rStyle w:val="Overskrift4Tegn"/>
          <w:color w:val="000000" w:themeColor="text1"/>
        </w:rPr>
        <w:lastRenderedPageBreak/>
        <w:t>Model v</w:t>
      </w:r>
      <w:r w:rsidR="00BC0DAF" w:rsidRPr="00294BBF">
        <w:rPr>
          <w:rStyle w:val="Overskrift4Tegn"/>
          <w:color w:val="000000" w:themeColor="text1"/>
        </w:rPr>
        <w:t xml:space="preserve">isualisation </w:t>
      </w:r>
      <w:r w:rsidR="00161B41" w:rsidRPr="00294BBF">
        <w:rPr>
          <w:rStyle w:val="Overskrift4Tegn"/>
          <w:color w:val="000000" w:themeColor="text1"/>
        </w:rPr>
        <w:tab/>
      </w:r>
      <w:r w:rsidR="00161B41" w:rsidRPr="00294BBF">
        <w:rPr>
          <w:b/>
          <w:color w:val="000000" w:themeColor="text1"/>
        </w:rPr>
        <w:br/>
      </w:r>
      <w:proofErr w:type="gramStart"/>
      <w:r w:rsidR="00A33591">
        <w:rPr>
          <w:color w:val="000000" w:themeColor="text1"/>
        </w:rPr>
        <w:t>Estimated</w:t>
      </w:r>
      <w:proofErr w:type="gramEnd"/>
      <w:r w:rsidR="00A33591">
        <w:rPr>
          <w:color w:val="000000" w:themeColor="text1"/>
        </w:rPr>
        <w:t xml:space="preserve"> larval </w:t>
      </w:r>
      <w:r w:rsidR="00805AFA">
        <w:rPr>
          <w:color w:val="000000" w:themeColor="text1"/>
        </w:rPr>
        <w:t xml:space="preserve">distributions were </w:t>
      </w:r>
      <w:r w:rsidR="0072191D" w:rsidRPr="00294BBF">
        <w:rPr>
          <w:color w:val="000000" w:themeColor="text1"/>
        </w:rPr>
        <w:t xml:space="preserve">visualised </w:t>
      </w:r>
      <w:r w:rsidR="00805AFA" w:rsidRPr="00294BBF">
        <w:rPr>
          <w:color w:val="000000" w:themeColor="text1"/>
        </w:rPr>
        <w:t xml:space="preserve">by </w:t>
      </w:r>
      <w:r w:rsidR="00DA2A7C">
        <w:rPr>
          <w:color w:val="000000" w:themeColor="text1"/>
        </w:rPr>
        <w:t>applying</w:t>
      </w:r>
      <w:r w:rsidR="00805AFA" w:rsidRPr="00294BBF">
        <w:rPr>
          <w:color w:val="000000" w:themeColor="text1"/>
        </w:rPr>
        <w:t xml:space="preserve"> </w:t>
      </w:r>
      <w:r w:rsidR="00805AFA">
        <w:rPr>
          <w:color w:val="000000" w:themeColor="text1"/>
        </w:rPr>
        <w:t xml:space="preserve">models based on the full CPR data set </w:t>
      </w:r>
      <w:r w:rsidR="00DA2A7C">
        <w:rPr>
          <w:color w:val="000000" w:themeColor="text1"/>
        </w:rPr>
        <w:t xml:space="preserve">(i.e. not based on the cross-validation data sets) </w:t>
      </w:r>
      <w:r w:rsidR="00AD686E">
        <w:rPr>
          <w:color w:val="000000" w:themeColor="text1"/>
        </w:rPr>
        <w:t>on</w:t>
      </w:r>
      <w:r w:rsidR="00805AFA" w:rsidRPr="00294BBF">
        <w:rPr>
          <w:color w:val="000000" w:themeColor="text1"/>
        </w:rPr>
        <w:t xml:space="preserve"> a regular grid</w:t>
      </w:r>
      <w:r w:rsidR="00DA2A7C">
        <w:rPr>
          <w:color w:val="000000" w:themeColor="text1"/>
        </w:rPr>
        <w:t xml:space="preserve"> in space and time</w:t>
      </w:r>
      <w:r w:rsidR="00805AFA">
        <w:rPr>
          <w:color w:val="000000" w:themeColor="text1"/>
        </w:rPr>
        <w:t xml:space="preserve">. </w:t>
      </w:r>
      <w:r w:rsidR="0072191D" w:rsidRPr="00294BBF">
        <w:rPr>
          <w:color w:val="000000" w:themeColor="text1"/>
        </w:rPr>
        <w:t xml:space="preserve">The data used for model predictions was extracted by means of bilinear interpolation onto a regularly spaced grid of 0.25 x 0.25 degree resolution within the study region (Fig. 2a). </w:t>
      </w:r>
      <w:r w:rsidR="00097BFA">
        <w:rPr>
          <w:color w:val="000000" w:themeColor="text1"/>
        </w:rPr>
        <w:t>For spatial maps, and d</w:t>
      </w:r>
      <w:r w:rsidR="00BC0DAF" w:rsidRPr="00294BBF">
        <w:rPr>
          <w:color w:val="000000" w:themeColor="text1"/>
        </w:rPr>
        <w:t>ue to the monthly resolution of the EN4 data, the 15</w:t>
      </w:r>
      <w:r w:rsidR="00BC0DAF" w:rsidRPr="00294BBF">
        <w:rPr>
          <w:color w:val="000000" w:themeColor="text1"/>
          <w:vertAlign w:val="superscript"/>
        </w:rPr>
        <w:t>th</w:t>
      </w:r>
      <w:r w:rsidR="00BC0DAF" w:rsidRPr="00294BBF">
        <w:rPr>
          <w:color w:val="000000" w:themeColor="text1"/>
        </w:rPr>
        <w:t xml:space="preserve"> of each month was used as the day-of-year (DOY), while solar elevation</w:t>
      </w:r>
      <w:r w:rsidR="00716C92" w:rsidRPr="00294BBF">
        <w:rPr>
          <w:color w:val="000000" w:themeColor="text1"/>
        </w:rPr>
        <w:t xml:space="preserve"> angle</w:t>
      </w:r>
      <w:r w:rsidR="00BC0DAF" w:rsidRPr="00294BBF">
        <w:rPr>
          <w:color w:val="000000" w:themeColor="text1"/>
        </w:rPr>
        <w:t xml:space="preserve"> (</w:t>
      </w:r>
      <w:r w:rsidR="00BC0DAF" w:rsidRPr="00294BBF">
        <w:rPr>
          <w:rFonts w:ascii="Symbol" w:hAnsi="Symbol"/>
          <w:i/>
          <w:color w:val="000000" w:themeColor="text1"/>
        </w:rPr>
        <w:t></w:t>
      </w:r>
      <w:r w:rsidR="00BC0DAF" w:rsidRPr="00294BBF">
        <w:rPr>
          <w:color w:val="000000" w:themeColor="text1"/>
        </w:rPr>
        <w:t>) was fixed to 0°, representing the time of sunrise or sunset. To show the progression of spawning over time with respect to latitude, predictions were made for each DOY from February to June. Afterwards, the predicted larval-observation probabilities were averaged over longitude for each DOY.</w:t>
      </w:r>
    </w:p>
    <w:p w14:paraId="769185D4" w14:textId="77777777" w:rsidR="00C52643" w:rsidRDefault="00C27032" w:rsidP="00C27032">
      <w:pPr>
        <w:rPr>
          <w:color w:val="000000" w:themeColor="text1"/>
        </w:rPr>
      </w:pPr>
      <w:r w:rsidRPr="00294BBF">
        <w:rPr>
          <w:rStyle w:val="Overskrift4Tegn"/>
          <w:color w:val="000000" w:themeColor="text1"/>
        </w:rPr>
        <w:t>Compar</w:t>
      </w:r>
      <w:r w:rsidR="00161B41" w:rsidRPr="00294BBF">
        <w:rPr>
          <w:rStyle w:val="Overskrift4Tegn"/>
          <w:color w:val="000000" w:themeColor="text1"/>
        </w:rPr>
        <w:t>ison to fisheries &amp; survey data</w:t>
      </w:r>
      <w:r w:rsidR="00161B41" w:rsidRPr="00294BBF">
        <w:rPr>
          <w:rStyle w:val="Overskrift4Tegn"/>
          <w:color w:val="000000" w:themeColor="text1"/>
        </w:rPr>
        <w:tab/>
      </w:r>
      <w:r w:rsidR="00161B41" w:rsidRPr="00294BBF">
        <w:rPr>
          <w:b/>
          <w:color w:val="000000" w:themeColor="text1"/>
        </w:rPr>
        <w:br/>
      </w:r>
      <w:r w:rsidR="00A35B4F" w:rsidRPr="00294BBF">
        <w:rPr>
          <w:color w:val="000000" w:themeColor="text1"/>
        </w:rPr>
        <w:t>The SDM</w:t>
      </w:r>
      <w:r w:rsidR="00734B8D" w:rsidRPr="00294BBF">
        <w:rPr>
          <w:color w:val="000000" w:themeColor="text1"/>
        </w:rPr>
        <w:t xml:space="preserve"> results were also validated by comparison with </w:t>
      </w:r>
      <w:r w:rsidR="0043413A" w:rsidRPr="00294BBF">
        <w:rPr>
          <w:color w:val="000000" w:themeColor="text1"/>
        </w:rPr>
        <w:t>entirely</w:t>
      </w:r>
      <w:r w:rsidR="00734B8D" w:rsidRPr="00294BBF">
        <w:rPr>
          <w:color w:val="000000" w:themeColor="text1"/>
        </w:rPr>
        <w:t xml:space="preserve"> independent data sources from fisheries and scientific surveys.</w:t>
      </w:r>
      <w:r w:rsidR="00160D71" w:rsidRPr="00294BBF">
        <w:rPr>
          <w:color w:val="000000" w:themeColor="text1"/>
        </w:rPr>
        <w:t xml:space="preserve"> This comparison took place </w:t>
      </w:r>
      <w:r w:rsidR="004754AB" w:rsidRPr="00294BBF">
        <w:rPr>
          <w:color w:val="000000" w:themeColor="text1"/>
        </w:rPr>
        <w:t xml:space="preserve">by </w:t>
      </w:r>
      <w:r w:rsidR="00160D71" w:rsidRPr="00294BBF">
        <w:rPr>
          <w:color w:val="000000" w:themeColor="text1"/>
        </w:rPr>
        <w:t xml:space="preserve">comparing the relative distributions of </w:t>
      </w:r>
      <w:r w:rsidR="004754AB" w:rsidRPr="00294BBF">
        <w:rPr>
          <w:color w:val="000000" w:themeColor="text1"/>
        </w:rPr>
        <w:t xml:space="preserve">each of these </w:t>
      </w:r>
      <w:r w:rsidR="00160D71" w:rsidRPr="00294BBF">
        <w:rPr>
          <w:color w:val="000000" w:themeColor="text1"/>
        </w:rPr>
        <w:t xml:space="preserve">data </w:t>
      </w:r>
      <w:r w:rsidR="004754AB" w:rsidRPr="00294BBF">
        <w:rPr>
          <w:color w:val="000000" w:themeColor="text1"/>
        </w:rPr>
        <w:t xml:space="preserve">sources </w:t>
      </w:r>
      <w:r w:rsidR="00160D71" w:rsidRPr="00294BBF">
        <w:rPr>
          <w:color w:val="000000" w:themeColor="text1"/>
        </w:rPr>
        <w:t xml:space="preserve">with respect to </w:t>
      </w:r>
      <w:r w:rsidR="004754AB" w:rsidRPr="00294BBF">
        <w:rPr>
          <w:color w:val="000000" w:themeColor="text1"/>
        </w:rPr>
        <w:t xml:space="preserve">the key </w:t>
      </w:r>
      <w:r w:rsidR="00160D71" w:rsidRPr="00294BBF">
        <w:rPr>
          <w:color w:val="000000" w:themeColor="text1"/>
        </w:rPr>
        <w:t>environmental variables</w:t>
      </w:r>
      <w:r w:rsidR="004754AB" w:rsidRPr="00294BBF">
        <w:rPr>
          <w:color w:val="000000" w:themeColor="text1"/>
        </w:rPr>
        <w:t xml:space="preserve"> identified by the </w:t>
      </w:r>
      <w:r w:rsidR="00A35B4F" w:rsidRPr="00294BBF">
        <w:rPr>
          <w:color w:val="000000" w:themeColor="text1"/>
        </w:rPr>
        <w:t>SDMs</w:t>
      </w:r>
      <w:r w:rsidR="004754AB" w:rsidRPr="00294BBF">
        <w:rPr>
          <w:color w:val="000000" w:themeColor="text1"/>
        </w:rPr>
        <w:t xml:space="preserve"> to check for agreement between data sets: observations from fisheries and scientific surveys were matched-up with the corresponding environmental data derived from the EN4 data. Comparisons of spatial distribution were also made between outputs from the best </w:t>
      </w:r>
      <w:r w:rsidR="00A35B4F" w:rsidRPr="00294BBF">
        <w:rPr>
          <w:color w:val="000000" w:themeColor="text1"/>
        </w:rPr>
        <w:t>SDM</w:t>
      </w:r>
      <w:r w:rsidR="004754AB" w:rsidRPr="00294BBF">
        <w:rPr>
          <w:color w:val="000000" w:themeColor="text1"/>
        </w:rPr>
        <w:t xml:space="preserve"> and the individual data sources.</w:t>
      </w:r>
    </w:p>
    <w:p w14:paraId="0D6983FB" w14:textId="3989FF5C" w:rsidR="00C11987" w:rsidRDefault="00504374" w:rsidP="00C27032">
      <w:pPr>
        <w:rPr>
          <w:bCs/>
          <w:color w:val="000000" w:themeColor="text1"/>
        </w:rPr>
      </w:pPr>
      <w:r w:rsidRPr="00294BBF">
        <w:rPr>
          <w:color w:val="000000" w:themeColor="text1"/>
        </w:rPr>
        <w:t>Spatially and temporally resolved catch statistics</w:t>
      </w:r>
      <w:r w:rsidR="00C27032" w:rsidRPr="00294BBF">
        <w:rPr>
          <w:color w:val="000000" w:themeColor="text1"/>
        </w:rPr>
        <w:t xml:space="preserve"> of adult blue whiting fished </w:t>
      </w:r>
      <w:r w:rsidRPr="00294BBF">
        <w:rPr>
          <w:color w:val="000000" w:themeColor="text1"/>
        </w:rPr>
        <w:t xml:space="preserve">between </w:t>
      </w:r>
      <w:r w:rsidR="0043413A" w:rsidRPr="00294BBF">
        <w:rPr>
          <w:color w:val="000000" w:themeColor="text1"/>
        </w:rPr>
        <w:t xml:space="preserve">1977 - </w:t>
      </w:r>
      <w:r w:rsidR="00C27032" w:rsidRPr="00294BBF">
        <w:rPr>
          <w:color w:val="000000" w:themeColor="text1"/>
        </w:rPr>
        <w:t xml:space="preserve">2012 </w:t>
      </w:r>
      <w:r w:rsidRPr="00294BBF">
        <w:rPr>
          <w:color w:val="000000" w:themeColor="text1"/>
        </w:rPr>
        <w:t xml:space="preserve">have been prepared by </w:t>
      </w:r>
      <w:r w:rsidR="00C27032" w:rsidRPr="00294BBF">
        <w:rPr>
          <w:color w:val="000000" w:themeColor="text1"/>
        </w:rPr>
        <w:t xml:space="preserve">the </w:t>
      </w:r>
      <w:r w:rsidR="00C27032" w:rsidRPr="00294BBF">
        <w:rPr>
          <w:bCs/>
          <w:color w:val="000000" w:themeColor="text1"/>
        </w:rPr>
        <w:t xml:space="preserve">North East Atlantic Fisheries Commission </w:t>
      </w:r>
      <w:r w:rsidR="008B3C01" w:rsidRPr="00294BBF">
        <w:rPr>
          <w:color w:val="000000" w:themeColor="text1"/>
        </w:rPr>
        <w:fldChar w:fldCharType="begin" w:fldLock="1"/>
      </w:r>
      <w:r w:rsidR="009D52C8" w:rsidRPr="00294BBF">
        <w:rPr>
          <w:color w:val="000000" w:themeColor="text1"/>
        </w:rPr>
        <w:instrText>ADDIN CSL_CITATION { "citationItems" : [ { "id" : "ITEM-1", "itemData" : { "author" : [ { "dropping-particle" : "", "family" : "NEAFC", "given" : "", "non-dropping-particle" : "", "parse-names" : false, "suffix" : "" } ], "id" : "ITEM-1", "issued" : { "date-parts" : [ [ "2013" ] ] }, "number-of-pages" : "155", "title" : "Report from the NEAFC Working Group on Collating Information on the Distribution of All Life Stages of Blue Whiting in the North-East Atlantic and the Distribution of Catches from the Stock, London, 26 \u2013 28 November 2013", "type" : "report" }, "uris" : [ "http://www.mendeley.com/documents/?uuid=af3bb697-27d6-451a-ad60-4f86fb301344" ] } ], "mendeley" : { "formattedCitation" : "(NEAFC, 2013)", "plainTextFormattedCitation" : "(NEAFC, 2013)", "previouslyFormattedCitation" : "(NEAFC, 2013)" }, "properties" : { "noteIndex" : 0 }, "schema" : "https://github.com/citation-style-language/schema/raw/master/csl-citation.json" }</w:instrText>
      </w:r>
      <w:r w:rsidR="008B3C01" w:rsidRPr="00294BBF">
        <w:rPr>
          <w:color w:val="000000" w:themeColor="text1"/>
        </w:rPr>
        <w:fldChar w:fldCharType="separate"/>
      </w:r>
      <w:r w:rsidR="008B3C01" w:rsidRPr="00294BBF">
        <w:rPr>
          <w:noProof/>
          <w:color w:val="000000" w:themeColor="text1"/>
        </w:rPr>
        <w:t>(NEAFC, 2013)</w:t>
      </w:r>
      <w:r w:rsidR="008B3C01" w:rsidRPr="00294BBF">
        <w:rPr>
          <w:color w:val="000000" w:themeColor="text1"/>
        </w:rPr>
        <w:fldChar w:fldCharType="end"/>
      </w:r>
      <w:r w:rsidRPr="00294BBF">
        <w:rPr>
          <w:bCs/>
          <w:color w:val="000000" w:themeColor="text1"/>
        </w:rPr>
        <w:t>.</w:t>
      </w:r>
      <w:r w:rsidR="00C27032" w:rsidRPr="00294BBF">
        <w:rPr>
          <w:bCs/>
          <w:color w:val="000000" w:themeColor="text1"/>
        </w:rPr>
        <w:t xml:space="preserve"> </w:t>
      </w:r>
      <w:r w:rsidRPr="00294BBF">
        <w:rPr>
          <w:bCs/>
          <w:color w:val="000000" w:themeColor="text1"/>
        </w:rPr>
        <w:t xml:space="preserve">This data is available gridded onto 0.5° latitude x 1° longitude pixels </w:t>
      </w:r>
      <w:r w:rsidRPr="00294BBF">
        <w:rPr>
          <w:bCs/>
          <w:color w:val="000000" w:themeColor="text1"/>
        </w:rPr>
        <w:lastRenderedPageBreak/>
        <w:t xml:space="preserve">with monthly resolution: </w:t>
      </w:r>
      <w:r w:rsidR="00C658A6" w:rsidRPr="00294BBF">
        <w:rPr>
          <w:bCs/>
          <w:color w:val="000000" w:themeColor="text1"/>
        </w:rPr>
        <w:t>data from March</w:t>
      </w:r>
      <w:r w:rsidR="004D3A25">
        <w:rPr>
          <w:bCs/>
          <w:color w:val="000000" w:themeColor="text1"/>
        </w:rPr>
        <w:t>, the peak timing of spawning,</w:t>
      </w:r>
      <w:r w:rsidR="00C658A6" w:rsidRPr="00294BBF">
        <w:rPr>
          <w:bCs/>
          <w:color w:val="000000" w:themeColor="text1"/>
        </w:rPr>
        <w:t xml:space="preserve"> was </w:t>
      </w:r>
      <w:r w:rsidR="000E63B2" w:rsidRPr="00294BBF">
        <w:rPr>
          <w:bCs/>
          <w:color w:val="000000" w:themeColor="text1"/>
        </w:rPr>
        <w:t>used in this analysis</w:t>
      </w:r>
      <w:r w:rsidR="0043413A" w:rsidRPr="00294BBF">
        <w:rPr>
          <w:bCs/>
          <w:color w:val="000000" w:themeColor="text1"/>
        </w:rPr>
        <w:t>.</w:t>
      </w:r>
      <w:r w:rsidR="0043413A" w:rsidRPr="00294BBF">
        <w:rPr>
          <w:bCs/>
          <w:color w:val="000000" w:themeColor="text1"/>
        </w:rPr>
        <w:tab/>
      </w:r>
    </w:p>
    <w:p w14:paraId="1BE9BA99" w14:textId="7E164210" w:rsidR="00C954DE" w:rsidRPr="00294BBF" w:rsidRDefault="00656AD2" w:rsidP="00C27032">
      <w:pPr>
        <w:rPr>
          <w:b/>
          <w:color w:val="000000" w:themeColor="text1"/>
        </w:rPr>
      </w:pPr>
      <w:r w:rsidRPr="00294BBF">
        <w:rPr>
          <w:color w:val="000000" w:themeColor="text1"/>
        </w:rPr>
        <w:t>A</w:t>
      </w:r>
      <w:r w:rsidR="00C27032" w:rsidRPr="00294BBF">
        <w:rPr>
          <w:color w:val="000000" w:themeColor="text1"/>
        </w:rPr>
        <w:t>coustic biomass survey data of blue whiting spawning aggregations from 1981 to 2013</w:t>
      </w:r>
      <w:r w:rsidR="0095405C" w:rsidRPr="00294BBF">
        <w:rPr>
          <w:color w:val="000000" w:themeColor="text1"/>
        </w:rPr>
        <w:t xml:space="preserve"> was </w:t>
      </w:r>
      <w:r w:rsidR="004E5F4A" w:rsidRPr="00294BBF">
        <w:rPr>
          <w:color w:val="000000" w:themeColor="text1"/>
        </w:rPr>
        <w:t>also available</w:t>
      </w:r>
      <w:r w:rsidR="00C27032" w:rsidRPr="00294BBF">
        <w:rPr>
          <w:color w:val="000000" w:themeColor="text1"/>
        </w:rPr>
        <w:t>. Data prior to 2</w:t>
      </w:r>
      <w:r w:rsidR="007C57FA" w:rsidRPr="00294BBF">
        <w:rPr>
          <w:color w:val="000000" w:themeColor="text1"/>
        </w:rPr>
        <w:t>004</w:t>
      </w:r>
      <w:r w:rsidR="00C27032" w:rsidRPr="00294BBF">
        <w:rPr>
          <w:color w:val="000000" w:themeColor="text1"/>
        </w:rPr>
        <w:t xml:space="preserve"> originate from Norwegian surveys on the spawning grounds </w:t>
      </w:r>
      <w:r w:rsidR="00B95326" w:rsidRPr="00294BBF">
        <w:rPr>
          <w:color w:val="000000" w:themeColor="text1"/>
        </w:rPr>
        <w:t>of</w:t>
      </w:r>
      <w:r w:rsidR="00C27032" w:rsidRPr="00294BBF">
        <w:rPr>
          <w:color w:val="000000" w:themeColor="text1"/>
        </w:rPr>
        <w:t xml:space="preserve"> blue whiting</w:t>
      </w:r>
      <w:r w:rsidR="007C57FA" w:rsidRPr="00294BBF">
        <w:rPr>
          <w:color w:val="000000" w:themeColor="text1"/>
        </w:rPr>
        <w:t>, while</w:t>
      </w:r>
      <w:r w:rsidR="00B95326" w:rsidRPr="00294BBF">
        <w:rPr>
          <w:color w:val="000000" w:themeColor="text1"/>
        </w:rPr>
        <w:t xml:space="preserve"> data</w:t>
      </w:r>
      <w:r w:rsidR="007C57FA" w:rsidRPr="00294BBF">
        <w:rPr>
          <w:color w:val="000000" w:themeColor="text1"/>
        </w:rPr>
        <w:t xml:space="preserve"> from 2004</w:t>
      </w:r>
      <w:r w:rsidR="00C27032" w:rsidRPr="00294BBF">
        <w:rPr>
          <w:color w:val="000000" w:themeColor="text1"/>
        </w:rPr>
        <w:t xml:space="preserve"> onwards stem from the International Blue Whiting Spawning Stock </w:t>
      </w:r>
      <w:r w:rsidR="0043413A" w:rsidRPr="00294BBF">
        <w:rPr>
          <w:color w:val="000000" w:themeColor="text1"/>
        </w:rPr>
        <w:t xml:space="preserve">(IBWSS) </w:t>
      </w:r>
      <w:r w:rsidR="00C27032" w:rsidRPr="00294BBF">
        <w:rPr>
          <w:color w:val="000000" w:themeColor="text1"/>
        </w:rPr>
        <w:t xml:space="preserve">Survey that is carried out </w:t>
      </w:r>
      <w:r w:rsidR="00B95326" w:rsidRPr="00294BBF">
        <w:rPr>
          <w:color w:val="000000" w:themeColor="text1"/>
        </w:rPr>
        <w:t xml:space="preserve">annually </w:t>
      </w:r>
      <w:r w:rsidR="00C27032" w:rsidRPr="00294BBF">
        <w:rPr>
          <w:color w:val="000000" w:themeColor="text1"/>
        </w:rPr>
        <w:t xml:space="preserve">for two weeks from late March to early April </w:t>
      </w:r>
      <w:r w:rsidR="00C27032" w:rsidRPr="00294BBF">
        <w:rPr>
          <w:color w:val="000000" w:themeColor="text1"/>
        </w:rPr>
        <w:fldChar w:fldCharType="begin" w:fldLock="1"/>
      </w:r>
      <w:r w:rsidR="00E73F3C" w:rsidRPr="00294BBF">
        <w:rPr>
          <w:color w:val="000000" w:themeColor="text1"/>
        </w:rPr>
        <w:instrText>ADDIN CSL_CITATION { "citationItems" : [ { "id" : "ITEM-1", "itemData" : { "author" : [ { "dropping-particle" : "", "family" : "ICES", "given" : "", "non-dropping-particle" : "", "parse-names" : false, "suffix" : "" } ], "container-title" : "ICES Stock Annex 2016.", "id" : "ITEM-1", "issued" : { "date-parts" : [ [ "2016" ] ] }, "number-of-pages" : "1-38", "title" : "Stock Annex for Blue Whiting (Subareas I-IX, XI I and XIV). ICES Stock Annex 2016.", "type" : "report" }, "uris" : [ "http://www.mendeley.com/documents/?uuid=aae612e0-7d9f-4b13-83b6-b1fe2ab14afa", "http://www.mendeley.com/documents/?uuid=aade341d-df3d-4ff1-b494-f979222c4434" ] } ], "mendeley" : { "formattedCitation" : "(ICES, 2016b)", "plainTextFormattedCitation" : "(ICES, 2016b)", "previouslyFormattedCitation" : "(ICES, 2016b)" }, "properties" : { "noteIndex" : 0 }, "schema" : "https://github.com/citation-style-language/schema/raw/master/csl-citation.json" }</w:instrText>
      </w:r>
      <w:r w:rsidR="00C27032" w:rsidRPr="00294BBF">
        <w:rPr>
          <w:color w:val="000000" w:themeColor="text1"/>
        </w:rPr>
        <w:fldChar w:fldCharType="separate"/>
      </w:r>
      <w:r w:rsidR="00763109" w:rsidRPr="00294BBF">
        <w:rPr>
          <w:noProof/>
          <w:color w:val="000000" w:themeColor="text1"/>
        </w:rPr>
        <w:t>(ICES, 2016b)</w:t>
      </w:r>
      <w:r w:rsidR="00C27032" w:rsidRPr="00294BBF">
        <w:rPr>
          <w:color w:val="000000" w:themeColor="text1"/>
        </w:rPr>
        <w:fldChar w:fldCharType="end"/>
      </w:r>
      <w:r w:rsidR="00C27032" w:rsidRPr="00294BBF">
        <w:rPr>
          <w:color w:val="000000" w:themeColor="text1"/>
        </w:rPr>
        <w:t xml:space="preserve">. The acoustic survey records data continuously along its cruise track and </w:t>
      </w:r>
      <w:r w:rsidR="00B95326" w:rsidRPr="00294BBF">
        <w:rPr>
          <w:color w:val="000000" w:themeColor="text1"/>
        </w:rPr>
        <w:t>provides</w:t>
      </w:r>
      <w:r w:rsidR="00C27032" w:rsidRPr="00294BBF">
        <w:rPr>
          <w:color w:val="000000" w:themeColor="text1"/>
        </w:rPr>
        <w:t xml:space="preserve"> biomass</w:t>
      </w:r>
      <w:r w:rsidR="00B95326" w:rsidRPr="00294BBF">
        <w:rPr>
          <w:color w:val="000000" w:themeColor="text1"/>
        </w:rPr>
        <w:t xml:space="preserve"> estimated</w:t>
      </w:r>
      <w:r w:rsidR="00C27032" w:rsidRPr="00294BBF">
        <w:rPr>
          <w:color w:val="000000" w:themeColor="text1"/>
        </w:rPr>
        <w:t xml:space="preserve"> of blue whiting </w:t>
      </w:r>
      <w:r w:rsidR="00B95326" w:rsidRPr="00294BBF">
        <w:rPr>
          <w:color w:val="000000" w:themeColor="text1"/>
        </w:rPr>
        <w:t>per</w:t>
      </w:r>
      <w:r w:rsidR="00C27032" w:rsidRPr="00294BBF">
        <w:rPr>
          <w:color w:val="000000" w:themeColor="text1"/>
        </w:rPr>
        <w:t xml:space="preserve"> 0.5° latitude x 1° longitude rectangle</w:t>
      </w:r>
      <w:r w:rsidR="00CC432C" w:rsidRPr="00294BBF">
        <w:rPr>
          <w:color w:val="000000" w:themeColor="text1"/>
        </w:rPr>
        <w:t>.</w:t>
      </w:r>
      <w:r w:rsidR="00CC432C" w:rsidRPr="00294BBF">
        <w:rPr>
          <w:color w:val="000000" w:themeColor="text1"/>
        </w:rPr>
        <w:tab/>
      </w:r>
    </w:p>
    <w:p w14:paraId="7A45821D" w14:textId="0CE2BAE6" w:rsidR="00C27032" w:rsidRPr="00294BBF" w:rsidRDefault="00161B41" w:rsidP="00C27032">
      <w:pPr>
        <w:pStyle w:val="Overskrift1"/>
        <w:rPr>
          <w:color w:val="000000" w:themeColor="text1"/>
        </w:rPr>
      </w:pPr>
      <w:bookmarkStart w:id="13" w:name="__RefHeading___Toc7062_1780423817"/>
      <w:bookmarkStart w:id="14" w:name="_Toc444066957"/>
      <w:bookmarkStart w:id="15" w:name="_Toc487401364"/>
      <w:r w:rsidRPr="00294BBF">
        <w:rPr>
          <w:color w:val="000000" w:themeColor="text1"/>
        </w:rPr>
        <w:t>RESULTS</w:t>
      </w:r>
      <w:bookmarkEnd w:id="13"/>
      <w:bookmarkEnd w:id="14"/>
      <w:r w:rsidRPr="00294BBF">
        <w:rPr>
          <w:color w:val="000000" w:themeColor="text1"/>
        </w:rPr>
        <w:t xml:space="preserve"> </w:t>
      </w:r>
      <w:bookmarkEnd w:id="15"/>
    </w:p>
    <w:p w14:paraId="7E4D6A74" w14:textId="208111EA" w:rsidR="004660B2" w:rsidRPr="00294BBF" w:rsidRDefault="004660B2" w:rsidP="004660B2">
      <w:pPr>
        <w:pStyle w:val="Overskrift3"/>
        <w:rPr>
          <w:rFonts w:eastAsiaTheme="minorHAnsi"/>
          <w:color w:val="000000" w:themeColor="text1"/>
        </w:rPr>
      </w:pPr>
      <w:bookmarkStart w:id="16" w:name="_Toc487401365"/>
      <w:r w:rsidRPr="00294BBF">
        <w:rPr>
          <w:rFonts w:eastAsiaTheme="minorHAnsi"/>
          <w:color w:val="000000" w:themeColor="text1"/>
        </w:rPr>
        <w:t>Marine climate in blue whiting’s spawning region</w:t>
      </w:r>
      <w:bookmarkEnd w:id="16"/>
      <w:r w:rsidRPr="00294BBF">
        <w:rPr>
          <w:rFonts w:eastAsiaTheme="minorHAnsi"/>
          <w:color w:val="000000" w:themeColor="text1"/>
        </w:rPr>
        <w:t xml:space="preserve"> </w:t>
      </w:r>
    </w:p>
    <w:p w14:paraId="27DD5A22" w14:textId="77777777" w:rsidR="00145EA5" w:rsidRDefault="00DD690A" w:rsidP="00DB4E09">
      <w:pPr>
        <w:rPr>
          <w:rFonts w:eastAsiaTheme="minorHAnsi"/>
          <w:color w:val="000000" w:themeColor="text1"/>
        </w:rPr>
      </w:pPr>
      <w:r w:rsidRPr="00294BBF">
        <w:rPr>
          <w:rFonts w:eastAsiaTheme="minorHAnsi"/>
          <w:color w:val="000000" w:themeColor="text1"/>
        </w:rPr>
        <w:t>T</w:t>
      </w:r>
      <w:r w:rsidR="00492F9F" w:rsidRPr="00294BBF">
        <w:rPr>
          <w:rFonts w:eastAsiaTheme="minorHAnsi"/>
          <w:color w:val="000000" w:themeColor="text1"/>
        </w:rPr>
        <w:t xml:space="preserve">he mean temperature and salinity </w:t>
      </w:r>
      <w:r w:rsidR="007D5DCA" w:rsidRPr="00294BBF">
        <w:rPr>
          <w:rFonts w:eastAsiaTheme="minorHAnsi"/>
          <w:color w:val="000000" w:themeColor="text1"/>
        </w:rPr>
        <w:t>in the spawning area of blue whiting has varied greatly between years</w:t>
      </w:r>
      <w:r w:rsidRPr="00294BBF">
        <w:rPr>
          <w:rFonts w:eastAsiaTheme="minorHAnsi"/>
          <w:color w:val="000000" w:themeColor="text1"/>
        </w:rPr>
        <w:t>.</w:t>
      </w:r>
      <w:r w:rsidR="00492F9F" w:rsidRPr="00294BBF">
        <w:rPr>
          <w:color w:val="000000" w:themeColor="text1"/>
        </w:rPr>
        <w:t xml:space="preserve"> </w:t>
      </w:r>
      <w:r w:rsidR="005A0473" w:rsidRPr="00294BBF">
        <w:rPr>
          <w:rFonts w:eastAsiaTheme="minorHAnsi"/>
          <w:color w:val="000000" w:themeColor="text1"/>
        </w:rPr>
        <w:t xml:space="preserve">However </w:t>
      </w:r>
      <w:r w:rsidR="00492F9F" w:rsidRPr="00294BBF">
        <w:rPr>
          <w:rFonts w:eastAsiaTheme="minorHAnsi"/>
          <w:color w:val="000000" w:themeColor="text1"/>
        </w:rPr>
        <w:t>a distinct pattern is noticeable: the marine climate was typically either both saline and warm or to the contrary fresh (i.e. of low-salinity) and cold (</w:t>
      </w:r>
      <w:r w:rsidR="00433CC3" w:rsidRPr="00294BBF">
        <w:rPr>
          <w:noProof/>
          <w:color w:val="000000" w:themeColor="text1"/>
        </w:rPr>
        <w:t>Fig. 3</w:t>
      </w:r>
      <w:r w:rsidR="00270479" w:rsidRPr="00294BBF">
        <w:rPr>
          <w:noProof/>
          <w:color w:val="000000" w:themeColor="text1"/>
        </w:rPr>
        <w:t>, correlation between temperature and salinity (r)  = 0.82</w:t>
      </w:r>
      <w:r w:rsidR="00492F9F" w:rsidRPr="00294BBF">
        <w:rPr>
          <w:rFonts w:eastAsiaTheme="minorHAnsi"/>
          <w:color w:val="000000" w:themeColor="text1"/>
        </w:rPr>
        <w:t xml:space="preserve">). Years where salinity and </w:t>
      </w:r>
      <w:r w:rsidR="00F83ABE" w:rsidRPr="00294BBF">
        <w:rPr>
          <w:rFonts w:eastAsiaTheme="minorHAnsi"/>
          <w:color w:val="000000" w:themeColor="text1"/>
        </w:rPr>
        <w:t>temperature both exceeded the 67</w:t>
      </w:r>
      <w:r w:rsidR="00492F9F" w:rsidRPr="00294BBF">
        <w:rPr>
          <w:rFonts w:eastAsiaTheme="minorHAnsi"/>
          <w:color w:val="000000" w:themeColor="text1"/>
          <w:vertAlign w:val="superscript"/>
        </w:rPr>
        <w:t>th</w:t>
      </w:r>
      <w:r w:rsidR="00492F9F" w:rsidRPr="00294BBF">
        <w:rPr>
          <w:rFonts w:eastAsiaTheme="minorHAnsi"/>
          <w:color w:val="000000" w:themeColor="text1"/>
        </w:rPr>
        <w:t xml:space="preserve"> percentile (</w:t>
      </w:r>
      <w:r w:rsidR="00492F9F" w:rsidRPr="00294BBF">
        <w:rPr>
          <w:rFonts w:eastAsiaTheme="minorHAnsi" w:cs="Times New Roman"/>
          <w:color w:val="000000" w:themeColor="text1"/>
        </w:rPr>
        <w:t xml:space="preserve">S </w:t>
      </w:r>
      <w:r w:rsidR="00492F9F" w:rsidRPr="00294BBF">
        <w:rPr>
          <w:rFonts w:eastAsiaTheme="minorHAnsi" w:cs="Times New Roman"/>
          <w:color w:val="000000" w:themeColor="text1"/>
        </w:rPr>
        <w:sym w:font="Symbol" w:char="F03E"/>
      </w:r>
      <w:r w:rsidR="00492F9F" w:rsidRPr="00294BBF">
        <w:rPr>
          <w:rFonts w:eastAsiaTheme="minorHAnsi" w:cs="Times New Roman"/>
          <w:color w:val="000000" w:themeColor="text1"/>
        </w:rPr>
        <w:t xml:space="preserve"> 35.</w:t>
      </w:r>
      <w:r w:rsidR="00C02FE0" w:rsidRPr="00294BBF">
        <w:rPr>
          <w:rFonts w:eastAsiaTheme="minorHAnsi" w:cs="Times New Roman"/>
          <w:color w:val="000000" w:themeColor="text1"/>
        </w:rPr>
        <w:t>40</w:t>
      </w:r>
      <w:r w:rsidR="00492F9F" w:rsidRPr="00294BBF">
        <w:rPr>
          <w:rFonts w:eastAsiaTheme="minorHAnsi" w:cs="Times New Roman"/>
          <w:color w:val="000000" w:themeColor="text1"/>
        </w:rPr>
        <w:t xml:space="preserve"> and </w:t>
      </w:r>
      <w:r w:rsidR="00492F9F" w:rsidRPr="00294BBF">
        <w:rPr>
          <w:rFonts w:eastAsiaTheme="minorHAnsi"/>
          <w:color w:val="000000" w:themeColor="text1"/>
        </w:rPr>
        <w:t xml:space="preserve">T </w:t>
      </w:r>
      <w:r w:rsidR="00492F9F" w:rsidRPr="00294BBF">
        <w:rPr>
          <w:rFonts w:eastAsiaTheme="minorHAnsi" w:cs="Times New Roman"/>
          <w:color w:val="000000" w:themeColor="text1"/>
        </w:rPr>
        <w:sym w:font="Symbol" w:char="F03E"/>
      </w:r>
      <w:r w:rsidR="00492F9F" w:rsidRPr="00294BBF">
        <w:rPr>
          <w:rFonts w:eastAsiaTheme="minorHAnsi" w:cs="Times New Roman"/>
          <w:color w:val="000000" w:themeColor="text1"/>
        </w:rPr>
        <w:t xml:space="preserve"> 9.</w:t>
      </w:r>
      <w:r w:rsidR="00C02FE0" w:rsidRPr="00294BBF">
        <w:rPr>
          <w:rFonts w:eastAsiaTheme="minorHAnsi" w:cs="Times New Roman"/>
          <w:color w:val="000000" w:themeColor="text1"/>
        </w:rPr>
        <w:t>87</w:t>
      </w:r>
      <w:r w:rsidR="00492F9F" w:rsidRPr="00294BBF">
        <w:rPr>
          <w:rFonts w:eastAsiaTheme="minorHAnsi" w:cs="Times New Roman"/>
          <w:color w:val="000000" w:themeColor="text1"/>
        </w:rPr>
        <w:t xml:space="preserve"> °C) were defined as belonging to the “saline and warm” regime</w:t>
      </w:r>
      <w:r w:rsidR="00492F9F" w:rsidRPr="00294BBF">
        <w:rPr>
          <w:rFonts w:eastAsiaTheme="minorHAnsi"/>
          <w:color w:val="000000" w:themeColor="text1"/>
        </w:rPr>
        <w:t xml:space="preserve"> (</w:t>
      </w:r>
      <w:r w:rsidR="009F2539" w:rsidRPr="00294BBF">
        <w:rPr>
          <w:rFonts w:eastAsiaTheme="minorHAnsi"/>
          <w:color w:val="000000" w:themeColor="text1"/>
        </w:rPr>
        <w:t xml:space="preserve">17 years, </w:t>
      </w:r>
      <w:r w:rsidR="00492F9F" w:rsidRPr="00294BBF">
        <w:rPr>
          <w:rFonts w:eastAsiaTheme="minorHAnsi"/>
          <w:color w:val="000000" w:themeColor="text1"/>
        </w:rPr>
        <w:t>indicated by the red horizontal bars in</w:t>
      </w:r>
      <w:r w:rsidR="00433CC3" w:rsidRPr="00294BBF">
        <w:rPr>
          <w:rFonts w:eastAsiaTheme="minorHAnsi"/>
          <w:color w:val="000000" w:themeColor="text1"/>
        </w:rPr>
        <w:t xml:space="preserve"> </w:t>
      </w:r>
      <w:r w:rsidR="00433CC3" w:rsidRPr="00294BBF">
        <w:rPr>
          <w:noProof/>
          <w:color w:val="000000" w:themeColor="text1"/>
        </w:rPr>
        <w:t>Fig. 3</w:t>
      </w:r>
      <w:r w:rsidR="00492F9F" w:rsidRPr="00294BBF">
        <w:rPr>
          <w:rFonts w:eastAsiaTheme="minorHAnsi"/>
          <w:color w:val="000000" w:themeColor="text1"/>
        </w:rPr>
        <w:t>), while years with mean salinity and temperature below the 33</w:t>
      </w:r>
      <w:r w:rsidR="00492F9F" w:rsidRPr="00294BBF">
        <w:rPr>
          <w:rFonts w:eastAsiaTheme="minorHAnsi"/>
          <w:color w:val="000000" w:themeColor="text1"/>
          <w:vertAlign w:val="superscript"/>
        </w:rPr>
        <w:t>rd</w:t>
      </w:r>
      <w:r w:rsidR="00C02FE0" w:rsidRPr="00294BBF">
        <w:rPr>
          <w:rFonts w:eastAsiaTheme="minorHAnsi"/>
          <w:color w:val="000000" w:themeColor="text1"/>
        </w:rPr>
        <w:t xml:space="preserve"> percentile (S &lt; 35.38</w:t>
      </w:r>
      <w:r w:rsidR="00492F9F" w:rsidRPr="00294BBF">
        <w:rPr>
          <w:rFonts w:eastAsiaTheme="minorHAnsi"/>
          <w:color w:val="000000" w:themeColor="text1"/>
        </w:rPr>
        <w:t xml:space="preserve"> and T &lt; 9.6</w:t>
      </w:r>
      <w:r w:rsidR="00C02FE0" w:rsidRPr="00294BBF">
        <w:rPr>
          <w:rFonts w:eastAsiaTheme="minorHAnsi"/>
          <w:color w:val="000000" w:themeColor="text1"/>
        </w:rPr>
        <w:t>4</w:t>
      </w:r>
      <w:r w:rsidR="00492F9F" w:rsidRPr="00294BBF">
        <w:rPr>
          <w:rFonts w:eastAsiaTheme="minorHAnsi"/>
          <w:color w:val="000000" w:themeColor="text1"/>
        </w:rPr>
        <w:t xml:space="preserve"> </w:t>
      </w:r>
      <w:r w:rsidR="00492F9F" w:rsidRPr="00294BBF">
        <w:rPr>
          <w:rFonts w:eastAsiaTheme="minorHAnsi" w:cs="Times New Roman"/>
          <w:color w:val="000000" w:themeColor="text1"/>
        </w:rPr>
        <w:t xml:space="preserve">°C) </w:t>
      </w:r>
      <w:r w:rsidR="00274FB4" w:rsidRPr="00294BBF">
        <w:rPr>
          <w:rFonts w:eastAsiaTheme="minorHAnsi" w:cs="Times New Roman"/>
          <w:color w:val="000000" w:themeColor="text1"/>
        </w:rPr>
        <w:t>were</w:t>
      </w:r>
      <w:r w:rsidR="00492F9F" w:rsidRPr="00294BBF">
        <w:rPr>
          <w:rFonts w:eastAsiaTheme="minorHAnsi" w:cs="Times New Roman"/>
          <w:color w:val="000000" w:themeColor="text1"/>
        </w:rPr>
        <w:t xml:space="preserve"> defined as “fresh and cold” regime </w:t>
      </w:r>
      <w:r w:rsidR="00492F9F" w:rsidRPr="00294BBF">
        <w:rPr>
          <w:rFonts w:eastAsiaTheme="minorHAnsi"/>
          <w:color w:val="000000" w:themeColor="text1"/>
        </w:rPr>
        <w:t>(</w:t>
      </w:r>
      <w:r w:rsidR="00F83ABE" w:rsidRPr="00294BBF">
        <w:rPr>
          <w:rFonts w:eastAsiaTheme="minorHAnsi"/>
          <w:color w:val="000000" w:themeColor="text1"/>
        </w:rPr>
        <w:t>17</w:t>
      </w:r>
      <w:r w:rsidR="009F2539" w:rsidRPr="00294BBF">
        <w:rPr>
          <w:rFonts w:eastAsiaTheme="minorHAnsi"/>
          <w:color w:val="000000" w:themeColor="text1"/>
        </w:rPr>
        <w:t xml:space="preserve">, </w:t>
      </w:r>
      <w:r w:rsidR="00492F9F" w:rsidRPr="00294BBF">
        <w:rPr>
          <w:rFonts w:eastAsiaTheme="minorHAnsi"/>
          <w:color w:val="000000" w:themeColor="text1"/>
        </w:rPr>
        <w:t>indicated by the blue horizontal bars in</w:t>
      </w:r>
      <w:r w:rsidR="00433CC3" w:rsidRPr="00294BBF">
        <w:rPr>
          <w:noProof/>
          <w:color w:val="000000" w:themeColor="text1"/>
        </w:rPr>
        <w:t xml:space="preserve"> Fig. 3</w:t>
      </w:r>
      <w:r w:rsidR="00492F9F" w:rsidRPr="00294BBF">
        <w:rPr>
          <w:rFonts w:eastAsiaTheme="minorHAnsi"/>
          <w:color w:val="000000" w:themeColor="text1"/>
        </w:rPr>
        <w:t xml:space="preserve">). </w:t>
      </w:r>
      <w:r w:rsidR="00145EA5">
        <w:rPr>
          <w:rFonts w:eastAsiaTheme="minorHAnsi"/>
          <w:color w:val="000000" w:themeColor="text1"/>
        </w:rPr>
        <w:tab/>
      </w:r>
      <w:r w:rsidR="00145EA5">
        <w:rPr>
          <w:rFonts w:eastAsiaTheme="minorHAnsi"/>
          <w:color w:val="000000" w:themeColor="text1"/>
        </w:rPr>
        <w:tab/>
      </w:r>
      <w:r w:rsidR="00145EA5">
        <w:rPr>
          <w:rFonts w:eastAsiaTheme="minorHAnsi"/>
          <w:color w:val="000000" w:themeColor="text1"/>
        </w:rPr>
        <w:tab/>
      </w:r>
      <w:r w:rsidR="00145EA5">
        <w:rPr>
          <w:rFonts w:eastAsiaTheme="minorHAnsi"/>
          <w:color w:val="000000" w:themeColor="text1"/>
        </w:rPr>
        <w:tab/>
      </w:r>
      <w:r w:rsidR="00145EA5">
        <w:rPr>
          <w:rFonts w:eastAsiaTheme="minorHAnsi"/>
          <w:color w:val="000000" w:themeColor="text1"/>
        </w:rPr>
        <w:tab/>
      </w:r>
    </w:p>
    <w:p w14:paraId="2B2E36F1" w14:textId="71D7895D" w:rsidR="003B0727" w:rsidRPr="00294BBF" w:rsidRDefault="00C02FE0" w:rsidP="00DB4E09">
      <w:pPr>
        <w:rPr>
          <w:rFonts w:eastAsiaTheme="minorHAnsi"/>
          <w:color w:val="000000" w:themeColor="text1"/>
        </w:rPr>
      </w:pPr>
      <w:r w:rsidRPr="00294BBF">
        <w:rPr>
          <w:rFonts w:eastAsiaTheme="minorHAnsi"/>
          <w:color w:val="000000" w:themeColor="text1"/>
        </w:rPr>
        <w:t xml:space="preserve">The spatial distribution of temperature and salinity within the study region </w:t>
      </w:r>
      <w:r w:rsidR="00915054" w:rsidRPr="00294BBF">
        <w:rPr>
          <w:rFonts w:eastAsiaTheme="minorHAnsi"/>
          <w:color w:val="000000" w:themeColor="text1"/>
        </w:rPr>
        <w:t xml:space="preserve">varies between regimes </w:t>
      </w:r>
      <w:r w:rsidR="009F2539" w:rsidRPr="00294BBF">
        <w:rPr>
          <w:rFonts w:eastAsiaTheme="minorHAnsi"/>
          <w:color w:val="000000" w:themeColor="text1"/>
        </w:rPr>
        <w:t>(</w:t>
      </w:r>
      <w:r w:rsidR="00433CC3" w:rsidRPr="00294BBF">
        <w:rPr>
          <w:rFonts w:eastAsiaTheme="minorHAnsi"/>
          <w:color w:val="000000" w:themeColor="text1"/>
        </w:rPr>
        <w:t>F</w:t>
      </w:r>
      <w:r w:rsidR="00433CC3" w:rsidRPr="00294BBF">
        <w:rPr>
          <w:noProof/>
          <w:color w:val="000000" w:themeColor="text1"/>
        </w:rPr>
        <w:t>ig. 4</w:t>
      </w:r>
      <w:r w:rsidR="009F2539" w:rsidRPr="00294BBF">
        <w:rPr>
          <w:rFonts w:eastAsiaTheme="minorHAnsi"/>
          <w:color w:val="000000" w:themeColor="text1"/>
        </w:rPr>
        <w:t xml:space="preserve">). </w:t>
      </w:r>
      <w:r w:rsidRPr="00294BBF">
        <w:rPr>
          <w:rFonts w:eastAsiaTheme="minorHAnsi"/>
          <w:color w:val="000000" w:themeColor="text1"/>
        </w:rPr>
        <w:t xml:space="preserve">During the saline and warm regime water masses of </w:t>
      </w:r>
      <w:r w:rsidRPr="00294BBF">
        <w:rPr>
          <w:rFonts w:eastAsiaTheme="minorHAnsi"/>
          <w:color w:val="000000" w:themeColor="text1"/>
        </w:rPr>
        <w:lastRenderedPageBreak/>
        <w:t xml:space="preserve">subtropical origin </w:t>
      </w:r>
      <w:r w:rsidR="00C930E7">
        <w:rPr>
          <w:rFonts w:eastAsiaTheme="minorHAnsi"/>
          <w:color w:val="000000" w:themeColor="text1"/>
        </w:rPr>
        <w:t>with</w:t>
      </w:r>
      <w:r w:rsidRPr="00294BBF">
        <w:rPr>
          <w:rFonts w:eastAsiaTheme="minorHAnsi"/>
          <w:color w:val="000000" w:themeColor="text1"/>
        </w:rPr>
        <w:t xml:space="preserve"> high salinity and temperature spread along Rockall Trough towards Rockall Plateau</w:t>
      </w:r>
      <w:r w:rsidR="007608C7" w:rsidRPr="00294BBF">
        <w:rPr>
          <w:rFonts w:eastAsiaTheme="minorHAnsi"/>
          <w:color w:val="000000" w:themeColor="text1"/>
        </w:rPr>
        <w:t xml:space="preserve"> </w:t>
      </w:r>
      <w:r w:rsidRPr="00294BBF">
        <w:rPr>
          <w:rFonts w:eastAsiaTheme="minorHAnsi"/>
          <w:color w:val="000000" w:themeColor="text1"/>
        </w:rPr>
        <w:t xml:space="preserve">, with mean salinities </w:t>
      </w:r>
      <w:r w:rsidRPr="00294BBF">
        <w:rPr>
          <w:color w:val="000000" w:themeColor="text1"/>
        </w:rPr>
        <w:t xml:space="preserve">during March at blue whiting’s spawning depth reaching ≥ 35.35 and </w:t>
      </w:r>
      <w:r w:rsidR="00CE5051" w:rsidRPr="00294BBF">
        <w:rPr>
          <w:color w:val="000000" w:themeColor="text1"/>
        </w:rPr>
        <w:t xml:space="preserve">temperatures </w:t>
      </w:r>
      <w:r w:rsidRPr="00294BBF">
        <w:rPr>
          <w:color w:val="000000" w:themeColor="text1"/>
        </w:rPr>
        <w:t>≥ 10 °C within Rockall Plateau region (</w:t>
      </w:r>
      <w:r w:rsidR="00433CC3" w:rsidRPr="00294BBF">
        <w:rPr>
          <w:noProof/>
          <w:color w:val="000000" w:themeColor="text1"/>
        </w:rPr>
        <w:t>Fig. 4</w:t>
      </w:r>
      <w:r w:rsidRPr="00294BBF">
        <w:rPr>
          <w:color w:val="000000" w:themeColor="text1"/>
        </w:rPr>
        <w:t xml:space="preserve">a). </w:t>
      </w:r>
      <w:r w:rsidR="00FE60A7">
        <w:rPr>
          <w:color w:val="000000" w:themeColor="text1"/>
        </w:rPr>
        <w:t>Conversely, d</w:t>
      </w:r>
      <w:r w:rsidRPr="00294BBF">
        <w:rPr>
          <w:color w:val="000000" w:themeColor="text1"/>
        </w:rPr>
        <w:t>uring the fresh and cold regime such high salinities are constrained within Rockall</w:t>
      </w:r>
      <w:r w:rsidRPr="00294BBF">
        <w:rPr>
          <w:rFonts w:eastAsiaTheme="minorHAnsi"/>
          <w:color w:val="000000" w:themeColor="text1"/>
        </w:rPr>
        <w:t xml:space="preserve"> Trough and onto Porcupine Bank with more waters of North Atlantic origin pushing in from the west </w:t>
      </w:r>
      <w:r w:rsidRPr="00294BBF">
        <w:rPr>
          <w:color w:val="000000" w:themeColor="text1"/>
        </w:rPr>
        <w:t>(</w:t>
      </w:r>
      <w:r w:rsidR="00433CC3" w:rsidRPr="00294BBF">
        <w:rPr>
          <w:noProof/>
          <w:color w:val="000000" w:themeColor="text1"/>
        </w:rPr>
        <w:t>Fig. 4</w:t>
      </w:r>
      <w:r w:rsidRPr="00294BBF">
        <w:rPr>
          <w:color w:val="000000" w:themeColor="text1"/>
        </w:rPr>
        <w:t xml:space="preserve">b) </w:t>
      </w:r>
      <w:r w:rsidRPr="00294BBF">
        <w:rPr>
          <w:rFonts w:eastAsiaTheme="minorHAnsi"/>
          <w:color w:val="000000" w:themeColor="text1"/>
        </w:rPr>
        <w:t xml:space="preserve">due to the influence of a strong </w:t>
      </w:r>
      <w:r w:rsidR="00246502" w:rsidRPr="00294BBF">
        <w:rPr>
          <w:rFonts w:eastAsiaTheme="minorHAnsi"/>
          <w:color w:val="000000" w:themeColor="text1"/>
        </w:rPr>
        <w:t xml:space="preserve">subpolar gyre </w:t>
      </w:r>
      <w:r w:rsidR="003B0727" w:rsidRPr="00294BBF">
        <w:rPr>
          <w:rFonts w:eastAsiaTheme="minorHAnsi"/>
          <w:color w:val="000000" w:themeColor="text1"/>
        </w:rPr>
        <w:fldChar w:fldCharType="begin" w:fldLock="1"/>
      </w:r>
      <w:r w:rsidR="00E40F45" w:rsidRPr="00294BBF">
        <w:rPr>
          <w:rFonts w:eastAsiaTheme="minorHAnsi"/>
          <w:color w:val="000000" w:themeColor="text1"/>
        </w:rPr>
        <w:instrText>ADDIN CSL_CITATION { "citationItems" : [ { "id" : "ITEM-1", "itemData" : { "DOI" : "10.1126/science.1116723", "author" : [ { "dropping-particle" : "", "family" : "H\u00e1t\u00fan", "given" : "Hj\u00e1lmar", "non-dropping-particle" : "", "parse-names" : false, "suffix" : "" }, { "dropping-particle" : "", "family" : "Sand\u00f8", "given" : "Anne Britt", "non-dropping-particle" : "", "parse-names" : false, "suffix" : "" }, { "dropping-particle" : "", "family" : "Drange", "given" : "Helge", "non-dropping-particle" : "", "parse-names" : false, "suffix" : "" }, { "dropping-particle" : "", "family" : "Hansen", "given" : "Bogi", "non-dropping-particle" : "", "parse-names" : false, "suffix" : "" }, { "dropping-particle" : "", "family" : "Valdimarsson", "given" : "Hedinn", "non-dropping-particle" : "", "parse-names" : false, "suffix" : "" } ], "container-title" : "Science", "id" : "ITEM-1", "issue" : "5742", "issued" : { "date-parts" : [ [ "2005" ] ] }, "page" : "1841-1844", "title" : "Circulation Influence of the Atlantic Subpolar Gyre on the Thermohaline Circulation", "type" : "article-journal", "volume" : "309" }, "uris" : [ "http://www.mendeley.com/documents/?uuid=0499b085-eb86-4364-bbcc-56b9e8d9e46d", "http://www.mendeley.com/documents/?uuid=2f35bf7a-4312-49ef-b2f8-52a512dbb199" ] } ], "mendeley" : { "formattedCitation" : "(H\u00e1t\u00fan &lt;i&gt;et al.&lt;/i&gt;, 2005)", "plainTextFormattedCitation" : "(H\u00e1t\u00fan et al., 2005)", "previouslyFormattedCitation" : "(H\u00e1t\u00fan &lt;i&gt;et al.&lt;/i&gt;, 2005)" }, "properties" : { "noteIndex" : 0 }, "schema" : "https://github.com/citation-style-language/schema/raw/master/csl-citation.json" }</w:instrText>
      </w:r>
      <w:r w:rsidR="003B0727" w:rsidRPr="00294BBF">
        <w:rPr>
          <w:rFonts w:eastAsiaTheme="minorHAnsi"/>
          <w:color w:val="000000" w:themeColor="text1"/>
        </w:rPr>
        <w:fldChar w:fldCharType="separate"/>
      </w:r>
      <w:r w:rsidR="00E40F45" w:rsidRPr="00294BBF">
        <w:rPr>
          <w:rFonts w:eastAsiaTheme="minorHAnsi"/>
          <w:noProof/>
          <w:color w:val="000000" w:themeColor="text1"/>
        </w:rPr>
        <w:t xml:space="preserve">(Hátún </w:t>
      </w:r>
      <w:r w:rsidR="006773E4" w:rsidRPr="006773E4">
        <w:rPr>
          <w:rFonts w:eastAsiaTheme="minorHAnsi"/>
          <w:i/>
          <w:noProof/>
          <w:color w:val="000000" w:themeColor="text1"/>
        </w:rPr>
        <w:t>et al.</w:t>
      </w:r>
      <w:r w:rsidR="00E40F45" w:rsidRPr="00294BBF">
        <w:rPr>
          <w:rFonts w:eastAsiaTheme="minorHAnsi"/>
          <w:noProof/>
          <w:color w:val="000000" w:themeColor="text1"/>
        </w:rPr>
        <w:t>, 2005)</w:t>
      </w:r>
      <w:r w:rsidR="003B0727" w:rsidRPr="00294BBF">
        <w:rPr>
          <w:rFonts w:eastAsiaTheme="minorHAnsi"/>
          <w:color w:val="000000" w:themeColor="text1"/>
        </w:rPr>
        <w:fldChar w:fldCharType="end"/>
      </w:r>
      <w:r w:rsidR="003B0727" w:rsidRPr="00294BBF">
        <w:rPr>
          <w:rFonts w:eastAsiaTheme="minorHAnsi"/>
          <w:color w:val="000000" w:themeColor="text1"/>
        </w:rPr>
        <w:t>.</w:t>
      </w:r>
    </w:p>
    <w:p w14:paraId="55039C90" w14:textId="653F2690" w:rsidR="001D7EA0" w:rsidRPr="00294BBF" w:rsidRDefault="001D7EA0" w:rsidP="001D7EA0">
      <w:pPr>
        <w:pStyle w:val="Overskrift3"/>
        <w:rPr>
          <w:color w:val="000000" w:themeColor="text1"/>
        </w:rPr>
      </w:pPr>
      <w:bookmarkStart w:id="17" w:name="_Toc487401366"/>
      <w:r w:rsidRPr="00294BBF">
        <w:rPr>
          <w:color w:val="000000" w:themeColor="text1"/>
        </w:rPr>
        <w:t>Space-time interpolation</w:t>
      </w:r>
      <w:r w:rsidR="00900A17" w:rsidRPr="00294BBF">
        <w:rPr>
          <w:color w:val="000000" w:themeColor="text1"/>
        </w:rPr>
        <w:t xml:space="preserve"> </w:t>
      </w:r>
      <w:r w:rsidRPr="00294BBF">
        <w:rPr>
          <w:color w:val="000000" w:themeColor="text1"/>
        </w:rPr>
        <w:t>of CPR dat</w:t>
      </w:r>
      <w:r w:rsidR="00900A17" w:rsidRPr="00294BBF">
        <w:rPr>
          <w:color w:val="000000" w:themeColor="text1"/>
        </w:rPr>
        <w:t>a</w:t>
      </w:r>
      <w:bookmarkEnd w:id="17"/>
      <w:r w:rsidR="00900A17" w:rsidRPr="00294BBF">
        <w:rPr>
          <w:color w:val="000000" w:themeColor="text1"/>
        </w:rPr>
        <w:t xml:space="preserve"> </w:t>
      </w:r>
    </w:p>
    <w:p w14:paraId="12F9BBF8" w14:textId="543CA69E" w:rsidR="009A5F4A" w:rsidRPr="00294BBF" w:rsidRDefault="003B0727" w:rsidP="007F5FBA">
      <w:pPr>
        <w:rPr>
          <w:color w:val="000000" w:themeColor="text1"/>
        </w:rPr>
      </w:pPr>
      <w:r w:rsidRPr="00294BBF">
        <w:rPr>
          <w:color w:val="000000" w:themeColor="text1"/>
        </w:rPr>
        <w:t>Simple interpolation of the CPR data</w:t>
      </w:r>
      <w:r w:rsidR="00CE5051" w:rsidRPr="00294BBF">
        <w:rPr>
          <w:color w:val="000000" w:themeColor="text1"/>
        </w:rPr>
        <w:t>,</w:t>
      </w:r>
      <w:r w:rsidRPr="00294BBF">
        <w:rPr>
          <w:color w:val="000000" w:themeColor="text1"/>
        </w:rPr>
        <w:t xml:space="preserve"> using a statistical model </w:t>
      </w:r>
      <w:proofErr w:type="gramStart"/>
      <w:r w:rsidRPr="00294BBF">
        <w:rPr>
          <w:color w:val="000000" w:themeColor="text1"/>
        </w:rPr>
        <w:t>with a space</w:t>
      </w:r>
      <w:r w:rsidR="008C6846" w:rsidRPr="00294BBF">
        <w:rPr>
          <w:color w:val="000000" w:themeColor="text1"/>
        </w:rPr>
        <w:t>-</w:t>
      </w:r>
      <w:r w:rsidRPr="00294BBF">
        <w:rPr>
          <w:color w:val="000000" w:themeColor="text1"/>
        </w:rPr>
        <w:t>time smoother</w:t>
      </w:r>
      <w:r w:rsidR="00CE5051" w:rsidRPr="00294BBF">
        <w:rPr>
          <w:color w:val="000000" w:themeColor="text1"/>
        </w:rPr>
        <w:t>,</w:t>
      </w:r>
      <w:r w:rsidRPr="00294BBF">
        <w:rPr>
          <w:color w:val="000000" w:themeColor="text1"/>
        </w:rPr>
        <w:t xml:space="preserve"> revealed substantial differences</w:t>
      </w:r>
      <w:proofErr w:type="gramEnd"/>
      <w:r w:rsidRPr="00294BBF">
        <w:rPr>
          <w:color w:val="000000" w:themeColor="text1"/>
        </w:rPr>
        <w:t xml:space="preserve"> in distribution associated with the different marine climate regimes (</w:t>
      </w:r>
      <w:r w:rsidR="004C5786" w:rsidRPr="00294BBF">
        <w:rPr>
          <w:color w:val="000000" w:themeColor="text1"/>
        </w:rPr>
        <w:t>Table 2</w:t>
      </w:r>
      <w:r w:rsidRPr="00294BBF">
        <w:rPr>
          <w:color w:val="000000" w:themeColor="text1"/>
        </w:rPr>
        <w:t>). A large decrease in AIC was see</w:t>
      </w:r>
      <w:r w:rsidR="00604562" w:rsidRPr="00294BBF">
        <w:rPr>
          <w:color w:val="000000" w:themeColor="text1"/>
        </w:rPr>
        <w:t>n</w:t>
      </w:r>
      <w:r w:rsidRPr="00294BBF">
        <w:rPr>
          <w:color w:val="000000" w:themeColor="text1"/>
        </w:rPr>
        <w:t xml:space="preserve"> when adding regime as </w:t>
      </w:r>
      <w:r w:rsidR="00A741C8" w:rsidRPr="00294BBF">
        <w:rPr>
          <w:color w:val="000000" w:themeColor="text1"/>
        </w:rPr>
        <w:t xml:space="preserve">a </w:t>
      </w:r>
      <w:r w:rsidRPr="00294BBF">
        <w:rPr>
          <w:color w:val="000000" w:themeColor="text1"/>
        </w:rPr>
        <w:t>conditional term</w:t>
      </w:r>
      <w:r w:rsidR="00246502" w:rsidRPr="00294BBF">
        <w:rPr>
          <w:color w:val="000000" w:themeColor="text1"/>
        </w:rPr>
        <w:t xml:space="preserve"> (STI2)</w:t>
      </w:r>
      <w:r w:rsidRPr="00294BBF">
        <w:rPr>
          <w:color w:val="000000" w:themeColor="text1"/>
        </w:rPr>
        <w:t xml:space="preserve">, </w:t>
      </w:r>
      <w:r w:rsidR="00FE2E8F" w:rsidRPr="00294BBF">
        <w:rPr>
          <w:color w:val="000000" w:themeColor="text1"/>
        </w:rPr>
        <w:t xml:space="preserve">indicating </w:t>
      </w:r>
      <w:r w:rsidR="00932984">
        <w:rPr>
          <w:color w:val="000000" w:themeColor="text1"/>
        </w:rPr>
        <w:t xml:space="preserve">an improved model over </w:t>
      </w:r>
      <w:r w:rsidR="00FE2E8F" w:rsidRPr="00294BBF">
        <w:rPr>
          <w:color w:val="000000" w:themeColor="text1"/>
        </w:rPr>
        <w:t xml:space="preserve">that </w:t>
      </w:r>
      <w:r w:rsidR="00932984">
        <w:rPr>
          <w:color w:val="000000" w:themeColor="text1"/>
        </w:rPr>
        <w:t xml:space="preserve">which </w:t>
      </w:r>
      <w:r w:rsidR="00FE2E8F" w:rsidRPr="00294BBF">
        <w:rPr>
          <w:color w:val="000000" w:themeColor="text1"/>
        </w:rPr>
        <w:t xml:space="preserve">is not conditional on regime </w:t>
      </w:r>
      <w:r w:rsidR="002E2469" w:rsidRPr="00294BBF">
        <w:rPr>
          <w:color w:val="000000" w:themeColor="text1"/>
        </w:rPr>
        <w:t>(</w:t>
      </w:r>
      <w:r w:rsidR="00246502" w:rsidRPr="00294BBF">
        <w:rPr>
          <w:color w:val="000000" w:themeColor="text1"/>
        </w:rPr>
        <w:t>STI1,</w:t>
      </w:r>
      <w:r w:rsidR="004C5786" w:rsidRPr="00294BBF">
        <w:rPr>
          <w:color w:val="000000" w:themeColor="text1"/>
        </w:rPr>
        <w:t xml:space="preserve"> Table 2</w:t>
      </w:r>
      <w:r w:rsidR="002E2469" w:rsidRPr="00294BBF">
        <w:rPr>
          <w:color w:val="000000" w:themeColor="text1"/>
        </w:rPr>
        <w:t>)</w:t>
      </w:r>
      <w:r w:rsidR="00FE2E8F" w:rsidRPr="00294BBF">
        <w:rPr>
          <w:color w:val="000000" w:themeColor="text1"/>
        </w:rPr>
        <w:t>, although t</w:t>
      </w:r>
      <w:r w:rsidR="00246502" w:rsidRPr="00294BBF">
        <w:rPr>
          <w:color w:val="000000" w:themeColor="text1"/>
        </w:rPr>
        <w:t>he predictive skill</w:t>
      </w:r>
      <w:r w:rsidR="009A5F4A" w:rsidRPr="00294BBF">
        <w:rPr>
          <w:color w:val="000000" w:themeColor="text1"/>
        </w:rPr>
        <w:t xml:space="preserve"> </w:t>
      </w:r>
      <w:r w:rsidR="00246502" w:rsidRPr="00294BBF">
        <w:rPr>
          <w:color w:val="000000" w:themeColor="text1"/>
        </w:rPr>
        <w:t>of STI2</w:t>
      </w:r>
      <w:r w:rsidR="00FE2E8F" w:rsidRPr="00294BBF">
        <w:rPr>
          <w:color w:val="000000" w:themeColor="text1"/>
        </w:rPr>
        <w:t xml:space="preserve"> was marginally worse</w:t>
      </w:r>
      <w:r w:rsidR="009A5F4A" w:rsidRPr="00294BBF">
        <w:rPr>
          <w:color w:val="000000" w:themeColor="text1"/>
        </w:rPr>
        <w:t>, indicated by slightly lower TSS, PPV and NPV</w:t>
      </w:r>
      <w:r w:rsidR="00FE2E8F" w:rsidRPr="00294BBF">
        <w:rPr>
          <w:color w:val="000000" w:themeColor="text1"/>
        </w:rPr>
        <w:t>.</w:t>
      </w:r>
    </w:p>
    <w:p w14:paraId="3A233D06" w14:textId="2241C62F" w:rsidR="002A56CC" w:rsidRDefault="00DF387D" w:rsidP="000B2B07">
      <w:pPr>
        <w:rPr>
          <w:color w:val="000000" w:themeColor="text1"/>
        </w:rPr>
      </w:pPr>
      <w:r w:rsidRPr="00294BBF">
        <w:rPr>
          <w:color w:val="000000" w:themeColor="text1"/>
        </w:rPr>
        <w:t xml:space="preserve">Comparison of the </w:t>
      </w:r>
      <w:r w:rsidR="00C206EE" w:rsidRPr="00294BBF">
        <w:rPr>
          <w:color w:val="000000" w:themeColor="text1"/>
        </w:rPr>
        <w:t>larval-</w:t>
      </w:r>
      <w:r w:rsidR="00B336FF" w:rsidRPr="00294BBF">
        <w:rPr>
          <w:color w:val="000000" w:themeColor="text1"/>
        </w:rPr>
        <w:t>observation probability</w:t>
      </w:r>
      <w:r w:rsidRPr="00294BBF">
        <w:rPr>
          <w:color w:val="000000" w:themeColor="text1"/>
        </w:rPr>
        <w:t xml:space="preserve"> </w:t>
      </w:r>
      <w:r w:rsidR="00C206EE" w:rsidRPr="00294BBF">
        <w:rPr>
          <w:color w:val="000000" w:themeColor="text1"/>
        </w:rPr>
        <w:t>during</w:t>
      </w:r>
      <w:r w:rsidRPr="00294BBF">
        <w:rPr>
          <w:color w:val="000000" w:themeColor="text1"/>
        </w:rPr>
        <w:t xml:space="preserve"> the two most extreme regimes revealed clear differences</w:t>
      </w:r>
      <w:r w:rsidR="008B7B9C" w:rsidRPr="00294BBF">
        <w:rPr>
          <w:color w:val="000000" w:themeColor="text1"/>
        </w:rPr>
        <w:t xml:space="preserve"> in distribution</w:t>
      </w:r>
      <w:r w:rsidR="002B1AB6">
        <w:rPr>
          <w:color w:val="000000" w:themeColor="text1"/>
        </w:rPr>
        <w:t xml:space="preserve"> (Figure 5)</w:t>
      </w:r>
      <w:r w:rsidR="00675563" w:rsidRPr="00294BBF">
        <w:rPr>
          <w:color w:val="000000" w:themeColor="text1"/>
        </w:rPr>
        <w:t xml:space="preserve">. </w:t>
      </w:r>
      <w:r w:rsidR="00C27032" w:rsidRPr="00294BBF">
        <w:rPr>
          <w:color w:val="000000" w:themeColor="text1"/>
        </w:rPr>
        <w:t xml:space="preserve">A map of the </w:t>
      </w:r>
      <w:r w:rsidR="004048B2" w:rsidRPr="00294BBF">
        <w:rPr>
          <w:color w:val="000000" w:themeColor="text1"/>
        </w:rPr>
        <w:t xml:space="preserve">interpolated </w:t>
      </w:r>
      <w:r w:rsidR="00DE2547" w:rsidRPr="00294BBF">
        <w:rPr>
          <w:color w:val="000000" w:themeColor="text1"/>
        </w:rPr>
        <w:t>larval</w:t>
      </w:r>
      <w:r w:rsidR="004048B2" w:rsidRPr="00294BBF">
        <w:rPr>
          <w:color w:val="000000" w:themeColor="text1"/>
        </w:rPr>
        <w:t xml:space="preserve"> distribution </w:t>
      </w:r>
      <w:r w:rsidR="00C27032" w:rsidRPr="00294BBF">
        <w:rPr>
          <w:color w:val="000000" w:themeColor="text1"/>
        </w:rPr>
        <w:t xml:space="preserve">for April </w:t>
      </w:r>
      <w:r w:rsidR="00C206EE" w:rsidRPr="00294BBF">
        <w:rPr>
          <w:color w:val="000000" w:themeColor="text1"/>
        </w:rPr>
        <w:t>(the peak of larval-</w:t>
      </w:r>
      <w:r w:rsidR="00856DB2" w:rsidRPr="00294BBF">
        <w:rPr>
          <w:color w:val="000000" w:themeColor="text1"/>
        </w:rPr>
        <w:t>presence probability</w:t>
      </w:r>
      <w:r w:rsidR="001F5140" w:rsidRPr="00294BBF">
        <w:rPr>
          <w:color w:val="000000" w:themeColor="text1"/>
        </w:rPr>
        <w:t xml:space="preserve">, </w:t>
      </w:r>
      <w:r w:rsidR="00172D9C" w:rsidRPr="00294BBF">
        <w:rPr>
          <w:color w:val="000000" w:themeColor="text1"/>
        </w:rPr>
        <w:t>corresponding</w:t>
      </w:r>
      <w:r w:rsidR="001F5140" w:rsidRPr="00294BBF">
        <w:rPr>
          <w:color w:val="000000" w:themeColor="text1"/>
        </w:rPr>
        <w:t xml:space="preserve"> to March spawning</w:t>
      </w:r>
      <w:r w:rsidR="00856DB2" w:rsidRPr="00294BBF">
        <w:rPr>
          <w:color w:val="000000" w:themeColor="text1"/>
        </w:rPr>
        <w:t xml:space="preserve">) </w:t>
      </w:r>
      <w:r w:rsidR="00C27032" w:rsidRPr="00294BBF">
        <w:rPr>
          <w:color w:val="000000" w:themeColor="text1"/>
        </w:rPr>
        <w:t xml:space="preserve">highlights a greater westward and northward </w:t>
      </w:r>
      <w:r w:rsidR="00A55644" w:rsidRPr="00294BBF">
        <w:rPr>
          <w:color w:val="000000" w:themeColor="text1"/>
        </w:rPr>
        <w:t xml:space="preserve">larval </w:t>
      </w:r>
      <w:r w:rsidR="00C27032" w:rsidRPr="00294BBF">
        <w:rPr>
          <w:color w:val="000000" w:themeColor="text1"/>
        </w:rPr>
        <w:t>distribution during saline and warm</w:t>
      </w:r>
      <w:r w:rsidR="00542074" w:rsidRPr="00294BBF">
        <w:rPr>
          <w:color w:val="000000" w:themeColor="text1"/>
        </w:rPr>
        <w:t xml:space="preserve"> conditions, peaking at the </w:t>
      </w:r>
      <w:r w:rsidR="00A55644" w:rsidRPr="00294BBF">
        <w:rPr>
          <w:color w:val="000000" w:themeColor="text1"/>
        </w:rPr>
        <w:t>C</w:t>
      </w:r>
      <w:r w:rsidR="00FC5767" w:rsidRPr="00294BBF">
        <w:rPr>
          <w:color w:val="000000" w:themeColor="text1"/>
        </w:rPr>
        <w:t xml:space="preserve">ontinental </w:t>
      </w:r>
      <w:r w:rsidR="00A55644" w:rsidRPr="00294BBF">
        <w:rPr>
          <w:color w:val="000000" w:themeColor="text1"/>
        </w:rPr>
        <w:t>S</w:t>
      </w:r>
      <w:r w:rsidR="00FC5767" w:rsidRPr="00294BBF">
        <w:rPr>
          <w:color w:val="000000" w:themeColor="text1"/>
        </w:rPr>
        <w:t>helf</w:t>
      </w:r>
      <w:r w:rsidR="001F1877" w:rsidRPr="00294BBF">
        <w:rPr>
          <w:color w:val="000000" w:themeColor="text1"/>
        </w:rPr>
        <w:t xml:space="preserve"> </w:t>
      </w:r>
      <w:r w:rsidR="00F74D16" w:rsidRPr="00294BBF">
        <w:rPr>
          <w:color w:val="000000" w:themeColor="text1"/>
        </w:rPr>
        <w:t>edge</w:t>
      </w:r>
      <w:r w:rsidR="004C56CB" w:rsidRPr="00294BBF">
        <w:rPr>
          <w:color w:val="000000" w:themeColor="text1"/>
        </w:rPr>
        <w:t xml:space="preserve"> </w:t>
      </w:r>
      <w:r w:rsidR="00542074" w:rsidRPr="00294BBF">
        <w:rPr>
          <w:color w:val="000000" w:themeColor="text1"/>
        </w:rPr>
        <w:t>with high probabilities extending</w:t>
      </w:r>
      <w:r w:rsidR="00F433D2" w:rsidRPr="00294BBF">
        <w:rPr>
          <w:color w:val="000000" w:themeColor="text1"/>
        </w:rPr>
        <w:t xml:space="preserve"> from the </w:t>
      </w:r>
      <w:r w:rsidR="004C56CB" w:rsidRPr="00294BBF">
        <w:rPr>
          <w:color w:val="000000" w:themeColor="text1"/>
        </w:rPr>
        <w:t xml:space="preserve">shelf edge through the </w:t>
      </w:r>
      <w:r w:rsidR="00F41B00" w:rsidRPr="00294BBF">
        <w:rPr>
          <w:color w:val="000000" w:themeColor="text1"/>
        </w:rPr>
        <w:t xml:space="preserve">Rockall </w:t>
      </w:r>
      <w:r w:rsidR="00A55644" w:rsidRPr="00294BBF">
        <w:rPr>
          <w:color w:val="000000" w:themeColor="text1"/>
        </w:rPr>
        <w:t>T</w:t>
      </w:r>
      <w:r w:rsidR="00F41B00" w:rsidRPr="00294BBF">
        <w:rPr>
          <w:color w:val="000000" w:themeColor="text1"/>
        </w:rPr>
        <w:t xml:space="preserve">rough </w:t>
      </w:r>
      <w:r w:rsidR="004C56CB" w:rsidRPr="00294BBF">
        <w:rPr>
          <w:color w:val="000000" w:themeColor="text1"/>
        </w:rPr>
        <w:t xml:space="preserve">and </w:t>
      </w:r>
      <w:r w:rsidR="00F433D2" w:rsidRPr="00294BBF">
        <w:rPr>
          <w:color w:val="000000" w:themeColor="text1"/>
        </w:rPr>
        <w:t>along</w:t>
      </w:r>
      <w:r w:rsidR="00C27032" w:rsidRPr="00294BBF">
        <w:rPr>
          <w:color w:val="000000" w:themeColor="text1"/>
        </w:rPr>
        <w:t xml:space="preserve"> </w:t>
      </w:r>
      <w:r w:rsidR="00377D73" w:rsidRPr="00294BBF">
        <w:rPr>
          <w:color w:val="000000" w:themeColor="text1"/>
        </w:rPr>
        <w:t xml:space="preserve">the </w:t>
      </w:r>
      <w:r w:rsidR="006F5716" w:rsidRPr="00294BBF">
        <w:rPr>
          <w:color w:val="000000" w:themeColor="text1"/>
        </w:rPr>
        <w:t>north-eastern</w:t>
      </w:r>
      <w:r w:rsidR="00C27032" w:rsidRPr="00294BBF">
        <w:rPr>
          <w:color w:val="000000" w:themeColor="text1"/>
        </w:rPr>
        <w:t xml:space="preserve"> edge </w:t>
      </w:r>
      <w:r w:rsidR="00377D73" w:rsidRPr="00294BBF">
        <w:rPr>
          <w:color w:val="000000" w:themeColor="text1"/>
        </w:rPr>
        <w:t xml:space="preserve">of the Rockall </w:t>
      </w:r>
      <w:r w:rsidR="006F5716" w:rsidRPr="00294BBF">
        <w:rPr>
          <w:color w:val="000000" w:themeColor="text1"/>
        </w:rPr>
        <w:t>P</w:t>
      </w:r>
      <w:r w:rsidR="00377D73" w:rsidRPr="00294BBF">
        <w:rPr>
          <w:color w:val="000000" w:themeColor="text1"/>
        </w:rPr>
        <w:t>latea</w:t>
      </w:r>
      <w:r w:rsidR="00F41B00" w:rsidRPr="00294BBF">
        <w:rPr>
          <w:color w:val="000000" w:themeColor="text1"/>
        </w:rPr>
        <w:t>u</w:t>
      </w:r>
      <w:r w:rsidR="00377D73" w:rsidRPr="00294BBF">
        <w:rPr>
          <w:color w:val="000000" w:themeColor="text1"/>
        </w:rPr>
        <w:t xml:space="preserve"> </w:t>
      </w:r>
      <w:r w:rsidR="00C27032" w:rsidRPr="00294BBF">
        <w:rPr>
          <w:color w:val="000000" w:themeColor="text1"/>
        </w:rPr>
        <w:t>(</w:t>
      </w:r>
      <w:r w:rsidR="00433CC3" w:rsidRPr="00294BBF">
        <w:rPr>
          <w:noProof/>
          <w:color w:val="000000" w:themeColor="text1"/>
        </w:rPr>
        <w:t>Fig. 5</w:t>
      </w:r>
      <w:r w:rsidR="00C27032" w:rsidRPr="00294BBF">
        <w:rPr>
          <w:color w:val="000000" w:themeColor="text1"/>
        </w:rPr>
        <w:t>a)</w:t>
      </w:r>
      <w:r w:rsidR="00830AF8">
        <w:rPr>
          <w:color w:val="000000" w:themeColor="text1"/>
        </w:rPr>
        <w:t>: t</w:t>
      </w:r>
      <w:r w:rsidR="00830AF8" w:rsidRPr="00294BBF">
        <w:rPr>
          <w:color w:val="000000" w:themeColor="text1"/>
        </w:rPr>
        <w:t xml:space="preserve">he peak at 45 </w:t>
      </w:r>
      <w:r w:rsidR="00830AF8" w:rsidRPr="00294BBF">
        <w:rPr>
          <w:bCs/>
          <w:color w:val="000000" w:themeColor="text1"/>
        </w:rPr>
        <w:t>°</w:t>
      </w:r>
      <w:r w:rsidR="00830AF8" w:rsidRPr="00294BBF">
        <w:rPr>
          <w:color w:val="000000" w:themeColor="text1"/>
        </w:rPr>
        <w:t xml:space="preserve">N is  likely to be erroneous, since GAMs perform worse on the edges as opposed to the centre of the modelling domain </w:t>
      </w:r>
      <w:r w:rsidR="00830AF8" w:rsidRPr="00294BBF">
        <w:rPr>
          <w:color w:val="000000" w:themeColor="text1"/>
        </w:rPr>
        <w:fldChar w:fldCharType="begin" w:fldLock="1"/>
      </w:r>
      <w:r w:rsidR="00830AF8" w:rsidRPr="00294BBF">
        <w:rPr>
          <w:color w:val="000000" w:themeColor="text1"/>
        </w:rPr>
        <w:instrText>ADDIN CSL_CITATION { "citationItems" : [ { "id" : "ITEM-1", "itemData" : { "ISBN" : "1584884746", "author" : [ { "dropping-particle" : "", "family" : "Wood", "given" : "Simon N.", "non-dropping-particle" : "", "parse-names" : false, "suffix" : "" } ], "container-title" : "Chapman and Hall/CRC Press", "id" : "ITEM-1", "issued" : { "date-parts" : [ [ "2006" ] ] }, "page" : "410", "publisher-place" : "Boca Raton", "title" : "Generalized Additive Models: An Introduction with R.", "type" : "article-journal" }, "uris" : [ "http://www.mendeley.com/documents/?uuid=7d169491-6f62-4ce9-978d-cf6781a74227" ] } ], "mendeley" : { "formattedCitation" : "(Wood, 2006)", "plainTextFormattedCitation" : "(Wood, 2006)", "previouslyFormattedCitation" : "(Wood, 2006)" }, "properties" : { "noteIndex" : 19 }, "schema" : "https://github.com/citation-style-language/schema/raw/master/csl-citation.json" }</w:instrText>
      </w:r>
      <w:r w:rsidR="00830AF8" w:rsidRPr="00294BBF">
        <w:rPr>
          <w:color w:val="000000" w:themeColor="text1"/>
        </w:rPr>
        <w:fldChar w:fldCharType="separate"/>
      </w:r>
      <w:r w:rsidR="00830AF8" w:rsidRPr="00294BBF">
        <w:rPr>
          <w:noProof/>
          <w:color w:val="000000" w:themeColor="text1"/>
        </w:rPr>
        <w:t>(Wood, 2006)</w:t>
      </w:r>
      <w:r w:rsidR="00830AF8" w:rsidRPr="00294BBF">
        <w:rPr>
          <w:color w:val="000000" w:themeColor="text1"/>
        </w:rPr>
        <w:fldChar w:fldCharType="end"/>
      </w:r>
      <w:r w:rsidR="00830AF8" w:rsidRPr="00294BBF">
        <w:rPr>
          <w:color w:val="000000" w:themeColor="text1"/>
        </w:rPr>
        <w:t>.</w:t>
      </w:r>
      <w:r w:rsidR="00830AF8">
        <w:rPr>
          <w:color w:val="000000" w:themeColor="text1"/>
        </w:rPr>
        <w:t xml:space="preserve"> </w:t>
      </w:r>
      <w:r w:rsidR="00664FAC">
        <w:rPr>
          <w:color w:val="000000" w:themeColor="text1"/>
        </w:rPr>
        <w:t>In contrast, d</w:t>
      </w:r>
      <w:r w:rsidR="00C27032" w:rsidRPr="00294BBF">
        <w:rPr>
          <w:color w:val="000000" w:themeColor="text1"/>
        </w:rPr>
        <w:t xml:space="preserve">uring the fresh and cold regime, the </w:t>
      </w:r>
      <w:r w:rsidR="00700908" w:rsidRPr="00294BBF">
        <w:rPr>
          <w:color w:val="000000" w:themeColor="text1"/>
        </w:rPr>
        <w:t>larvae</w:t>
      </w:r>
      <w:r w:rsidR="00C27032" w:rsidRPr="00294BBF">
        <w:rPr>
          <w:color w:val="000000" w:themeColor="text1"/>
        </w:rPr>
        <w:t xml:space="preserve"> </w:t>
      </w:r>
      <w:r w:rsidR="00700908" w:rsidRPr="00294BBF">
        <w:rPr>
          <w:color w:val="000000" w:themeColor="text1"/>
        </w:rPr>
        <w:t>are</w:t>
      </w:r>
      <w:r w:rsidR="00C27032" w:rsidRPr="00294BBF">
        <w:rPr>
          <w:color w:val="000000" w:themeColor="text1"/>
        </w:rPr>
        <w:t xml:space="preserve"> </w:t>
      </w:r>
      <w:r w:rsidR="007B232B" w:rsidRPr="00294BBF">
        <w:rPr>
          <w:color w:val="000000" w:themeColor="text1"/>
        </w:rPr>
        <w:t xml:space="preserve">more </w:t>
      </w:r>
      <w:r w:rsidR="00C27032" w:rsidRPr="00294BBF">
        <w:rPr>
          <w:color w:val="000000" w:themeColor="text1"/>
        </w:rPr>
        <w:t xml:space="preserve">concentrated </w:t>
      </w:r>
      <w:r w:rsidR="00F41B00" w:rsidRPr="00294BBF">
        <w:rPr>
          <w:color w:val="000000" w:themeColor="text1"/>
        </w:rPr>
        <w:t>within</w:t>
      </w:r>
      <w:r w:rsidR="00C27032" w:rsidRPr="00294BBF">
        <w:rPr>
          <w:color w:val="000000" w:themeColor="text1"/>
        </w:rPr>
        <w:t xml:space="preserve"> </w:t>
      </w:r>
      <w:r w:rsidR="006F5716" w:rsidRPr="00294BBF">
        <w:rPr>
          <w:color w:val="000000" w:themeColor="text1"/>
        </w:rPr>
        <w:t>Rockall Trough</w:t>
      </w:r>
      <w:r w:rsidR="00C27032" w:rsidRPr="00294BBF">
        <w:rPr>
          <w:color w:val="000000" w:themeColor="text1"/>
        </w:rPr>
        <w:t xml:space="preserve"> and along the </w:t>
      </w:r>
      <w:r w:rsidR="003E2E94" w:rsidRPr="00294BBF">
        <w:rPr>
          <w:color w:val="000000" w:themeColor="text1"/>
        </w:rPr>
        <w:t>shelf edge</w:t>
      </w:r>
      <w:r w:rsidR="00C27032" w:rsidRPr="00294BBF">
        <w:rPr>
          <w:color w:val="000000" w:themeColor="text1"/>
        </w:rPr>
        <w:t xml:space="preserve"> (</w:t>
      </w:r>
      <w:r w:rsidR="00433CC3" w:rsidRPr="00294BBF">
        <w:rPr>
          <w:noProof/>
          <w:color w:val="000000" w:themeColor="text1"/>
        </w:rPr>
        <w:t>Fig. 5</w:t>
      </w:r>
      <w:r w:rsidR="00C27032" w:rsidRPr="00294BBF">
        <w:rPr>
          <w:color w:val="000000" w:themeColor="text1"/>
        </w:rPr>
        <w:t xml:space="preserve">b). The probability </w:t>
      </w:r>
      <w:r w:rsidR="00C27032" w:rsidRPr="00294BBF">
        <w:rPr>
          <w:color w:val="000000" w:themeColor="text1"/>
        </w:rPr>
        <w:lastRenderedPageBreak/>
        <w:t xml:space="preserve">difference plot </w:t>
      </w:r>
      <w:r w:rsidR="00856DB2" w:rsidRPr="00294BBF">
        <w:rPr>
          <w:color w:val="000000" w:themeColor="text1"/>
        </w:rPr>
        <w:t>(</w:t>
      </w:r>
      <w:r w:rsidR="00433CC3" w:rsidRPr="00294BBF">
        <w:rPr>
          <w:noProof/>
          <w:color w:val="000000" w:themeColor="text1"/>
        </w:rPr>
        <w:t>Fig. 5</w:t>
      </w:r>
      <w:r w:rsidR="00856DB2" w:rsidRPr="00294BBF">
        <w:rPr>
          <w:color w:val="000000" w:themeColor="text1"/>
        </w:rPr>
        <w:t xml:space="preserve">c) </w:t>
      </w:r>
      <w:r w:rsidR="00C2712A" w:rsidRPr="00294BBF">
        <w:rPr>
          <w:color w:val="000000" w:themeColor="text1"/>
        </w:rPr>
        <w:t>highlights</w:t>
      </w:r>
      <w:r w:rsidR="00C27032" w:rsidRPr="00294BBF">
        <w:rPr>
          <w:color w:val="000000" w:themeColor="text1"/>
        </w:rPr>
        <w:t xml:space="preserve"> regions that are most dissimilar between the regimes: </w:t>
      </w:r>
      <w:r w:rsidR="004C7C85" w:rsidRPr="00294BBF">
        <w:rPr>
          <w:color w:val="000000" w:themeColor="text1"/>
        </w:rPr>
        <w:t>d</w:t>
      </w:r>
      <w:r w:rsidR="00C27032" w:rsidRPr="00294BBF">
        <w:rPr>
          <w:color w:val="000000" w:themeColor="text1"/>
        </w:rPr>
        <w:t xml:space="preserve">uring the saline and warm regime </w:t>
      </w:r>
      <w:r w:rsidR="00A36275" w:rsidRPr="00294BBF">
        <w:rPr>
          <w:color w:val="000000" w:themeColor="text1"/>
        </w:rPr>
        <w:t xml:space="preserve">the </w:t>
      </w:r>
      <w:r w:rsidR="00C27032" w:rsidRPr="00294BBF">
        <w:rPr>
          <w:color w:val="000000" w:themeColor="text1"/>
        </w:rPr>
        <w:t>probability of larva</w:t>
      </w:r>
      <w:r w:rsidR="00C206EE" w:rsidRPr="00294BBF">
        <w:rPr>
          <w:color w:val="000000" w:themeColor="text1"/>
        </w:rPr>
        <w:t>l-</w:t>
      </w:r>
      <w:r w:rsidR="00A36275" w:rsidRPr="00294BBF">
        <w:rPr>
          <w:color w:val="000000" w:themeColor="text1"/>
        </w:rPr>
        <w:t>presence is higher</w:t>
      </w:r>
      <w:r w:rsidR="00C27032" w:rsidRPr="00294BBF">
        <w:rPr>
          <w:color w:val="000000" w:themeColor="text1"/>
        </w:rPr>
        <w:t xml:space="preserve"> </w:t>
      </w:r>
      <w:r w:rsidR="007B232B" w:rsidRPr="00294BBF">
        <w:rPr>
          <w:color w:val="000000" w:themeColor="text1"/>
        </w:rPr>
        <w:t xml:space="preserve">in the vicinity of </w:t>
      </w:r>
      <w:r w:rsidR="006F5716" w:rsidRPr="00294BBF">
        <w:rPr>
          <w:color w:val="000000" w:themeColor="text1"/>
        </w:rPr>
        <w:t>Rockall Plateau</w:t>
      </w:r>
      <w:r w:rsidR="007B232B" w:rsidRPr="00294BBF">
        <w:rPr>
          <w:color w:val="000000" w:themeColor="text1"/>
        </w:rPr>
        <w:t xml:space="preserve">, in </w:t>
      </w:r>
      <w:r w:rsidR="00F433D2" w:rsidRPr="00294BBF">
        <w:rPr>
          <w:color w:val="000000" w:themeColor="text1"/>
        </w:rPr>
        <w:t>particular</w:t>
      </w:r>
      <w:r w:rsidR="00C27032" w:rsidRPr="00294BBF">
        <w:rPr>
          <w:color w:val="000000" w:themeColor="text1"/>
        </w:rPr>
        <w:t xml:space="preserve"> towards its </w:t>
      </w:r>
      <w:r w:rsidR="00F41B00" w:rsidRPr="00294BBF">
        <w:rPr>
          <w:color w:val="000000" w:themeColor="text1"/>
        </w:rPr>
        <w:t xml:space="preserve">west and </w:t>
      </w:r>
      <w:r w:rsidR="00C27032" w:rsidRPr="00294BBF">
        <w:rPr>
          <w:color w:val="000000" w:themeColor="text1"/>
        </w:rPr>
        <w:t xml:space="preserve">north up to 63 </w:t>
      </w:r>
      <w:r w:rsidR="00C27032" w:rsidRPr="00294BBF">
        <w:rPr>
          <w:rFonts w:cs="Times New Roman"/>
          <w:color w:val="000000" w:themeColor="text1"/>
        </w:rPr>
        <w:t xml:space="preserve">ºN, </w:t>
      </w:r>
      <w:r w:rsidR="004E35F3" w:rsidRPr="00294BBF">
        <w:rPr>
          <w:rFonts w:cs="Times New Roman"/>
          <w:color w:val="000000" w:themeColor="text1"/>
        </w:rPr>
        <w:t>in contrast</w:t>
      </w:r>
      <w:r w:rsidR="00C27032" w:rsidRPr="00294BBF">
        <w:rPr>
          <w:rFonts w:cs="Times New Roman"/>
          <w:color w:val="000000" w:themeColor="text1"/>
        </w:rPr>
        <w:t xml:space="preserve"> to the fresh and cold regime, </w:t>
      </w:r>
      <w:r w:rsidR="00C27032" w:rsidRPr="00294BBF">
        <w:rPr>
          <w:color w:val="000000" w:themeColor="text1"/>
        </w:rPr>
        <w:t>whe</w:t>
      </w:r>
      <w:r w:rsidR="00CE5051" w:rsidRPr="00294BBF">
        <w:rPr>
          <w:color w:val="000000" w:themeColor="text1"/>
        </w:rPr>
        <w:t>n</w:t>
      </w:r>
      <w:r w:rsidR="00C27032" w:rsidRPr="00294BBF">
        <w:rPr>
          <w:color w:val="000000" w:themeColor="text1"/>
        </w:rPr>
        <w:t xml:space="preserve"> larvae are encountered with a higher probability </w:t>
      </w:r>
      <w:r w:rsidR="00F41B00" w:rsidRPr="00294BBF">
        <w:rPr>
          <w:color w:val="000000" w:themeColor="text1"/>
        </w:rPr>
        <w:t xml:space="preserve">along the </w:t>
      </w:r>
      <w:r w:rsidR="00A36275" w:rsidRPr="00294BBF">
        <w:rPr>
          <w:color w:val="000000" w:themeColor="text1"/>
        </w:rPr>
        <w:t>shelf edge</w:t>
      </w:r>
      <w:r w:rsidR="00F41B00" w:rsidRPr="00294BBF">
        <w:rPr>
          <w:color w:val="000000" w:themeColor="text1"/>
        </w:rPr>
        <w:t>, on Porcupine Bank and extending into Rockall Trough</w:t>
      </w:r>
      <w:r w:rsidR="00536FF4" w:rsidRPr="00294BBF">
        <w:rPr>
          <w:color w:val="000000" w:themeColor="text1"/>
        </w:rPr>
        <w:t>.</w:t>
      </w:r>
      <w:r w:rsidR="002D59F1" w:rsidRPr="00294BBF">
        <w:rPr>
          <w:color w:val="000000" w:themeColor="text1"/>
        </w:rPr>
        <w:t xml:space="preserve"> Also of note is the abse</w:t>
      </w:r>
      <w:r w:rsidR="00A55644" w:rsidRPr="00294BBF">
        <w:rPr>
          <w:color w:val="000000" w:themeColor="text1"/>
        </w:rPr>
        <w:t xml:space="preserve">nce of larvae in the Porcupine </w:t>
      </w:r>
      <w:proofErr w:type="spellStart"/>
      <w:r w:rsidR="00A55644" w:rsidRPr="00294BBF">
        <w:rPr>
          <w:color w:val="000000" w:themeColor="text1"/>
        </w:rPr>
        <w:t>S</w:t>
      </w:r>
      <w:r w:rsidR="002D59F1" w:rsidRPr="00294BBF">
        <w:rPr>
          <w:color w:val="000000" w:themeColor="text1"/>
        </w:rPr>
        <w:t>eabigh</w:t>
      </w:r>
      <w:r w:rsidR="004E35F3" w:rsidRPr="00294BBF">
        <w:rPr>
          <w:color w:val="000000" w:themeColor="text1"/>
        </w:rPr>
        <w:t>t</w:t>
      </w:r>
      <w:proofErr w:type="spellEnd"/>
      <w:r w:rsidR="004E35F3" w:rsidRPr="00294BBF">
        <w:rPr>
          <w:color w:val="000000" w:themeColor="text1"/>
        </w:rPr>
        <w:t xml:space="preserve"> during warm and saline </w:t>
      </w:r>
      <w:r w:rsidR="00F33CEB">
        <w:rPr>
          <w:color w:val="000000" w:themeColor="text1"/>
        </w:rPr>
        <w:t>years</w:t>
      </w:r>
      <w:r w:rsidR="002D59F1" w:rsidRPr="00294BBF">
        <w:rPr>
          <w:color w:val="000000" w:themeColor="text1"/>
        </w:rPr>
        <w:t>.</w:t>
      </w:r>
    </w:p>
    <w:p w14:paraId="6F08B7BE" w14:textId="3A9B8902" w:rsidR="00065C02" w:rsidRPr="00294BBF" w:rsidRDefault="00095B84" w:rsidP="002E5DA6">
      <w:pPr>
        <w:rPr>
          <w:color w:val="000000" w:themeColor="text1"/>
        </w:rPr>
      </w:pPr>
      <w:r w:rsidRPr="00294BBF">
        <w:rPr>
          <w:color w:val="000000" w:themeColor="text1"/>
        </w:rPr>
        <w:t xml:space="preserve">These differences </w:t>
      </w:r>
      <w:r w:rsidR="00856DB2" w:rsidRPr="00294BBF">
        <w:rPr>
          <w:color w:val="000000" w:themeColor="text1"/>
        </w:rPr>
        <w:t xml:space="preserve">are also </w:t>
      </w:r>
      <w:r w:rsidRPr="00294BBF">
        <w:rPr>
          <w:color w:val="000000" w:themeColor="text1"/>
        </w:rPr>
        <w:t xml:space="preserve">reflected </w:t>
      </w:r>
      <w:r w:rsidR="00856DB2" w:rsidRPr="00294BBF">
        <w:rPr>
          <w:color w:val="000000" w:themeColor="text1"/>
        </w:rPr>
        <w:t xml:space="preserve">in the </w:t>
      </w:r>
      <w:r w:rsidR="002A56CC">
        <w:rPr>
          <w:color w:val="000000" w:themeColor="text1"/>
          <w:lang w:val="en-US"/>
        </w:rPr>
        <w:t>temporal</w:t>
      </w:r>
      <w:r w:rsidR="002A56CC" w:rsidRPr="00294BBF">
        <w:rPr>
          <w:color w:val="000000" w:themeColor="text1"/>
          <w:lang w:val="en-US"/>
        </w:rPr>
        <w:t xml:space="preserve"> </w:t>
      </w:r>
      <w:r w:rsidR="003F437A" w:rsidRPr="00294BBF">
        <w:rPr>
          <w:color w:val="000000" w:themeColor="text1"/>
          <w:lang w:val="en-US"/>
        </w:rPr>
        <w:t>changes in the distribution</w:t>
      </w:r>
      <w:r w:rsidR="003F437A" w:rsidRPr="00294BBF">
        <w:rPr>
          <w:color w:val="000000" w:themeColor="text1"/>
        </w:rPr>
        <w:t xml:space="preserve"> </w:t>
      </w:r>
      <w:r w:rsidR="00856DB2" w:rsidRPr="00294BBF">
        <w:rPr>
          <w:color w:val="000000" w:themeColor="text1"/>
        </w:rPr>
        <w:t xml:space="preserve">of </w:t>
      </w:r>
      <w:r w:rsidR="00A55644" w:rsidRPr="00294BBF">
        <w:rPr>
          <w:color w:val="000000" w:themeColor="text1"/>
        </w:rPr>
        <w:t xml:space="preserve">larvae </w:t>
      </w:r>
      <w:r w:rsidR="00856DB2" w:rsidRPr="00294BBF">
        <w:rPr>
          <w:color w:val="000000" w:themeColor="text1"/>
        </w:rPr>
        <w:t>between the regimes.</w:t>
      </w:r>
      <w:r w:rsidR="003D5E1C" w:rsidRPr="00294BBF">
        <w:rPr>
          <w:color w:val="000000" w:themeColor="text1"/>
        </w:rPr>
        <w:t xml:space="preserve"> While a northward progression of spawning over time was </w:t>
      </w:r>
      <w:r w:rsidR="005F64BA" w:rsidRPr="00294BBF">
        <w:rPr>
          <w:color w:val="000000" w:themeColor="text1"/>
        </w:rPr>
        <w:t xml:space="preserve">apparent </w:t>
      </w:r>
      <w:r w:rsidR="003D5E1C" w:rsidRPr="00294BBF">
        <w:rPr>
          <w:color w:val="000000" w:themeColor="text1"/>
        </w:rPr>
        <w:t xml:space="preserve">during both regimes, the onset and latitudinal distribution of </w:t>
      </w:r>
      <w:r w:rsidR="00BD4064" w:rsidRPr="00294BBF">
        <w:rPr>
          <w:color w:val="000000" w:themeColor="text1"/>
        </w:rPr>
        <w:t xml:space="preserve">larval appearance </w:t>
      </w:r>
      <w:r w:rsidR="003D5E1C" w:rsidRPr="00294BBF">
        <w:rPr>
          <w:color w:val="000000" w:themeColor="text1"/>
        </w:rPr>
        <w:t>differed (</w:t>
      </w:r>
      <w:r w:rsidR="008A7F42" w:rsidRPr="00294BBF">
        <w:rPr>
          <w:noProof/>
          <w:color w:val="000000" w:themeColor="text1"/>
        </w:rPr>
        <w:t>Fig. 5d,f</w:t>
      </w:r>
      <w:r w:rsidR="003D5E1C" w:rsidRPr="00294BBF">
        <w:rPr>
          <w:color w:val="000000" w:themeColor="text1"/>
        </w:rPr>
        <w:t xml:space="preserve">). During the fresh and cold regime, </w:t>
      </w:r>
      <w:r w:rsidR="00673FA8" w:rsidRPr="00294BBF">
        <w:rPr>
          <w:color w:val="000000" w:themeColor="text1"/>
        </w:rPr>
        <w:t>significant amounts of larvae</w:t>
      </w:r>
      <w:r w:rsidR="007F6C8D" w:rsidRPr="00294BBF">
        <w:rPr>
          <w:color w:val="000000" w:themeColor="text1"/>
        </w:rPr>
        <w:t xml:space="preserve"> </w:t>
      </w:r>
      <w:r w:rsidR="00A40F82" w:rsidRPr="00294BBF">
        <w:rPr>
          <w:color w:val="000000" w:themeColor="text1"/>
        </w:rPr>
        <w:t>are</w:t>
      </w:r>
      <w:r w:rsidR="007F6C8D" w:rsidRPr="00294BBF">
        <w:rPr>
          <w:color w:val="000000" w:themeColor="text1"/>
        </w:rPr>
        <w:t xml:space="preserve"> first seen</w:t>
      </w:r>
      <w:r w:rsidR="003D5E1C" w:rsidRPr="00294BBF">
        <w:rPr>
          <w:color w:val="000000" w:themeColor="text1"/>
        </w:rPr>
        <w:t xml:space="preserve"> in mid- to late-March at latitudes of around 50 </w:t>
      </w:r>
      <w:r w:rsidR="003D5E1C" w:rsidRPr="00294BBF">
        <w:rPr>
          <w:bCs/>
          <w:color w:val="000000" w:themeColor="text1"/>
        </w:rPr>
        <w:t>°</w:t>
      </w:r>
      <w:r w:rsidR="003D5E1C" w:rsidRPr="00294BBF">
        <w:rPr>
          <w:color w:val="000000" w:themeColor="text1"/>
        </w:rPr>
        <w:t xml:space="preserve">N, </w:t>
      </w:r>
      <w:r w:rsidR="000852CF">
        <w:rPr>
          <w:color w:val="000000" w:themeColor="text1"/>
        </w:rPr>
        <w:t xml:space="preserve">associated with </w:t>
      </w:r>
      <w:r w:rsidR="003D5E1C" w:rsidRPr="00294BBF">
        <w:rPr>
          <w:color w:val="000000" w:themeColor="text1"/>
        </w:rPr>
        <w:t xml:space="preserve">of Porcupine </w:t>
      </w:r>
      <w:proofErr w:type="spellStart"/>
      <w:r w:rsidR="003D5E1C" w:rsidRPr="00294BBF">
        <w:rPr>
          <w:color w:val="000000" w:themeColor="text1"/>
        </w:rPr>
        <w:t>Seabight</w:t>
      </w:r>
      <w:proofErr w:type="spellEnd"/>
      <w:r w:rsidR="003D5E1C" w:rsidRPr="00294BBF">
        <w:rPr>
          <w:color w:val="000000" w:themeColor="text1"/>
        </w:rPr>
        <w:t xml:space="preserve"> </w:t>
      </w:r>
      <w:r w:rsidR="000852CF">
        <w:rPr>
          <w:color w:val="000000" w:themeColor="text1"/>
        </w:rPr>
        <w:t xml:space="preserve">spawning area </w:t>
      </w:r>
      <w:r w:rsidR="003D5E1C" w:rsidRPr="00294BBF">
        <w:rPr>
          <w:color w:val="000000" w:themeColor="text1"/>
        </w:rPr>
        <w:t>(</w:t>
      </w:r>
      <w:r w:rsidR="008A7F42" w:rsidRPr="00294BBF">
        <w:rPr>
          <w:noProof/>
          <w:color w:val="000000" w:themeColor="text1"/>
        </w:rPr>
        <w:t>Fig. 5</w:t>
      </w:r>
      <w:r w:rsidR="008A7F42" w:rsidRPr="00294BBF">
        <w:rPr>
          <w:color w:val="000000" w:themeColor="text1"/>
        </w:rPr>
        <w:t>e</w:t>
      </w:r>
      <w:r w:rsidR="003D5E1C" w:rsidRPr="00294BBF">
        <w:rPr>
          <w:color w:val="000000" w:themeColor="text1"/>
        </w:rPr>
        <w:t>)</w:t>
      </w:r>
      <w:r w:rsidR="00F16024">
        <w:rPr>
          <w:color w:val="000000" w:themeColor="text1"/>
        </w:rPr>
        <w:t xml:space="preserve">. Conversely, </w:t>
      </w:r>
      <w:r w:rsidR="00D811C0" w:rsidRPr="00294BBF">
        <w:rPr>
          <w:color w:val="000000" w:themeColor="text1"/>
        </w:rPr>
        <w:t>larval appearance</w:t>
      </w:r>
      <w:r w:rsidR="003D5E1C" w:rsidRPr="00294BBF">
        <w:rPr>
          <w:color w:val="000000" w:themeColor="text1"/>
        </w:rPr>
        <w:t xml:space="preserve"> generally </w:t>
      </w:r>
      <w:r w:rsidR="00D811C0" w:rsidRPr="00294BBF">
        <w:rPr>
          <w:color w:val="000000" w:themeColor="text1"/>
        </w:rPr>
        <w:t xml:space="preserve">commences </w:t>
      </w:r>
      <w:r w:rsidR="00484E9F" w:rsidRPr="00294BBF">
        <w:rPr>
          <w:color w:val="000000" w:themeColor="text1"/>
        </w:rPr>
        <w:t>later at higher</w:t>
      </w:r>
      <w:r w:rsidR="00F416F3" w:rsidRPr="00294BBF">
        <w:rPr>
          <w:color w:val="000000" w:themeColor="text1"/>
        </w:rPr>
        <w:t xml:space="preserve"> latitude</w:t>
      </w:r>
      <w:r w:rsidR="00484E9F" w:rsidRPr="00294BBF">
        <w:rPr>
          <w:color w:val="000000" w:themeColor="text1"/>
        </w:rPr>
        <w:t>s</w:t>
      </w:r>
      <w:r w:rsidR="00F416F3" w:rsidRPr="00294BBF">
        <w:rPr>
          <w:color w:val="000000" w:themeColor="text1"/>
        </w:rPr>
        <w:t xml:space="preserve"> </w:t>
      </w:r>
      <w:r w:rsidR="00F16024" w:rsidRPr="00294BBF">
        <w:rPr>
          <w:color w:val="000000" w:themeColor="text1"/>
        </w:rPr>
        <w:t xml:space="preserve">during the saline and warm regime </w:t>
      </w:r>
      <w:r w:rsidR="00F16024">
        <w:rPr>
          <w:color w:val="000000" w:themeColor="text1"/>
        </w:rPr>
        <w:t xml:space="preserve">when </w:t>
      </w:r>
      <w:r w:rsidR="001430EF">
        <w:rPr>
          <w:color w:val="000000" w:themeColor="text1"/>
        </w:rPr>
        <w:t xml:space="preserve">the Porcupine </w:t>
      </w:r>
      <w:proofErr w:type="spellStart"/>
      <w:r w:rsidR="001430EF">
        <w:rPr>
          <w:color w:val="000000" w:themeColor="text1"/>
        </w:rPr>
        <w:t>Seabight</w:t>
      </w:r>
      <w:proofErr w:type="spellEnd"/>
      <w:r w:rsidR="00F16024">
        <w:rPr>
          <w:color w:val="000000" w:themeColor="text1"/>
        </w:rPr>
        <w:t xml:space="preserve"> spawning </w:t>
      </w:r>
      <w:r w:rsidR="001430EF">
        <w:rPr>
          <w:color w:val="000000" w:themeColor="text1"/>
        </w:rPr>
        <w:t xml:space="preserve">area </w:t>
      </w:r>
      <w:r w:rsidR="00F16024">
        <w:rPr>
          <w:color w:val="000000" w:themeColor="text1"/>
        </w:rPr>
        <w:t xml:space="preserve">is </w:t>
      </w:r>
      <w:r w:rsidR="001430EF">
        <w:rPr>
          <w:color w:val="000000" w:themeColor="text1"/>
        </w:rPr>
        <w:t>not used</w:t>
      </w:r>
      <w:r w:rsidR="00F16024">
        <w:rPr>
          <w:color w:val="000000" w:themeColor="text1"/>
        </w:rPr>
        <w:t xml:space="preserve"> </w:t>
      </w:r>
      <w:r w:rsidR="003D5E1C" w:rsidRPr="00294BBF">
        <w:rPr>
          <w:color w:val="000000" w:themeColor="text1"/>
        </w:rPr>
        <w:t>(</w:t>
      </w:r>
      <w:r w:rsidR="00433CC3" w:rsidRPr="00294BBF">
        <w:rPr>
          <w:noProof/>
          <w:color w:val="000000" w:themeColor="text1"/>
        </w:rPr>
        <w:t>Fig.</w:t>
      </w:r>
      <w:r w:rsidR="008A7F42" w:rsidRPr="00294BBF">
        <w:rPr>
          <w:noProof/>
          <w:color w:val="000000" w:themeColor="text1"/>
        </w:rPr>
        <w:t xml:space="preserve"> 5</w:t>
      </w:r>
      <w:r w:rsidR="008A7F42" w:rsidRPr="00294BBF">
        <w:rPr>
          <w:color w:val="000000" w:themeColor="text1"/>
        </w:rPr>
        <w:t>d</w:t>
      </w:r>
      <w:r w:rsidR="003D5E1C" w:rsidRPr="00294BBF">
        <w:rPr>
          <w:color w:val="000000" w:themeColor="text1"/>
        </w:rPr>
        <w:t>), as highlighted by the probability difference plot (</w:t>
      </w:r>
      <w:r w:rsidR="008A7F42" w:rsidRPr="00294BBF">
        <w:rPr>
          <w:noProof/>
          <w:color w:val="000000" w:themeColor="text1"/>
        </w:rPr>
        <w:t>Fig. 5f</w:t>
      </w:r>
      <w:r w:rsidR="003D5E1C" w:rsidRPr="00294BBF">
        <w:rPr>
          <w:color w:val="000000" w:themeColor="text1"/>
        </w:rPr>
        <w:t>).</w:t>
      </w:r>
      <w:r w:rsidR="00D811C0" w:rsidRPr="00294BBF">
        <w:rPr>
          <w:color w:val="000000" w:themeColor="text1"/>
        </w:rPr>
        <w:t xml:space="preserve"> </w:t>
      </w:r>
      <w:r w:rsidR="003C1520" w:rsidRPr="00294BBF">
        <w:rPr>
          <w:color w:val="000000" w:themeColor="text1"/>
        </w:rPr>
        <w:t>Furthermore,</w:t>
      </w:r>
      <w:r w:rsidR="00EC5B09" w:rsidRPr="00294BBF">
        <w:rPr>
          <w:color w:val="000000" w:themeColor="text1"/>
        </w:rPr>
        <w:t xml:space="preserve"> while</w:t>
      </w:r>
      <w:r w:rsidR="003C1520" w:rsidRPr="00294BBF">
        <w:rPr>
          <w:color w:val="000000" w:themeColor="text1"/>
        </w:rPr>
        <w:t xml:space="preserve"> t</w:t>
      </w:r>
      <w:r w:rsidR="00501267" w:rsidRPr="00294BBF">
        <w:rPr>
          <w:color w:val="000000" w:themeColor="text1"/>
        </w:rPr>
        <w:t xml:space="preserve">he peak of larval </w:t>
      </w:r>
      <w:r w:rsidR="00DE2547" w:rsidRPr="00294BBF">
        <w:rPr>
          <w:color w:val="000000" w:themeColor="text1"/>
        </w:rPr>
        <w:t>occurrence</w:t>
      </w:r>
      <w:r w:rsidR="00501267" w:rsidRPr="00294BBF">
        <w:rPr>
          <w:color w:val="000000" w:themeColor="text1"/>
        </w:rPr>
        <w:t xml:space="preserve"> probably occurs </w:t>
      </w:r>
      <w:r w:rsidR="00A53361">
        <w:rPr>
          <w:color w:val="000000" w:themeColor="text1"/>
        </w:rPr>
        <w:t>at</w:t>
      </w:r>
      <w:r w:rsidR="00501267" w:rsidRPr="00294BBF">
        <w:rPr>
          <w:color w:val="000000" w:themeColor="text1"/>
        </w:rPr>
        <w:t xml:space="preserve"> approximately the same latitude and </w:t>
      </w:r>
      <w:r w:rsidR="00716C92" w:rsidRPr="00294BBF">
        <w:rPr>
          <w:color w:val="000000" w:themeColor="text1"/>
        </w:rPr>
        <w:t xml:space="preserve">day-of-year </w:t>
      </w:r>
      <w:r w:rsidR="00501267" w:rsidRPr="00294BBF">
        <w:rPr>
          <w:color w:val="000000" w:themeColor="text1"/>
        </w:rPr>
        <w:t>in both regimes</w:t>
      </w:r>
      <w:r w:rsidR="008B4747" w:rsidRPr="00294BBF">
        <w:rPr>
          <w:color w:val="000000" w:themeColor="text1"/>
        </w:rPr>
        <w:t xml:space="preserve">, </w:t>
      </w:r>
      <w:r w:rsidR="00C206EE" w:rsidRPr="00294BBF">
        <w:rPr>
          <w:color w:val="000000" w:themeColor="text1"/>
        </w:rPr>
        <w:t>larval-</w:t>
      </w:r>
      <w:r w:rsidR="00536FF4" w:rsidRPr="00294BBF">
        <w:rPr>
          <w:color w:val="000000" w:themeColor="text1"/>
        </w:rPr>
        <w:t>observation probabilities</w:t>
      </w:r>
      <w:r w:rsidR="003D5E1C" w:rsidRPr="00294BBF">
        <w:rPr>
          <w:color w:val="000000" w:themeColor="text1"/>
        </w:rPr>
        <w:t xml:space="preserve"> </w:t>
      </w:r>
      <w:r w:rsidR="00536FF4" w:rsidRPr="00294BBF">
        <w:rPr>
          <w:color w:val="000000" w:themeColor="text1"/>
        </w:rPr>
        <w:t xml:space="preserve">are </w:t>
      </w:r>
      <w:r w:rsidR="00EC5B09" w:rsidRPr="00294BBF">
        <w:rPr>
          <w:color w:val="000000" w:themeColor="text1"/>
        </w:rPr>
        <w:t xml:space="preserve">generally </w:t>
      </w:r>
      <w:r w:rsidR="00536FF4" w:rsidRPr="00294BBF">
        <w:rPr>
          <w:color w:val="000000" w:themeColor="text1"/>
        </w:rPr>
        <w:t>higher</w:t>
      </w:r>
      <w:r w:rsidR="003D5E1C" w:rsidRPr="00294BBF">
        <w:rPr>
          <w:color w:val="000000" w:themeColor="text1"/>
        </w:rPr>
        <w:t xml:space="preserve"> during the warm and saline regime, </w:t>
      </w:r>
      <w:r w:rsidR="007617A9" w:rsidRPr="00294BBF">
        <w:rPr>
          <w:color w:val="000000" w:themeColor="text1"/>
        </w:rPr>
        <w:t xml:space="preserve">peak probabilities </w:t>
      </w:r>
      <w:r w:rsidR="007617A9" w:rsidRPr="00294BBF">
        <w:rPr>
          <w:color w:val="000000" w:themeColor="text1"/>
          <w:lang w:val="en-US"/>
        </w:rPr>
        <w:t>(</w:t>
      </w:r>
      <w:r w:rsidR="00065C02" w:rsidRPr="00294BBF">
        <w:rPr>
          <w:color w:val="000000" w:themeColor="text1"/>
          <w:lang w:val="en-US"/>
        </w:rPr>
        <w:t xml:space="preserve">p </w:t>
      </w:r>
      <w:r w:rsidR="00065C02" w:rsidRPr="00294BBF">
        <w:rPr>
          <w:rFonts w:cs="Times New Roman"/>
          <w:color w:val="000000" w:themeColor="text1"/>
          <w:lang w:val="en-US"/>
        </w:rPr>
        <w:t>≥</w:t>
      </w:r>
      <w:r w:rsidR="00065C02" w:rsidRPr="00294BBF">
        <w:rPr>
          <w:color w:val="000000" w:themeColor="text1"/>
          <w:lang w:val="en-US"/>
        </w:rPr>
        <w:t xml:space="preserve"> </w:t>
      </w:r>
      <w:r w:rsidR="007617A9" w:rsidRPr="00294BBF">
        <w:rPr>
          <w:color w:val="000000" w:themeColor="text1"/>
          <w:lang w:val="en-US"/>
        </w:rPr>
        <w:t xml:space="preserve">0.225) </w:t>
      </w:r>
      <w:r w:rsidR="003D5E1C" w:rsidRPr="00294BBF">
        <w:rPr>
          <w:color w:val="000000" w:themeColor="text1"/>
        </w:rPr>
        <w:t xml:space="preserve">persist over a longer period and are found at higher latitudes compared to the fresh and cold regime.  </w:t>
      </w:r>
      <w:r w:rsidR="00065C02" w:rsidRPr="00294BBF">
        <w:rPr>
          <w:color w:val="000000" w:themeColor="text1"/>
        </w:rPr>
        <w:tab/>
      </w:r>
      <w:r w:rsidR="00065C02" w:rsidRPr="00294BBF">
        <w:rPr>
          <w:color w:val="000000" w:themeColor="text1"/>
        </w:rPr>
        <w:br/>
      </w:r>
      <w:r w:rsidR="004C6A1B">
        <w:rPr>
          <w:color w:val="000000" w:themeColor="text1"/>
        </w:rPr>
        <w:t xml:space="preserve">While we have focused primarily on the extremes of the distribution as a way to understand the modes of variability, it is important to note that the intermediate regime also </w:t>
      </w:r>
      <w:proofErr w:type="gramStart"/>
      <w:r w:rsidR="004C6A1B">
        <w:rPr>
          <w:color w:val="000000" w:themeColor="text1"/>
        </w:rPr>
        <w:t>occurs</w:t>
      </w:r>
      <w:proofErr w:type="gramEnd"/>
      <w:r w:rsidR="004C6A1B">
        <w:rPr>
          <w:color w:val="000000" w:themeColor="text1"/>
        </w:rPr>
        <w:t xml:space="preserve"> approximately one-third of the time. Comparison of the distributions of spawning in this regime in time and space reveal that it is, as the name suggests, </w:t>
      </w:r>
      <w:r w:rsidR="004C6A1B">
        <w:rPr>
          <w:color w:val="000000" w:themeColor="text1"/>
        </w:rPr>
        <w:lastRenderedPageBreak/>
        <w:t xml:space="preserve">intermediate between the two extremes, with a more northerly distribution and reduced (although not eliminated) spawning in Porcupine </w:t>
      </w:r>
      <w:proofErr w:type="spellStart"/>
      <w:r w:rsidR="004C6A1B">
        <w:rPr>
          <w:color w:val="000000" w:themeColor="text1"/>
        </w:rPr>
        <w:t>Seabight</w:t>
      </w:r>
      <w:proofErr w:type="spellEnd"/>
      <w:r w:rsidR="004C6A1B">
        <w:rPr>
          <w:color w:val="000000" w:themeColor="text1"/>
        </w:rPr>
        <w:t xml:space="preserve">. </w:t>
      </w:r>
      <w:r w:rsidR="002E5DA6">
        <w:rPr>
          <w:color w:val="000000" w:themeColor="text1"/>
        </w:rPr>
        <w:t>Westward</w:t>
      </w:r>
      <w:r w:rsidR="004C6A1B">
        <w:rPr>
          <w:color w:val="000000" w:themeColor="text1"/>
        </w:rPr>
        <w:t xml:space="preserve"> extension, however, is limited, and the distribution does not extend much beyond the Rockall trough.</w:t>
      </w:r>
      <w:r w:rsidR="00214389" w:rsidRPr="00294BBF">
        <w:rPr>
          <w:color w:val="000000" w:themeColor="text1"/>
        </w:rPr>
        <w:t xml:space="preserve"> (Figure S2 and S3)</w:t>
      </w:r>
      <w:r w:rsidR="007551AD">
        <w:rPr>
          <w:color w:val="000000" w:themeColor="text1"/>
        </w:rPr>
        <w:t>.</w:t>
      </w:r>
    </w:p>
    <w:p w14:paraId="0EE45820" w14:textId="238990BD" w:rsidR="00C27032" w:rsidRPr="00294BBF" w:rsidRDefault="00161B41" w:rsidP="00C27032">
      <w:pPr>
        <w:pStyle w:val="Overskrift3"/>
        <w:rPr>
          <w:color w:val="000000" w:themeColor="text1"/>
        </w:rPr>
      </w:pPr>
      <w:bookmarkStart w:id="18" w:name="_Toc487401367"/>
      <w:r w:rsidRPr="00294BBF">
        <w:rPr>
          <w:color w:val="000000" w:themeColor="text1"/>
        </w:rPr>
        <w:t>Species distribution m</w:t>
      </w:r>
      <w:r w:rsidR="007E5AF5" w:rsidRPr="00294BBF">
        <w:rPr>
          <w:color w:val="000000" w:themeColor="text1"/>
        </w:rPr>
        <w:t>odelling</w:t>
      </w:r>
      <w:bookmarkEnd w:id="18"/>
    </w:p>
    <w:p w14:paraId="12546A86" w14:textId="44D16333" w:rsidR="0001224B" w:rsidRDefault="006B206B" w:rsidP="00E21125">
      <w:pPr>
        <w:rPr>
          <w:rFonts w:cs="Times New Roman"/>
          <w:color w:val="000000" w:themeColor="text1"/>
        </w:rPr>
      </w:pPr>
      <w:r w:rsidRPr="00294BBF">
        <w:rPr>
          <w:rStyle w:val="Overskrift4Tegn"/>
          <w:color w:val="000000" w:themeColor="text1"/>
        </w:rPr>
        <w:t>Model s</w:t>
      </w:r>
      <w:r w:rsidR="00C57009" w:rsidRPr="00294BBF">
        <w:rPr>
          <w:rStyle w:val="Overskrift4Tegn"/>
          <w:color w:val="000000" w:themeColor="text1"/>
        </w:rPr>
        <w:t>election</w:t>
      </w:r>
      <w:r w:rsidR="00161B41" w:rsidRPr="00294BBF">
        <w:rPr>
          <w:rStyle w:val="Overskrift4Tegn"/>
          <w:color w:val="000000" w:themeColor="text1"/>
        </w:rPr>
        <w:tab/>
      </w:r>
      <w:r w:rsidR="00161B41" w:rsidRPr="00294BBF">
        <w:rPr>
          <w:b/>
          <w:color w:val="000000" w:themeColor="text1"/>
        </w:rPr>
        <w:br/>
      </w:r>
      <w:r w:rsidR="002E4892" w:rsidRPr="00294BBF">
        <w:rPr>
          <w:color w:val="000000" w:themeColor="text1"/>
        </w:rPr>
        <w:t xml:space="preserve">Species distribution modelling proceeded </w:t>
      </w:r>
      <w:r w:rsidR="00A1064C" w:rsidRPr="00294BBF">
        <w:rPr>
          <w:color w:val="000000" w:themeColor="text1"/>
        </w:rPr>
        <w:t>in two steps, first considering the optimal structure for geographical predictors, and then further considering environmental predictors</w:t>
      </w:r>
      <w:r w:rsidR="00D21412" w:rsidRPr="00294BBF">
        <w:rPr>
          <w:color w:val="000000" w:themeColor="text1"/>
        </w:rPr>
        <w:t xml:space="preserve"> on top of the best geographical model</w:t>
      </w:r>
      <w:r w:rsidR="00A1064C" w:rsidRPr="00294BBF">
        <w:rPr>
          <w:color w:val="000000" w:themeColor="text1"/>
        </w:rPr>
        <w:t>.</w:t>
      </w:r>
      <w:r w:rsidR="00C57009" w:rsidRPr="00294BBF">
        <w:rPr>
          <w:color w:val="000000" w:themeColor="text1"/>
        </w:rPr>
        <w:t xml:space="preserve"> </w:t>
      </w:r>
      <w:r w:rsidR="00C52DA4" w:rsidRPr="00294BBF">
        <w:rPr>
          <w:color w:val="000000" w:themeColor="text1"/>
        </w:rPr>
        <w:t>Including depth into the geographical model</w:t>
      </w:r>
      <w:r w:rsidR="002D5EC1" w:rsidRPr="00294BBF">
        <w:rPr>
          <w:color w:val="000000" w:themeColor="text1"/>
        </w:rPr>
        <w:t xml:space="preserve"> </w:t>
      </w:r>
      <w:r w:rsidR="00C52DA4" w:rsidRPr="00294BBF">
        <w:rPr>
          <w:color w:val="000000" w:themeColor="text1"/>
        </w:rPr>
        <w:t>(</w:t>
      </w:r>
      <w:r w:rsidR="004E35F3" w:rsidRPr="00294BBF">
        <w:rPr>
          <w:color w:val="000000" w:themeColor="text1"/>
        </w:rPr>
        <w:t>GEO2,</w:t>
      </w:r>
      <w:r w:rsidR="004C5786" w:rsidRPr="00294BBF">
        <w:rPr>
          <w:color w:val="000000" w:themeColor="text1"/>
        </w:rPr>
        <w:t xml:space="preserve"> Table 3</w:t>
      </w:r>
      <w:r w:rsidR="00C52DA4" w:rsidRPr="00294BBF">
        <w:rPr>
          <w:color w:val="000000" w:themeColor="text1"/>
        </w:rPr>
        <w:t>) enhanced model skill</w:t>
      </w:r>
      <w:r w:rsidR="002D5EC1" w:rsidRPr="00294BBF">
        <w:rPr>
          <w:color w:val="000000" w:themeColor="text1"/>
        </w:rPr>
        <w:t xml:space="preserve"> compared to the starting model (</w:t>
      </w:r>
      <w:r w:rsidR="004E35F3" w:rsidRPr="00294BBF">
        <w:rPr>
          <w:color w:val="000000" w:themeColor="text1"/>
        </w:rPr>
        <w:t>GEO1,</w:t>
      </w:r>
      <w:r w:rsidR="004C5786" w:rsidRPr="00294BBF">
        <w:rPr>
          <w:color w:val="000000" w:themeColor="text1"/>
        </w:rPr>
        <w:t xml:space="preserve"> Table 3</w:t>
      </w:r>
      <w:r w:rsidR="002D5EC1" w:rsidRPr="00294BBF">
        <w:rPr>
          <w:color w:val="000000" w:themeColor="text1"/>
        </w:rPr>
        <w:t>).</w:t>
      </w:r>
      <w:r w:rsidR="00C52DA4" w:rsidRPr="00294BBF">
        <w:rPr>
          <w:color w:val="000000" w:themeColor="text1"/>
        </w:rPr>
        <w:t xml:space="preserve"> Improve</w:t>
      </w:r>
      <w:r w:rsidR="002D5EC1" w:rsidRPr="00294BBF">
        <w:rPr>
          <w:color w:val="000000" w:themeColor="text1"/>
        </w:rPr>
        <w:t xml:space="preserve">ments were seen in terms of AIC, </w:t>
      </w:r>
      <w:r w:rsidR="00C52DA4" w:rsidRPr="00294BBF">
        <w:rPr>
          <w:color w:val="000000" w:themeColor="text1"/>
        </w:rPr>
        <w:t xml:space="preserve">explained deviance, and </w:t>
      </w:r>
      <w:r w:rsidR="002D5EC1" w:rsidRPr="00294BBF">
        <w:rPr>
          <w:color w:val="000000" w:themeColor="text1"/>
        </w:rPr>
        <w:t>enhanced</w:t>
      </w:r>
      <w:r w:rsidR="00C52DA4" w:rsidRPr="00294BBF">
        <w:rPr>
          <w:color w:val="000000" w:themeColor="text1"/>
        </w:rPr>
        <w:t xml:space="preserve"> predictive ability</w:t>
      </w:r>
      <w:r w:rsidR="002D5EC1" w:rsidRPr="00294BBF">
        <w:rPr>
          <w:color w:val="000000" w:themeColor="text1"/>
        </w:rPr>
        <w:t xml:space="preserve"> </w:t>
      </w:r>
      <w:r w:rsidR="00536FF4" w:rsidRPr="00294BBF">
        <w:rPr>
          <w:color w:val="000000" w:themeColor="text1"/>
        </w:rPr>
        <w:t>compared to</w:t>
      </w:r>
      <w:r w:rsidR="00D207E6">
        <w:rPr>
          <w:color w:val="000000" w:themeColor="text1"/>
        </w:rPr>
        <w:t xml:space="preserve"> the baseline model</w:t>
      </w:r>
      <w:r w:rsidR="00536FF4" w:rsidRPr="00294BBF">
        <w:rPr>
          <w:color w:val="000000" w:themeColor="text1"/>
        </w:rPr>
        <w:t xml:space="preserve"> </w:t>
      </w:r>
      <w:r w:rsidR="002D5EC1" w:rsidRPr="00294BBF">
        <w:rPr>
          <w:color w:val="000000" w:themeColor="text1"/>
        </w:rPr>
        <w:t>(</w:t>
      </w:r>
      <w:r w:rsidR="004C5786" w:rsidRPr="00294BBF">
        <w:rPr>
          <w:color w:val="000000" w:themeColor="text1"/>
        </w:rPr>
        <w:t>Table 3</w:t>
      </w:r>
      <w:r w:rsidR="002D5EC1" w:rsidRPr="00294BBF">
        <w:rPr>
          <w:color w:val="000000" w:themeColor="text1"/>
        </w:rPr>
        <w:t>).</w:t>
      </w:r>
      <w:r w:rsidR="00C52DA4" w:rsidRPr="00294BBF">
        <w:rPr>
          <w:color w:val="000000" w:themeColor="text1"/>
        </w:rPr>
        <w:t xml:space="preserve"> However, the addition of </w:t>
      </w:r>
      <w:r w:rsidR="00377A4B" w:rsidRPr="00294BBF">
        <w:rPr>
          <w:color w:val="000000" w:themeColor="text1"/>
        </w:rPr>
        <w:t xml:space="preserve">seabed </w:t>
      </w:r>
      <w:r w:rsidR="00C52DA4" w:rsidRPr="00294BBF">
        <w:rPr>
          <w:color w:val="000000" w:themeColor="text1"/>
        </w:rPr>
        <w:t>slope did not increase model skill further</w:t>
      </w:r>
      <w:r w:rsidR="00E27834" w:rsidRPr="00294BBF">
        <w:rPr>
          <w:color w:val="000000" w:themeColor="text1"/>
        </w:rPr>
        <w:t xml:space="preserve">, either alone (GEO3) or </w:t>
      </w:r>
      <w:r w:rsidR="00972999" w:rsidRPr="00294BBF">
        <w:rPr>
          <w:color w:val="000000" w:themeColor="text1"/>
        </w:rPr>
        <w:t>in combination with depth (GEO4,</w:t>
      </w:r>
      <w:r w:rsidR="004C5786" w:rsidRPr="00294BBF">
        <w:rPr>
          <w:color w:val="000000" w:themeColor="text1"/>
        </w:rPr>
        <w:t xml:space="preserve"> Table 3</w:t>
      </w:r>
      <w:r w:rsidR="00E27834" w:rsidRPr="00294BBF">
        <w:rPr>
          <w:noProof/>
          <w:color w:val="000000" w:themeColor="text1"/>
        </w:rPr>
        <w:t>)</w:t>
      </w:r>
      <w:r w:rsidR="00C52DA4" w:rsidRPr="00294BBF">
        <w:rPr>
          <w:color w:val="000000" w:themeColor="text1"/>
        </w:rPr>
        <w:t xml:space="preserve">. For further analysis, the simpler geographical model structure </w:t>
      </w:r>
      <w:r w:rsidR="00CD0168" w:rsidRPr="00294BBF">
        <w:rPr>
          <w:color w:val="000000" w:themeColor="text1"/>
        </w:rPr>
        <w:t xml:space="preserve">GEO2 </w:t>
      </w:r>
      <w:r w:rsidR="00C52DA4" w:rsidRPr="00294BBF">
        <w:rPr>
          <w:rFonts w:cs="Times New Roman"/>
          <w:color w:val="000000" w:themeColor="text1"/>
        </w:rPr>
        <w:t xml:space="preserve">was </w:t>
      </w:r>
      <w:r w:rsidR="008135AF" w:rsidRPr="00294BBF">
        <w:rPr>
          <w:rFonts w:cs="Times New Roman"/>
          <w:color w:val="000000" w:themeColor="text1"/>
        </w:rPr>
        <w:t>as chosen as a</w:t>
      </w:r>
      <w:r w:rsidR="00C8450B">
        <w:rPr>
          <w:rFonts w:cs="Times New Roman"/>
          <w:color w:val="000000" w:themeColor="text1"/>
        </w:rPr>
        <w:t xml:space="preserve"> refined</w:t>
      </w:r>
      <w:r w:rsidR="00CD0168" w:rsidRPr="00294BBF">
        <w:rPr>
          <w:rFonts w:cs="Times New Roman"/>
          <w:color w:val="000000" w:themeColor="text1"/>
        </w:rPr>
        <w:t xml:space="preserve"> baseline model for incorporating environmental </w:t>
      </w:r>
      <w:r w:rsidR="008135AF" w:rsidRPr="00294BBF">
        <w:rPr>
          <w:rFonts w:cs="Times New Roman"/>
          <w:color w:val="000000" w:themeColor="text1"/>
        </w:rPr>
        <w:t>variability.</w:t>
      </w:r>
    </w:p>
    <w:p w14:paraId="05B54710" w14:textId="754BC503" w:rsidR="0001224B" w:rsidRDefault="008135AF" w:rsidP="00E21125">
      <w:pPr>
        <w:rPr>
          <w:color w:val="000000" w:themeColor="text1"/>
        </w:rPr>
      </w:pPr>
      <w:r w:rsidRPr="00294BBF">
        <w:rPr>
          <w:rFonts w:eastAsia="Times New Roman" w:cs="Times New Roman"/>
          <w:color w:val="000000" w:themeColor="text1"/>
          <w:lang w:eastAsia="en-GB"/>
        </w:rPr>
        <w:t xml:space="preserve">The </w:t>
      </w:r>
      <w:r w:rsidR="002D5EC1" w:rsidRPr="00294BBF">
        <w:rPr>
          <w:rFonts w:eastAsia="Times New Roman" w:cs="Times New Roman"/>
          <w:color w:val="000000" w:themeColor="text1"/>
          <w:lang w:eastAsia="en-GB"/>
        </w:rPr>
        <w:t>addition of environmental variables to</w:t>
      </w:r>
      <w:r w:rsidRPr="00294BBF">
        <w:rPr>
          <w:rFonts w:eastAsia="Times New Roman" w:cs="Times New Roman"/>
          <w:color w:val="000000" w:themeColor="text1"/>
          <w:lang w:eastAsia="en-GB"/>
        </w:rPr>
        <w:t xml:space="preserve"> the </w:t>
      </w:r>
      <w:r w:rsidR="002D5EC1" w:rsidRPr="00294BBF">
        <w:rPr>
          <w:rFonts w:eastAsia="Times New Roman" w:cs="Times New Roman"/>
          <w:color w:val="000000" w:themeColor="text1"/>
          <w:lang w:eastAsia="en-GB"/>
        </w:rPr>
        <w:t xml:space="preserve">geographical baseline </w:t>
      </w:r>
      <w:r w:rsidRPr="00294BBF">
        <w:rPr>
          <w:rFonts w:eastAsia="Times New Roman" w:cs="Times New Roman"/>
          <w:color w:val="000000" w:themeColor="text1"/>
          <w:lang w:eastAsia="en-GB"/>
        </w:rPr>
        <w:t>model further improved</w:t>
      </w:r>
      <w:r w:rsidR="001D1E10" w:rsidRPr="00294BBF">
        <w:rPr>
          <w:rFonts w:eastAsia="Times New Roman" w:cs="Times New Roman"/>
          <w:color w:val="000000" w:themeColor="text1"/>
          <w:lang w:eastAsia="en-GB"/>
        </w:rPr>
        <w:t xml:space="preserve"> the</w:t>
      </w:r>
      <w:r w:rsidR="00E5279F" w:rsidRPr="00294BBF">
        <w:rPr>
          <w:rFonts w:eastAsia="Times New Roman" w:cs="Times New Roman"/>
          <w:color w:val="000000" w:themeColor="text1"/>
          <w:lang w:eastAsia="en-GB"/>
        </w:rPr>
        <w:t xml:space="preserve"> </w:t>
      </w:r>
      <w:r w:rsidRPr="00294BBF">
        <w:rPr>
          <w:rFonts w:eastAsia="Times New Roman" w:cs="Times New Roman"/>
          <w:color w:val="000000" w:themeColor="text1"/>
          <w:lang w:eastAsia="en-GB"/>
        </w:rPr>
        <w:t>fit</w:t>
      </w:r>
      <w:r w:rsidR="002D5EC1" w:rsidRPr="00294BBF">
        <w:rPr>
          <w:rFonts w:eastAsia="Times New Roman" w:cs="Times New Roman"/>
          <w:color w:val="000000" w:themeColor="text1"/>
          <w:lang w:eastAsia="en-GB"/>
        </w:rPr>
        <w:t xml:space="preserve"> and slightly increased the predictive performance</w:t>
      </w:r>
      <w:r w:rsidR="00DE747A" w:rsidRPr="00294BBF">
        <w:rPr>
          <w:rFonts w:eastAsia="Times New Roman" w:cs="Times New Roman"/>
          <w:color w:val="000000" w:themeColor="text1"/>
          <w:lang w:eastAsia="en-GB"/>
        </w:rPr>
        <w:t xml:space="preserve"> (</w:t>
      </w:r>
      <w:r w:rsidR="004C5786" w:rsidRPr="00294BBF">
        <w:rPr>
          <w:color w:val="000000" w:themeColor="text1"/>
        </w:rPr>
        <w:t>Table 4</w:t>
      </w:r>
      <w:r w:rsidR="00DE747A" w:rsidRPr="00294BBF">
        <w:rPr>
          <w:rFonts w:eastAsia="Times New Roman" w:cs="Times New Roman"/>
          <w:color w:val="000000" w:themeColor="text1"/>
          <w:lang w:eastAsia="en-GB"/>
        </w:rPr>
        <w:t>)</w:t>
      </w:r>
      <w:r w:rsidRPr="00294BBF">
        <w:rPr>
          <w:rFonts w:eastAsia="Times New Roman" w:cs="Times New Roman"/>
          <w:color w:val="000000" w:themeColor="text1"/>
          <w:lang w:eastAsia="en-GB"/>
        </w:rPr>
        <w:t xml:space="preserve">. </w:t>
      </w:r>
      <w:r w:rsidR="00A708A4" w:rsidRPr="00294BBF">
        <w:rPr>
          <w:rFonts w:cs="Times New Roman"/>
          <w:color w:val="000000" w:themeColor="text1"/>
        </w:rPr>
        <w:t>Extending the baseline model</w:t>
      </w:r>
      <w:r w:rsidRPr="00294BBF">
        <w:rPr>
          <w:rFonts w:cs="Times New Roman"/>
          <w:color w:val="000000" w:themeColor="text1"/>
        </w:rPr>
        <w:t xml:space="preserve"> to incorporate inter-annual variation of T and S reduced the AIC</w:t>
      </w:r>
      <w:r w:rsidR="00CC1C5C" w:rsidRPr="00294BBF">
        <w:rPr>
          <w:rFonts w:cs="Times New Roman"/>
          <w:color w:val="000000" w:themeColor="text1"/>
        </w:rPr>
        <w:t xml:space="preserve"> </w:t>
      </w:r>
      <w:r w:rsidR="00424E1A" w:rsidRPr="00294BBF">
        <w:rPr>
          <w:rFonts w:cs="Times New Roman"/>
          <w:color w:val="000000" w:themeColor="text1"/>
        </w:rPr>
        <w:t>up</w:t>
      </w:r>
      <w:r w:rsidR="00CC1C5C" w:rsidRPr="00294BBF">
        <w:rPr>
          <w:rFonts w:cs="Times New Roman"/>
          <w:color w:val="000000" w:themeColor="text1"/>
        </w:rPr>
        <w:t xml:space="preserve"> to</w:t>
      </w:r>
      <w:r w:rsidR="00540B7C" w:rsidRPr="00294BBF">
        <w:rPr>
          <w:rFonts w:cs="Times New Roman"/>
          <w:color w:val="000000" w:themeColor="text1"/>
        </w:rPr>
        <w:t xml:space="preserve"> nearly</w:t>
      </w:r>
      <w:r w:rsidR="00CC1C5C" w:rsidRPr="00294BBF">
        <w:rPr>
          <w:rFonts w:cs="Times New Roman"/>
          <w:color w:val="000000" w:themeColor="text1"/>
        </w:rPr>
        <w:t xml:space="preserve"> 150 units</w:t>
      </w:r>
      <w:r w:rsidR="001D1E10" w:rsidRPr="00294BBF">
        <w:rPr>
          <w:rFonts w:cs="Times New Roman"/>
          <w:color w:val="000000" w:themeColor="text1"/>
        </w:rPr>
        <w:t>,</w:t>
      </w:r>
      <w:r w:rsidR="00A708A4" w:rsidRPr="00294BBF">
        <w:rPr>
          <w:rFonts w:eastAsia="Times New Roman" w:cs="Times New Roman"/>
          <w:color w:val="000000" w:themeColor="text1"/>
          <w:lang w:eastAsia="en-GB"/>
        </w:rPr>
        <w:t xml:space="preserve"> indicating a great improvement</w:t>
      </w:r>
      <w:r w:rsidR="00A708A4" w:rsidRPr="00294BBF">
        <w:rPr>
          <w:rFonts w:eastAsia="Times New Roman"/>
          <w:color w:val="000000" w:themeColor="text1"/>
          <w:lang w:eastAsia="en-GB"/>
        </w:rPr>
        <w:t xml:space="preserve"> in model </w:t>
      </w:r>
      <w:r w:rsidR="00FB4F0B">
        <w:rPr>
          <w:rFonts w:eastAsia="Times New Roman"/>
          <w:color w:val="000000" w:themeColor="text1"/>
          <w:lang w:eastAsia="en-GB"/>
        </w:rPr>
        <w:t>parsimony</w:t>
      </w:r>
      <w:r w:rsidR="00FB4F0B" w:rsidRPr="00294BBF">
        <w:rPr>
          <w:rFonts w:eastAsia="Times New Roman"/>
          <w:color w:val="000000" w:themeColor="text1"/>
          <w:lang w:eastAsia="en-GB"/>
        </w:rPr>
        <w:t xml:space="preserve"> </w:t>
      </w:r>
      <w:r w:rsidRPr="00294BBF">
        <w:rPr>
          <w:rFonts w:cs="Times New Roman"/>
          <w:color w:val="000000" w:themeColor="text1"/>
        </w:rPr>
        <w:t>(</w:t>
      </w:r>
      <w:r w:rsidR="004C5786" w:rsidRPr="00294BBF">
        <w:rPr>
          <w:color w:val="000000" w:themeColor="text1"/>
        </w:rPr>
        <w:t>Table 4</w:t>
      </w:r>
      <w:r w:rsidRPr="00294BBF">
        <w:rPr>
          <w:rFonts w:eastAsia="Times New Roman" w:cs="Times New Roman"/>
          <w:color w:val="000000" w:themeColor="text1"/>
          <w:lang w:eastAsia="en-GB"/>
        </w:rPr>
        <w:t>)</w:t>
      </w:r>
      <w:r w:rsidR="00695D6D">
        <w:rPr>
          <w:rFonts w:eastAsia="Times New Roman"/>
          <w:color w:val="000000" w:themeColor="text1"/>
          <w:lang w:eastAsia="en-GB"/>
        </w:rPr>
        <w:t xml:space="preserve">: </w:t>
      </w:r>
      <w:r w:rsidR="0023390C" w:rsidRPr="00294BBF">
        <w:rPr>
          <w:rFonts w:cs="Times New Roman"/>
          <w:color w:val="000000" w:themeColor="text1"/>
        </w:rPr>
        <w:t>m</w:t>
      </w:r>
      <w:r w:rsidR="0023390C" w:rsidRPr="00294BBF">
        <w:rPr>
          <w:color w:val="000000" w:themeColor="text1"/>
        </w:rPr>
        <w:t xml:space="preserve">odels with a difference in AIC above about 15 to 20 are judged as </w:t>
      </w:r>
      <w:r w:rsidR="00E1235A">
        <w:rPr>
          <w:color w:val="000000" w:themeColor="text1"/>
        </w:rPr>
        <w:t xml:space="preserve">being strongly different </w:t>
      </w:r>
      <w:r w:rsidR="0023390C" w:rsidRPr="00294BBF">
        <w:rPr>
          <w:color w:val="000000" w:themeColor="text1"/>
        </w:rPr>
        <w:fldChar w:fldCharType="begin" w:fldLock="1"/>
      </w:r>
      <w:r w:rsidR="0023390C" w:rsidRPr="00294BBF">
        <w:rPr>
          <w:color w:val="000000" w:themeColor="text1"/>
        </w:rPr>
        <w:instrText>ADDIN CSL_CITATION { "citationItems" : [ { "id" : "ITEM-1", "itemData" : { "DOI" : "10.1007/978-0-387-74075-1", "ISBN" : "9780387740737", "ISSN" : "00033472", "PMID" : "20940640", "abstract" : "The abstract concept of \"information\" can be quantified and this has led to many important advances in the analysis of data in the empirical sciences. This text focuses on a science philosophy based on \"multiple working hypotheses\" and statistical models to represent them. The fundamental science question relates to the empirical evidence for hypotheses in this seta formal strength of evidence. Kullback-Leibler information is the information lost when a model is used to approximate full reality. Hirotugu Akaike found a link between K-L information (a cornerstone of information theory) and the maximized log-likelihood (a cornerstone of mathematical statistics). This combination has become the basis for a new paradigm in model based inference. The text advocates formal inference from all the hypotheses/models in the a priori setmultimodel inference. This compelling approach allows a simple ranking of the science hypothesis and their models. Simple methods are introduced for computing the likelihood of model i, given the data; the probability of model i, given the data; and evidence ratios. These quantities represent a formal strength of evidence and are easy to compute and understand, given the estimated model parameters and associated quantities (e.g., residual sum of squares, maximized log-likelihood, and covariance matrices). Additional forms of multimodel inference include model averaging, unconditional variances, and ways to rank the relative importance of predictor variables. This textbook is written for people new to the information-theoretic approaches to statistical inference, whether graduate students, post-docs, or professionals in various universities, agencies or institutes. Readers are expected to have a background in general statistical principles, regression analysis, and some exposure to likelihood methods. This is not an elementary text as it assumes reasonable competence in modeling and parameter estimation. DAVID R. ANDERSON retired recently from serving as a senior scientist with the U.S. Geological Survey and professor in the Department of Fish, Wildlife, and Conservation Biology at Colorado State University. He has an emeritus professorship at CSU and is president of the Applied Information Company in Fort Collins. He has authored 18 scientific books and research monographs and over 100 journal publications. He has received a variety of awards, including U.S. Department of Interiors Meritorious Service Award and The Wildlife Society\u2026", "author" : [ { "dropping-particle" : "", "family" : "Anderson", "given" : "David R.", "non-dropping-particle" : "", "parse-names" : false, "suffix" : "" } ], "container-title" : "Model Based Inference in the Life Sciences: A Primer on Evidence", "id" : "ITEM-1", "issued" : { "date-parts" : [ [ "2008" ] ] }, "number-of-pages" : "1-184", "publisher" : "Springer Science &amp; Business Media", "publisher-place" : "New York", "title" : "Model based inference in the life sciences: A primer on evidence", "type" : "book" }, "uris" : [ "http://www.mendeley.com/documents/?uuid=4c4fdc75-d1e9-464b-96c2-3db702229ae6", "http://www.mendeley.com/documents/?uuid=476e67f8-51a3-4ab8-911a-13453dd765cd" ] } ], "mendeley" : { "formattedCitation" : "(Anderson, 2008)", "plainTextFormattedCitation" : "(Anderson, 2008)", "previouslyFormattedCitation" : "(Anderson, 2008)" }, "properties" : { "noteIndex" : 0 }, "schema" : "https://github.com/citation-style-language/schema/raw/master/csl-citation.json" }</w:instrText>
      </w:r>
      <w:r w:rsidR="0023390C" w:rsidRPr="00294BBF">
        <w:rPr>
          <w:color w:val="000000" w:themeColor="text1"/>
        </w:rPr>
        <w:fldChar w:fldCharType="separate"/>
      </w:r>
      <w:r w:rsidR="0023390C" w:rsidRPr="00294BBF">
        <w:rPr>
          <w:noProof/>
          <w:color w:val="000000" w:themeColor="text1"/>
        </w:rPr>
        <w:t>(Anderson, 2008)</w:t>
      </w:r>
      <w:r w:rsidR="0023390C" w:rsidRPr="00294BBF">
        <w:rPr>
          <w:color w:val="000000" w:themeColor="text1"/>
        </w:rPr>
        <w:fldChar w:fldCharType="end"/>
      </w:r>
      <w:r w:rsidR="0023390C" w:rsidRPr="00294BBF">
        <w:rPr>
          <w:color w:val="000000" w:themeColor="text1"/>
        </w:rPr>
        <w:t xml:space="preserve">, </w:t>
      </w:r>
      <w:r w:rsidR="002D76ED">
        <w:rPr>
          <w:color w:val="000000" w:themeColor="text1"/>
        </w:rPr>
        <w:t xml:space="preserve">meaning that this is </w:t>
      </w:r>
      <w:r w:rsidR="0023390C" w:rsidRPr="00294BBF">
        <w:rPr>
          <w:color w:val="000000" w:themeColor="text1"/>
        </w:rPr>
        <w:t xml:space="preserve">strong evidence that inter-annual variation </w:t>
      </w:r>
      <w:r w:rsidR="00143981">
        <w:rPr>
          <w:color w:val="000000" w:themeColor="text1"/>
        </w:rPr>
        <w:t xml:space="preserve">in environmental conditions </w:t>
      </w:r>
      <w:r w:rsidR="0023390C" w:rsidRPr="00294BBF">
        <w:rPr>
          <w:color w:val="000000" w:themeColor="text1"/>
        </w:rPr>
        <w:t>play</w:t>
      </w:r>
      <w:r w:rsidR="00143981">
        <w:rPr>
          <w:color w:val="000000" w:themeColor="text1"/>
        </w:rPr>
        <w:t>s</w:t>
      </w:r>
      <w:r w:rsidR="0023390C" w:rsidRPr="00294BBF">
        <w:rPr>
          <w:color w:val="000000" w:themeColor="text1"/>
        </w:rPr>
        <w:t xml:space="preserve"> a key role in </w:t>
      </w:r>
      <w:r w:rsidR="00803FEC">
        <w:rPr>
          <w:color w:val="000000" w:themeColor="text1"/>
        </w:rPr>
        <w:t xml:space="preserve">shaping </w:t>
      </w:r>
      <w:r w:rsidR="0023390C" w:rsidRPr="00294BBF">
        <w:rPr>
          <w:color w:val="000000" w:themeColor="text1"/>
        </w:rPr>
        <w:t>the spawning distribution of blue whiting.</w:t>
      </w:r>
    </w:p>
    <w:p w14:paraId="0B5CA84E" w14:textId="6E91AA4E" w:rsidR="007E07DE" w:rsidRPr="00294BBF" w:rsidRDefault="008A7993" w:rsidP="00E21125">
      <w:pPr>
        <w:rPr>
          <w:color w:val="000000" w:themeColor="text1"/>
        </w:rPr>
      </w:pPr>
      <w:r>
        <w:rPr>
          <w:color w:val="000000" w:themeColor="text1"/>
        </w:rPr>
        <w:lastRenderedPageBreak/>
        <w:t>However, the choice of the best environmental model is not immediately clear. The best three models (SDMs 3, 6, 7) are within 1 AIC unit of each other, and the fourth</w:t>
      </w:r>
      <w:r w:rsidR="003D11CE">
        <w:rPr>
          <w:color w:val="000000" w:themeColor="text1"/>
        </w:rPr>
        <w:t xml:space="preserve"> (SDM 8)</w:t>
      </w:r>
      <w:r>
        <w:rPr>
          <w:color w:val="000000" w:themeColor="text1"/>
        </w:rPr>
        <w:t xml:space="preserve"> is 8 AIC units different. Furthermore, while the predictive skill of these models varies, the differences are generally minor</w:t>
      </w:r>
      <w:r w:rsidR="00CE162E">
        <w:rPr>
          <w:color w:val="000000" w:themeColor="text1"/>
        </w:rPr>
        <w:t>: a</w:t>
      </w:r>
      <w:r>
        <w:rPr>
          <w:color w:val="000000" w:themeColor="text1"/>
        </w:rPr>
        <w:t>ny of these four models could potentially be chosen as the “best model”</w:t>
      </w:r>
      <w:r w:rsidR="003D11CE">
        <w:rPr>
          <w:color w:val="000000" w:themeColor="text1"/>
        </w:rPr>
        <w:t xml:space="preserve"> (for the sake of simplicity of interpretation we have chosen not to employ an ensemble approach or model averaging).</w:t>
      </w:r>
      <w:r w:rsidR="00715127">
        <w:rPr>
          <w:color w:val="000000" w:themeColor="text1"/>
        </w:rPr>
        <w:t xml:space="preserve"> Upon closer examination, we can see that t</w:t>
      </w:r>
      <w:r w:rsidR="000D1A49">
        <w:rPr>
          <w:color w:val="000000" w:themeColor="text1"/>
        </w:rPr>
        <w:t>he best of these models, SDM 7, gets good results using two-dimensional interactions between surface variables (SSS and SST) as it’s explanatory variables, even though neither of these terms show much skill individ</w:t>
      </w:r>
      <w:r w:rsidR="000C1428">
        <w:rPr>
          <w:color w:val="000000" w:themeColor="text1"/>
        </w:rPr>
        <w:t>ually (i.e.</w:t>
      </w:r>
      <w:r w:rsidR="000D1A49">
        <w:rPr>
          <w:color w:val="000000" w:themeColor="text1"/>
        </w:rPr>
        <w:t xml:space="preserve"> SDMs 1 and 2). Examination of the form of this smoother indicates dependencies that are hard to reconcile biologically and it is furthermore </w:t>
      </w:r>
      <w:r w:rsidR="00403926">
        <w:rPr>
          <w:color w:val="000000" w:themeColor="text1"/>
        </w:rPr>
        <w:t xml:space="preserve">difficult </w:t>
      </w:r>
      <w:r w:rsidR="000D1A49">
        <w:rPr>
          <w:color w:val="000000" w:themeColor="text1"/>
        </w:rPr>
        <w:t xml:space="preserve">to understand why surface variables would be determining for a species that lives primarily at depth. Conversely, </w:t>
      </w:r>
      <w:r w:rsidR="00016BD6">
        <w:rPr>
          <w:color w:val="000000" w:themeColor="text1"/>
        </w:rPr>
        <w:t>all</w:t>
      </w:r>
      <w:r w:rsidR="000D1A49">
        <w:rPr>
          <w:color w:val="000000" w:themeColor="text1"/>
        </w:rPr>
        <w:t xml:space="preserve"> of the </w:t>
      </w:r>
      <w:r w:rsidR="003D11CE">
        <w:rPr>
          <w:color w:val="000000" w:themeColor="text1"/>
        </w:rPr>
        <w:t xml:space="preserve">three </w:t>
      </w:r>
      <w:r w:rsidR="000D1A49">
        <w:rPr>
          <w:color w:val="000000" w:themeColor="text1"/>
        </w:rPr>
        <w:t xml:space="preserve">remaining </w:t>
      </w:r>
      <w:r w:rsidR="0000230E">
        <w:rPr>
          <w:color w:val="000000" w:themeColor="text1"/>
        </w:rPr>
        <w:t xml:space="preserve">top models </w:t>
      </w:r>
      <w:r w:rsidR="003D11CE">
        <w:rPr>
          <w:color w:val="000000" w:themeColor="text1"/>
        </w:rPr>
        <w:t xml:space="preserve">(SDMs 3, 6, 8) </w:t>
      </w:r>
      <w:r w:rsidR="0000230E">
        <w:rPr>
          <w:color w:val="000000" w:themeColor="text1"/>
        </w:rPr>
        <w:t xml:space="preserve">include </w:t>
      </w:r>
      <w:r w:rsidR="003D11CE">
        <w:rPr>
          <w:color w:val="000000" w:themeColor="text1"/>
        </w:rPr>
        <w:t>spawning salinity (S</w:t>
      </w:r>
      <w:r w:rsidR="003D11CE" w:rsidRPr="002E5DA6">
        <w:rPr>
          <w:color w:val="000000" w:themeColor="text1"/>
          <w:vertAlign w:val="subscript"/>
        </w:rPr>
        <w:t>S</w:t>
      </w:r>
      <w:r w:rsidR="002E5DA6" w:rsidRPr="002E5DA6">
        <w:rPr>
          <w:color w:val="000000" w:themeColor="text1"/>
          <w:vertAlign w:val="subscript"/>
        </w:rPr>
        <w:t>PAWN</w:t>
      </w:r>
      <w:r w:rsidR="003D11CE">
        <w:rPr>
          <w:color w:val="000000" w:themeColor="text1"/>
        </w:rPr>
        <w:t>)</w:t>
      </w:r>
      <w:r w:rsidR="00E9083C">
        <w:rPr>
          <w:color w:val="000000" w:themeColor="text1"/>
        </w:rPr>
        <w:t xml:space="preserve"> as a </w:t>
      </w:r>
      <w:r w:rsidR="000D1A49">
        <w:rPr>
          <w:color w:val="000000" w:themeColor="text1"/>
        </w:rPr>
        <w:t>predictor. T</w:t>
      </w:r>
      <w:r w:rsidR="0000230E">
        <w:rPr>
          <w:color w:val="000000" w:themeColor="text1"/>
        </w:rPr>
        <w:t xml:space="preserve">he addition of spawning temperature </w:t>
      </w:r>
      <w:r w:rsidR="00E9083C">
        <w:rPr>
          <w:color w:val="000000" w:themeColor="text1"/>
        </w:rPr>
        <w:t>to the model (i.e. from SDM 3 to 6)</w:t>
      </w:r>
      <w:r w:rsidR="0000230E">
        <w:rPr>
          <w:color w:val="000000" w:themeColor="text1"/>
        </w:rPr>
        <w:t xml:space="preserve"> only makes for a very minor improvement, and a more-complex two-dimensional interaction between spawning salinity and temperature (SDM 8) has </w:t>
      </w:r>
      <w:r w:rsidR="00DD5479">
        <w:rPr>
          <w:color w:val="000000" w:themeColor="text1"/>
        </w:rPr>
        <w:t xml:space="preserve">less </w:t>
      </w:r>
      <w:r w:rsidR="00E52BCA">
        <w:rPr>
          <w:color w:val="000000" w:themeColor="text1"/>
        </w:rPr>
        <w:t>support</w:t>
      </w:r>
      <w:r w:rsidR="00DD5479">
        <w:rPr>
          <w:color w:val="000000" w:themeColor="text1"/>
        </w:rPr>
        <w:t xml:space="preserve"> than salinity on its own (SDM 3)</w:t>
      </w:r>
      <w:r w:rsidR="0000230E">
        <w:rPr>
          <w:color w:val="000000" w:themeColor="text1"/>
        </w:rPr>
        <w:t xml:space="preserve">. </w:t>
      </w:r>
      <w:r w:rsidR="000D1A49">
        <w:rPr>
          <w:color w:val="000000" w:themeColor="text1"/>
        </w:rPr>
        <w:t>The</w:t>
      </w:r>
      <w:r w:rsidR="00E63739">
        <w:rPr>
          <w:color w:val="000000" w:themeColor="text1"/>
        </w:rPr>
        <w:t xml:space="preserve"> biological</w:t>
      </w:r>
      <w:r w:rsidR="000D1A49">
        <w:rPr>
          <w:color w:val="000000" w:themeColor="text1"/>
        </w:rPr>
        <w:t xml:space="preserve"> </w:t>
      </w:r>
      <w:r w:rsidR="00E63739">
        <w:rPr>
          <w:color w:val="000000" w:themeColor="text1"/>
        </w:rPr>
        <w:t>interpre</w:t>
      </w:r>
      <w:r w:rsidR="003A1560">
        <w:rPr>
          <w:color w:val="000000" w:themeColor="text1"/>
        </w:rPr>
        <w:t>ta</w:t>
      </w:r>
      <w:r w:rsidR="00E63739">
        <w:rPr>
          <w:color w:val="000000" w:themeColor="text1"/>
        </w:rPr>
        <w:t>b</w:t>
      </w:r>
      <w:r w:rsidR="003A1560">
        <w:rPr>
          <w:color w:val="000000" w:themeColor="text1"/>
        </w:rPr>
        <w:t>i</w:t>
      </w:r>
      <w:r w:rsidR="00E63739">
        <w:rPr>
          <w:color w:val="000000" w:themeColor="text1"/>
        </w:rPr>
        <w:t>lity of these models is a</w:t>
      </w:r>
      <w:r w:rsidR="001E506C">
        <w:rPr>
          <w:color w:val="000000" w:themeColor="text1"/>
        </w:rPr>
        <w:t>n</w:t>
      </w:r>
      <w:r w:rsidR="00E63739">
        <w:rPr>
          <w:color w:val="000000" w:themeColor="text1"/>
        </w:rPr>
        <w:t xml:space="preserve"> </w:t>
      </w:r>
      <w:r w:rsidR="001E506C">
        <w:rPr>
          <w:color w:val="000000" w:themeColor="text1"/>
        </w:rPr>
        <w:t xml:space="preserve">important </w:t>
      </w:r>
      <w:r w:rsidR="00E63739">
        <w:rPr>
          <w:color w:val="000000" w:themeColor="text1"/>
        </w:rPr>
        <w:t>feature and we therefore choose the simplest of them, SDM 3 (spawning salinity) as the “best” model for further analysis. However, it is important to bear in mind that this is a subjective choice, and th</w:t>
      </w:r>
      <w:r w:rsidR="001E506C">
        <w:rPr>
          <w:color w:val="000000" w:themeColor="text1"/>
        </w:rPr>
        <w:t>at</w:t>
      </w:r>
      <w:r w:rsidR="00E63739">
        <w:rPr>
          <w:color w:val="000000" w:themeColor="text1"/>
        </w:rPr>
        <w:t xml:space="preserve"> other models show comparable explanatory and predictive skill.</w:t>
      </w:r>
    </w:p>
    <w:p w14:paraId="4ABAAC6E" w14:textId="4D1CF543" w:rsidR="008D08AF" w:rsidRDefault="00C27032" w:rsidP="007F5FBA">
      <w:pPr>
        <w:rPr>
          <w:color w:val="000000" w:themeColor="text1"/>
        </w:rPr>
      </w:pPr>
      <w:r w:rsidRPr="00294BBF">
        <w:rPr>
          <w:rStyle w:val="Overskrift4Tegn"/>
          <w:color w:val="000000" w:themeColor="text1"/>
        </w:rPr>
        <w:t>SDM visualisation</w:t>
      </w:r>
      <w:r w:rsidR="00161B41" w:rsidRPr="00294BBF">
        <w:rPr>
          <w:rStyle w:val="Overskrift4Tegn"/>
          <w:color w:val="000000" w:themeColor="text1"/>
        </w:rPr>
        <w:tab/>
      </w:r>
      <w:r w:rsidR="00161B41" w:rsidRPr="00294BBF">
        <w:rPr>
          <w:b/>
          <w:color w:val="000000" w:themeColor="text1"/>
        </w:rPr>
        <w:br/>
      </w:r>
      <w:proofErr w:type="gramStart"/>
      <w:r w:rsidR="000A3BFD" w:rsidRPr="00294BBF">
        <w:rPr>
          <w:color w:val="000000" w:themeColor="text1"/>
        </w:rPr>
        <w:t>Examining</w:t>
      </w:r>
      <w:proofErr w:type="gramEnd"/>
      <w:r w:rsidR="000A3BFD" w:rsidRPr="00294BBF">
        <w:rPr>
          <w:color w:val="000000" w:themeColor="text1"/>
        </w:rPr>
        <w:t xml:space="preserve"> the individual terms in the SDM gives insight into the processes that it views as being important in shaping the distribution of blue whiting larvae. </w:t>
      </w:r>
      <w:r w:rsidRPr="00294BBF">
        <w:rPr>
          <w:color w:val="000000" w:themeColor="text1"/>
        </w:rPr>
        <w:t xml:space="preserve">The </w:t>
      </w:r>
      <w:r w:rsidR="00DB5DAE" w:rsidRPr="00294BBF">
        <w:rPr>
          <w:color w:val="000000" w:themeColor="text1"/>
        </w:rPr>
        <w:t>2D tensor-</w:t>
      </w:r>
      <w:r w:rsidR="00DB5DAE" w:rsidRPr="00294BBF">
        <w:rPr>
          <w:color w:val="000000" w:themeColor="text1"/>
        </w:rPr>
        <w:lastRenderedPageBreak/>
        <w:t>product smoother on latitude and day-of-year shows a clear relationship between the two variables, with peak</w:t>
      </w:r>
      <w:r w:rsidR="00C206EE" w:rsidRPr="00294BBF">
        <w:rPr>
          <w:color w:val="000000" w:themeColor="text1"/>
        </w:rPr>
        <w:t xml:space="preserve"> larval-</w:t>
      </w:r>
      <w:r w:rsidR="00DB5DAE" w:rsidRPr="00294BBF">
        <w:rPr>
          <w:color w:val="000000" w:themeColor="text1"/>
        </w:rPr>
        <w:t xml:space="preserve">observation probabilities occurring </w:t>
      </w:r>
      <w:r w:rsidR="00037786" w:rsidRPr="00294BBF">
        <w:rPr>
          <w:color w:val="000000" w:themeColor="text1"/>
        </w:rPr>
        <w:t xml:space="preserve">later at higher latitudes </w:t>
      </w:r>
      <w:r w:rsidRPr="00294BBF">
        <w:rPr>
          <w:color w:val="000000" w:themeColor="text1"/>
        </w:rPr>
        <w:t>(</w:t>
      </w:r>
      <w:r w:rsidR="008A7F42" w:rsidRPr="00294BBF">
        <w:rPr>
          <w:noProof/>
          <w:color w:val="000000" w:themeColor="text1"/>
        </w:rPr>
        <w:t>Fig. 6</w:t>
      </w:r>
      <w:r w:rsidRPr="00294BBF">
        <w:rPr>
          <w:color w:val="000000" w:themeColor="text1"/>
        </w:rPr>
        <w:t>a). There are two centres of high larval-</w:t>
      </w:r>
      <w:r w:rsidR="00D41B63" w:rsidRPr="00294BBF">
        <w:rPr>
          <w:color w:val="000000" w:themeColor="text1"/>
        </w:rPr>
        <w:t>observation</w:t>
      </w:r>
      <w:r w:rsidRPr="00294BBF">
        <w:rPr>
          <w:color w:val="000000" w:themeColor="text1"/>
        </w:rPr>
        <w:t xml:space="preserve"> probability, one during mid-March at around 50 °N latitude</w:t>
      </w:r>
      <w:r w:rsidR="00C1018B" w:rsidRPr="00294BBF">
        <w:rPr>
          <w:color w:val="000000" w:themeColor="text1"/>
        </w:rPr>
        <w:t xml:space="preserve"> (approximately the Porcupine </w:t>
      </w:r>
      <w:proofErr w:type="spellStart"/>
      <w:r w:rsidR="00C1018B" w:rsidRPr="00294BBF">
        <w:rPr>
          <w:color w:val="000000" w:themeColor="text1"/>
        </w:rPr>
        <w:t>S</w:t>
      </w:r>
      <w:r w:rsidR="005E5D61" w:rsidRPr="00294BBF">
        <w:rPr>
          <w:color w:val="000000" w:themeColor="text1"/>
        </w:rPr>
        <w:t>eabight</w:t>
      </w:r>
      <w:proofErr w:type="spellEnd"/>
      <w:r w:rsidR="005E5D61" w:rsidRPr="00294BBF">
        <w:rPr>
          <w:color w:val="000000" w:themeColor="text1"/>
        </w:rPr>
        <w:t xml:space="preserve"> area)</w:t>
      </w:r>
      <w:r w:rsidRPr="00294BBF">
        <w:rPr>
          <w:color w:val="000000" w:themeColor="text1"/>
        </w:rPr>
        <w:t xml:space="preserve"> and a greater region during mid-April to mid-May, reaching a peak </w:t>
      </w:r>
      <w:r w:rsidR="00E65AA3" w:rsidRPr="00294BBF">
        <w:rPr>
          <w:color w:val="000000" w:themeColor="text1"/>
        </w:rPr>
        <w:t xml:space="preserve">observation </w:t>
      </w:r>
      <w:r w:rsidRPr="00294BBF">
        <w:rPr>
          <w:color w:val="000000" w:themeColor="text1"/>
        </w:rPr>
        <w:t>probability between 57 °N and 59 °N (</w:t>
      </w:r>
      <w:r w:rsidR="008A7F42" w:rsidRPr="00294BBF">
        <w:rPr>
          <w:noProof/>
          <w:color w:val="000000" w:themeColor="text1"/>
        </w:rPr>
        <w:t>Fig. 6</w:t>
      </w:r>
      <w:r w:rsidRPr="00294BBF">
        <w:rPr>
          <w:color w:val="000000" w:themeColor="text1"/>
        </w:rPr>
        <w:t>a). The smoother of the solar elevation angle (</w:t>
      </w:r>
      <w:r w:rsidR="003B605B" w:rsidRPr="00294BBF">
        <w:rPr>
          <w:rFonts w:ascii="Symbol" w:hAnsi="Symbol"/>
          <w:i/>
          <w:color w:val="000000" w:themeColor="text1"/>
        </w:rPr>
        <w:t></w:t>
      </w:r>
      <w:r w:rsidR="00BC53F7" w:rsidRPr="00294BBF">
        <w:rPr>
          <w:color w:val="000000" w:themeColor="text1"/>
        </w:rPr>
        <w:t>) took positive values from -</w:t>
      </w:r>
      <w:r w:rsidRPr="00294BBF">
        <w:rPr>
          <w:color w:val="000000" w:themeColor="text1"/>
        </w:rPr>
        <w:t>20° to 40° and assigned the</w:t>
      </w:r>
      <w:r w:rsidR="00961BC5" w:rsidRPr="00294BBF">
        <w:rPr>
          <w:color w:val="000000" w:themeColor="text1"/>
        </w:rPr>
        <w:t xml:space="preserve"> greatest probability of </w:t>
      </w:r>
      <w:r w:rsidR="00961BC5" w:rsidRPr="00BC123A">
        <w:rPr>
          <w:color w:val="000000" w:themeColor="text1"/>
        </w:rPr>
        <w:t>observing</w:t>
      </w:r>
      <w:r w:rsidRPr="00BC123A">
        <w:rPr>
          <w:color w:val="000000" w:themeColor="text1"/>
        </w:rPr>
        <w:t xml:space="preserve"> larvae </w:t>
      </w:r>
      <w:r w:rsidR="003F06CD" w:rsidRPr="00D36D59">
        <w:rPr>
          <w:color w:val="000000" w:themeColor="text1"/>
        </w:rPr>
        <w:t xml:space="preserve">at </w:t>
      </w:r>
      <w:r w:rsidR="007C345C" w:rsidRPr="00D36D59">
        <w:rPr>
          <w:color w:val="000000" w:themeColor="text1"/>
        </w:rPr>
        <w:t>around 1</w:t>
      </w:r>
      <w:r w:rsidRPr="00D36D59">
        <w:rPr>
          <w:color w:val="000000" w:themeColor="text1"/>
        </w:rPr>
        <w:t xml:space="preserve">0°, </w:t>
      </w:r>
      <w:r w:rsidR="002D2E76" w:rsidRPr="00B43DEB">
        <w:rPr>
          <w:color w:val="000000" w:themeColor="text1"/>
        </w:rPr>
        <w:t>corresponding to</w:t>
      </w:r>
      <w:r w:rsidR="002D2E76" w:rsidRPr="00BC123A">
        <w:rPr>
          <w:color w:val="000000" w:themeColor="text1"/>
        </w:rPr>
        <w:t xml:space="preserve"> </w:t>
      </w:r>
      <w:r w:rsidRPr="00BC123A">
        <w:rPr>
          <w:color w:val="000000" w:themeColor="text1"/>
        </w:rPr>
        <w:t xml:space="preserve">the period shortly </w:t>
      </w:r>
      <w:r w:rsidR="00541625" w:rsidRPr="00BC123A">
        <w:rPr>
          <w:color w:val="000000" w:themeColor="text1"/>
        </w:rPr>
        <w:t>before</w:t>
      </w:r>
      <w:r w:rsidRPr="00D36D59">
        <w:rPr>
          <w:color w:val="000000" w:themeColor="text1"/>
        </w:rPr>
        <w:t xml:space="preserve"> sunset and/or</w:t>
      </w:r>
      <w:r w:rsidRPr="00294BBF">
        <w:rPr>
          <w:color w:val="000000" w:themeColor="text1"/>
        </w:rPr>
        <w:t xml:space="preserve"> </w:t>
      </w:r>
      <w:r w:rsidR="00541625" w:rsidRPr="00294BBF">
        <w:rPr>
          <w:color w:val="000000" w:themeColor="text1"/>
        </w:rPr>
        <w:t>after</w:t>
      </w:r>
      <w:r w:rsidRPr="00294BBF">
        <w:rPr>
          <w:color w:val="000000" w:themeColor="text1"/>
        </w:rPr>
        <w:t xml:space="preserve"> sunrise (</w:t>
      </w:r>
      <w:r w:rsidR="008A7F42" w:rsidRPr="00294BBF">
        <w:rPr>
          <w:noProof/>
          <w:color w:val="000000" w:themeColor="text1"/>
        </w:rPr>
        <w:t>Fig. 6</w:t>
      </w:r>
      <w:r w:rsidRPr="00294BBF">
        <w:rPr>
          <w:color w:val="000000" w:themeColor="text1"/>
        </w:rPr>
        <w:t xml:space="preserve">b). The probability of </w:t>
      </w:r>
      <w:r w:rsidR="00E65AA3" w:rsidRPr="00294BBF">
        <w:rPr>
          <w:color w:val="000000" w:themeColor="text1"/>
        </w:rPr>
        <w:t>observing</w:t>
      </w:r>
      <w:r w:rsidRPr="00294BBF">
        <w:rPr>
          <w:color w:val="000000" w:themeColor="text1"/>
        </w:rPr>
        <w:t xml:space="preserve"> larvae </w:t>
      </w:r>
      <w:r w:rsidR="00645213">
        <w:rPr>
          <w:color w:val="000000" w:themeColor="text1"/>
        </w:rPr>
        <w:t>decreased and effectively vanishes</w:t>
      </w:r>
      <w:r w:rsidR="00645213" w:rsidRPr="00294BBF">
        <w:rPr>
          <w:color w:val="000000" w:themeColor="text1"/>
        </w:rPr>
        <w:t xml:space="preserve"> </w:t>
      </w:r>
      <w:r w:rsidR="00645213">
        <w:rPr>
          <w:color w:val="000000" w:themeColor="text1"/>
        </w:rPr>
        <w:t xml:space="preserve">in waters shallower than 300m, while is constant above this value </w:t>
      </w:r>
      <w:r w:rsidRPr="00294BBF">
        <w:rPr>
          <w:color w:val="000000" w:themeColor="text1"/>
        </w:rPr>
        <w:t>(</w:t>
      </w:r>
      <w:r w:rsidR="00433CC3" w:rsidRPr="00294BBF">
        <w:rPr>
          <w:noProof/>
          <w:color w:val="000000" w:themeColor="text1"/>
        </w:rPr>
        <w:t xml:space="preserve">Fig. </w:t>
      </w:r>
      <w:r w:rsidR="008A7F42" w:rsidRPr="00294BBF">
        <w:rPr>
          <w:noProof/>
          <w:color w:val="000000" w:themeColor="text1"/>
        </w:rPr>
        <w:t>6</w:t>
      </w:r>
      <w:r w:rsidR="00C206EE" w:rsidRPr="00294BBF">
        <w:rPr>
          <w:color w:val="000000" w:themeColor="text1"/>
        </w:rPr>
        <w:t>c). The larval-</w:t>
      </w:r>
      <w:r w:rsidR="00961BC5" w:rsidRPr="00294BBF">
        <w:rPr>
          <w:color w:val="000000" w:themeColor="text1"/>
        </w:rPr>
        <w:t>observation probability</w:t>
      </w:r>
      <w:r w:rsidRPr="00294BBF">
        <w:rPr>
          <w:color w:val="000000" w:themeColor="text1"/>
        </w:rPr>
        <w:t xml:space="preserve"> with respect to S</w:t>
      </w:r>
      <w:r w:rsidRPr="00294BBF">
        <w:rPr>
          <w:color w:val="000000" w:themeColor="text1"/>
          <w:vertAlign w:val="subscript"/>
        </w:rPr>
        <w:t>SPAWN</w:t>
      </w:r>
      <w:r w:rsidRPr="00294BBF">
        <w:rPr>
          <w:color w:val="000000" w:themeColor="text1"/>
        </w:rPr>
        <w:t xml:space="preserve"> </w:t>
      </w:r>
      <w:r w:rsidR="005C1DA2" w:rsidRPr="00294BBF">
        <w:rPr>
          <w:color w:val="000000" w:themeColor="text1"/>
        </w:rPr>
        <w:t>showed a clear window of high observation probability</w:t>
      </w:r>
      <w:r w:rsidR="001D2B10" w:rsidRPr="00294BBF">
        <w:rPr>
          <w:color w:val="000000" w:themeColor="text1"/>
        </w:rPr>
        <w:t xml:space="preserve"> where the smooth took positive values</w:t>
      </w:r>
      <w:r w:rsidR="005C1DA2" w:rsidRPr="00294BBF">
        <w:rPr>
          <w:color w:val="000000" w:themeColor="text1"/>
        </w:rPr>
        <w:t xml:space="preserve"> </w:t>
      </w:r>
      <w:r w:rsidRPr="00294BBF">
        <w:rPr>
          <w:color w:val="000000" w:themeColor="text1"/>
        </w:rPr>
        <w:t>between 35.3 and 35.5</w:t>
      </w:r>
      <w:r w:rsidR="005C1DA2" w:rsidRPr="00294BBF">
        <w:rPr>
          <w:color w:val="000000" w:themeColor="text1"/>
        </w:rPr>
        <w:t xml:space="preserve"> </w:t>
      </w:r>
      <w:r w:rsidRPr="00294BBF">
        <w:rPr>
          <w:color w:val="000000" w:themeColor="text1"/>
        </w:rPr>
        <w:t>(</w:t>
      </w:r>
      <w:r w:rsidR="00433CC3" w:rsidRPr="00294BBF">
        <w:rPr>
          <w:noProof/>
          <w:color w:val="000000" w:themeColor="text1"/>
        </w:rPr>
        <w:t xml:space="preserve">Fig. </w:t>
      </w:r>
      <w:r w:rsidR="008A7F42" w:rsidRPr="00294BBF">
        <w:rPr>
          <w:noProof/>
          <w:color w:val="000000" w:themeColor="text1"/>
        </w:rPr>
        <w:t>6</w:t>
      </w:r>
      <w:r w:rsidRPr="00294BBF">
        <w:rPr>
          <w:color w:val="000000" w:themeColor="text1"/>
        </w:rPr>
        <w:t>d)</w:t>
      </w:r>
      <w:r w:rsidR="001D2B10" w:rsidRPr="00294BBF">
        <w:rPr>
          <w:color w:val="000000" w:themeColor="text1"/>
        </w:rPr>
        <w:t xml:space="preserve">, later referred to as </w:t>
      </w:r>
      <w:r w:rsidR="008D08AF">
        <w:rPr>
          <w:color w:val="000000" w:themeColor="text1"/>
        </w:rPr>
        <w:t xml:space="preserve">the </w:t>
      </w:r>
      <w:r w:rsidR="001D2B10" w:rsidRPr="00294BBF">
        <w:rPr>
          <w:color w:val="000000" w:themeColor="text1"/>
        </w:rPr>
        <w:t>optimum salinity window</w:t>
      </w:r>
      <w:r w:rsidRPr="00294BBF">
        <w:rPr>
          <w:color w:val="000000" w:themeColor="text1"/>
        </w:rPr>
        <w:t>.</w:t>
      </w:r>
    </w:p>
    <w:p w14:paraId="261BBFA2" w14:textId="492EFF85" w:rsidR="002B72DB" w:rsidRDefault="00053D48" w:rsidP="007F5FBA">
      <w:pPr>
        <w:rPr>
          <w:color w:val="000000" w:themeColor="text1"/>
        </w:rPr>
      </w:pPr>
      <w:r w:rsidRPr="00294BBF">
        <w:rPr>
          <w:color w:val="000000" w:themeColor="text1"/>
        </w:rPr>
        <w:t>P</w:t>
      </w:r>
      <w:r w:rsidR="00C27032" w:rsidRPr="00294BBF">
        <w:rPr>
          <w:color w:val="000000" w:themeColor="text1"/>
        </w:rPr>
        <w:t>ermutation importance</w:t>
      </w:r>
      <w:r w:rsidRPr="00294BBF">
        <w:rPr>
          <w:color w:val="000000" w:themeColor="text1"/>
        </w:rPr>
        <w:t xml:space="preserve"> experiments can be used to gain insight into the relative importance of each variable in the model fit. Permutation importance was calculated here </w:t>
      </w:r>
      <w:r w:rsidR="00C27032" w:rsidRPr="00294BBF">
        <w:rPr>
          <w:color w:val="000000" w:themeColor="text1"/>
        </w:rPr>
        <w:t>as the relative loss in</w:t>
      </w:r>
      <w:r w:rsidR="009C32AA" w:rsidRPr="00294BBF">
        <w:rPr>
          <w:color w:val="000000" w:themeColor="text1"/>
        </w:rPr>
        <w:t xml:space="preserve"> </w:t>
      </w:r>
      <w:r w:rsidR="00C27032" w:rsidRPr="00294BBF">
        <w:rPr>
          <w:color w:val="000000" w:themeColor="text1"/>
        </w:rPr>
        <w:t xml:space="preserve">TSS </w:t>
      </w:r>
      <w:r w:rsidR="006105E5" w:rsidRPr="00294BBF">
        <w:rPr>
          <w:color w:val="000000" w:themeColor="text1"/>
        </w:rPr>
        <w:t xml:space="preserve">upon scrambling of the variable(s) in question. </w:t>
      </w:r>
      <w:proofErr w:type="gramStart"/>
      <w:r w:rsidR="00C27032" w:rsidRPr="00294BBF">
        <w:rPr>
          <w:color w:val="000000" w:themeColor="text1"/>
        </w:rPr>
        <w:t xml:space="preserve">Latitude and DOY, </w:t>
      </w:r>
      <w:r w:rsidR="006105E5" w:rsidRPr="00294BBF">
        <w:rPr>
          <w:color w:val="000000" w:themeColor="text1"/>
        </w:rPr>
        <w:t xml:space="preserve">and </w:t>
      </w:r>
      <w:r w:rsidR="00C27032" w:rsidRPr="00294BBF">
        <w:rPr>
          <w:color w:val="000000" w:themeColor="text1"/>
        </w:rPr>
        <w:t xml:space="preserve">in particular DOY, </w:t>
      </w:r>
      <w:r w:rsidR="006105E5" w:rsidRPr="00294BBF">
        <w:rPr>
          <w:color w:val="000000" w:themeColor="text1"/>
        </w:rPr>
        <w:t>appeared to be the mo</w:t>
      </w:r>
      <w:r w:rsidR="0011490B" w:rsidRPr="00294BBF">
        <w:rPr>
          <w:color w:val="000000" w:themeColor="text1"/>
        </w:rPr>
        <w:t>st important of these variables</w:t>
      </w:r>
      <w:r w:rsidR="006105E5" w:rsidRPr="00294BBF">
        <w:rPr>
          <w:color w:val="000000" w:themeColor="text1"/>
        </w:rPr>
        <w:t xml:space="preserve"> </w:t>
      </w:r>
      <w:r w:rsidR="00C27032" w:rsidRPr="00294BBF">
        <w:rPr>
          <w:color w:val="000000" w:themeColor="text1"/>
        </w:rPr>
        <w:t>followed by depth (</w:t>
      </w:r>
      <w:r w:rsidR="008A7F42" w:rsidRPr="00294BBF">
        <w:rPr>
          <w:noProof/>
          <w:color w:val="000000" w:themeColor="text1"/>
        </w:rPr>
        <w:t>Fig. 7</w:t>
      </w:r>
      <w:r w:rsidR="00C27032" w:rsidRPr="00294BBF">
        <w:rPr>
          <w:color w:val="000000" w:themeColor="text1"/>
        </w:rPr>
        <w:t>).</w:t>
      </w:r>
      <w:proofErr w:type="gramEnd"/>
    </w:p>
    <w:p w14:paraId="48C1D599" w14:textId="437AD5B5" w:rsidR="00B82DC9" w:rsidRDefault="00DE1AD0" w:rsidP="007F5FBA">
      <w:pPr>
        <w:rPr>
          <w:color w:val="000000" w:themeColor="text1"/>
        </w:rPr>
      </w:pPr>
      <w:r>
        <w:rPr>
          <w:color w:val="000000" w:themeColor="text1"/>
        </w:rPr>
        <w:t xml:space="preserve">Model-based </w:t>
      </w:r>
      <w:r w:rsidR="00EB5197">
        <w:rPr>
          <w:color w:val="000000" w:themeColor="text1"/>
        </w:rPr>
        <w:t>estimates</w:t>
      </w:r>
      <w:r w:rsidR="00CD2796">
        <w:rPr>
          <w:rFonts w:eastAsiaTheme="minorHAnsi"/>
          <w:color w:val="000000" w:themeColor="text1"/>
        </w:rPr>
        <w:t xml:space="preserve"> of larval-presence probability </w:t>
      </w:r>
      <w:r w:rsidR="00C27032" w:rsidRPr="00294BBF">
        <w:rPr>
          <w:rFonts w:eastAsiaTheme="minorHAnsi"/>
          <w:color w:val="000000" w:themeColor="text1"/>
        </w:rPr>
        <w:t xml:space="preserve">were </w:t>
      </w:r>
      <w:r w:rsidR="007E151D">
        <w:rPr>
          <w:rFonts w:eastAsiaTheme="minorHAnsi"/>
          <w:color w:val="000000" w:themeColor="text1"/>
        </w:rPr>
        <w:t xml:space="preserve">visualised </w:t>
      </w:r>
      <w:r w:rsidR="00C27032" w:rsidRPr="00294BBF">
        <w:rPr>
          <w:rFonts w:eastAsiaTheme="minorHAnsi"/>
          <w:color w:val="000000" w:themeColor="text1"/>
        </w:rPr>
        <w:t>for both regimes</w:t>
      </w:r>
      <w:r w:rsidR="007E151D">
        <w:rPr>
          <w:rFonts w:eastAsiaTheme="minorHAnsi"/>
          <w:color w:val="000000" w:themeColor="text1"/>
        </w:rPr>
        <w:t xml:space="preserve"> during April, </w:t>
      </w:r>
      <w:r w:rsidR="00C27032" w:rsidRPr="00294BBF">
        <w:rPr>
          <w:rFonts w:eastAsiaTheme="minorHAnsi"/>
          <w:color w:val="000000" w:themeColor="text1"/>
        </w:rPr>
        <w:t xml:space="preserve">the month </w:t>
      </w:r>
      <w:r w:rsidR="00D41B63" w:rsidRPr="00294BBF">
        <w:rPr>
          <w:rFonts w:eastAsiaTheme="minorHAnsi"/>
          <w:color w:val="000000" w:themeColor="text1"/>
        </w:rPr>
        <w:t>with</w:t>
      </w:r>
      <w:r w:rsidR="00C27032" w:rsidRPr="00294BBF">
        <w:rPr>
          <w:rFonts w:eastAsiaTheme="minorHAnsi"/>
          <w:color w:val="000000" w:themeColor="text1"/>
        </w:rPr>
        <w:t xml:space="preserve"> </w:t>
      </w:r>
      <w:r w:rsidR="00D41B63" w:rsidRPr="00294BBF">
        <w:rPr>
          <w:rFonts w:eastAsiaTheme="minorHAnsi"/>
          <w:color w:val="000000" w:themeColor="text1"/>
        </w:rPr>
        <w:t xml:space="preserve">observed </w:t>
      </w:r>
      <w:r w:rsidR="00C27032" w:rsidRPr="00294BBF">
        <w:rPr>
          <w:rFonts w:eastAsiaTheme="minorHAnsi"/>
          <w:color w:val="000000" w:themeColor="text1"/>
        </w:rPr>
        <w:t>peak larval-presence</w:t>
      </w:r>
      <w:r w:rsidR="00B064CB">
        <w:rPr>
          <w:rFonts w:eastAsiaTheme="minorHAnsi"/>
          <w:color w:val="000000" w:themeColor="text1"/>
        </w:rPr>
        <w:t>, corresponding to March spawning</w:t>
      </w:r>
      <w:r w:rsidR="007E151D">
        <w:rPr>
          <w:rFonts w:eastAsiaTheme="minorHAnsi"/>
          <w:color w:val="000000" w:themeColor="text1"/>
        </w:rPr>
        <w:t xml:space="preserve"> </w:t>
      </w:r>
      <w:r w:rsidR="00C27032" w:rsidRPr="00294BBF">
        <w:rPr>
          <w:color w:val="000000" w:themeColor="text1"/>
        </w:rPr>
        <w:t>(</w:t>
      </w:r>
      <w:r w:rsidR="00433CC3" w:rsidRPr="00294BBF">
        <w:rPr>
          <w:noProof/>
          <w:color w:val="000000" w:themeColor="text1"/>
        </w:rPr>
        <w:t>Fig. 2</w:t>
      </w:r>
      <w:r w:rsidR="00C27032" w:rsidRPr="00294BBF">
        <w:rPr>
          <w:color w:val="000000" w:themeColor="text1"/>
        </w:rPr>
        <w:t>b). During the saline and warm regime</w:t>
      </w:r>
      <w:r w:rsidR="00290B86" w:rsidRPr="00294BBF">
        <w:rPr>
          <w:color w:val="000000" w:themeColor="text1"/>
        </w:rPr>
        <w:t xml:space="preserve">, the main region of </w:t>
      </w:r>
      <w:r w:rsidR="00CB59E5" w:rsidRPr="00294BBF">
        <w:rPr>
          <w:color w:val="000000" w:themeColor="text1"/>
        </w:rPr>
        <w:t xml:space="preserve">predicted </w:t>
      </w:r>
      <w:r w:rsidR="00E65AA3" w:rsidRPr="00294BBF">
        <w:rPr>
          <w:color w:val="000000" w:themeColor="text1"/>
        </w:rPr>
        <w:t xml:space="preserve">high </w:t>
      </w:r>
      <w:r w:rsidR="004C6823" w:rsidRPr="00294BBF">
        <w:rPr>
          <w:color w:val="000000" w:themeColor="text1"/>
        </w:rPr>
        <w:t>larval-</w:t>
      </w:r>
      <w:r w:rsidR="00290B86" w:rsidRPr="00294BBF">
        <w:rPr>
          <w:color w:val="000000" w:themeColor="text1"/>
        </w:rPr>
        <w:t>observation</w:t>
      </w:r>
      <w:r w:rsidR="00C27032" w:rsidRPr="00294BBF">
        <w:rPr>
          <w:color w:val="000000" w:themeColor="text1"/>
        </w:rPr>
        <w:t xml:space="preserve"> probability extends from Rockall Plateau over Rockall Trough up to the European </w:t>
      </w:r>
      <w:r w:rsidR="00FC5767" w:rsidRPr="00294BBF">
        <w:rPr>
          <w:color w:val="000000" w:themeColor="text1"/>
        </w:rPr>
        <w:t>Continental Shelf</w:t>
      </w:r>
      <w:r w:rsidR="00C27032" w:rsidRPr="00294BBF">
        <w:rPr>
          <w:color w:val="000000" w:themeColor="text1"/>
        </w:rPr>
        <w:t xml:space="preserve"> bet</w:t>
      </w:r>
      <w:r w:rsidR="00E65AA3" w:rsidRPr="00294BBF">
        <w:rPr>
          <w:color w:val="000000" w:themeColor="text1"/>
        </w:rPr>
        <w:t xml:space="preserve">ween latitudes of 55 and 59 °N, in particular </w:t>
      </w:r>
      <w:r w:rsidR="00C27032" w:rsidRPr="00294BBF">
        <w:rPr>
          <w:color w:val="000000" w:themeColor="text1"/>
        </w:rPr>
        <w:lastRenderedPageBreak/>
        <w:t xml:space="preserve">along </w:t>
      </w:r>
      <w:r w:rsidR="006F5716" w:rsidRPr="00294BBF">
        <w:rPr>
          <w:color w:val="000000" w:themeColor="text1"/>
        </w:rPr>
        <w:t>Rockall Plateau</w:t>
      </w:r>
      <w:r w:rsidR="00C27032" w:rsidRPr="00294BBF">
        <w:rPr>
          <w:color w:val="000000" w:themeColor="text1"/>
        </w:rPr>
        <w:t xml:space="preserve">’s eastern slope and within </w:t>
      </w:r>
      <w:r w:rsidR="006F5716" w:rsidRPr="00294BBF">
        <w:rPr>
          <w:color w:val="000000" w:themeColor="text1"/>
        </w:rPr>
        <w:t>Rockall Trough</w:t>
      </w:r>
      <w:r w:rsidR="00C27032" w:rsidRPr="00294BBF">
        <w:rPr>
          <w:color w:val="000000" w:themeColor="text1"/>
        </w:rPr>
        <w:t xml:space="preserve"> (</w:t>
      </w:r>
      <w:r w:rsidR="008A7F42" w:rsidRPr="00294BBF">
        <w:rPr>
          <w:noProof/>
          <w:color w:val="000000" w:themeColor="text1"/>
        </w:rPr>
        <w:t>Fig. 8</w:t>
      </w:r>
      <w:r w:rsidR="00C27032" w:rsidRPr="00294BBF">
        <w:rPr>
          <w:color w:val="000000" w:themeColor="text1"/>
        </w:rPr>
        <w:t xml:space="preserve">a). During fresh and cold conditions </w:t>
      </w:r>
      <w:r w:rsidR="005F608C" w:rsidRPr="00294BBF">
        <w:rPr>
          <w:color w:val="000000" w:themeColor="text1"/>
        </w:rPr>
        <w:t xml:space="preserve">the </w:t>
      </w:r>
      <w:r w:rsidR="006D0F84" w:rsidRPr="00294BBF">
        <w:rPr>
          <w:color w:val="000000" w:themeColor="text1"/>
        </w:rPr>
        <w:t xml:space="preserve">main </w:t>
      </w:r>
      <w:r w:rsidR="0099783E" w:rsidRPr="00294BBF">
        <w:rPr>
          <w:color w:val="000000" w:themeColor="text1"/>
        </w:rPr>
        <w:t xml:space="preserve">region </w:t>
      </w:r>
      <w:r w:rsidR="00C27032" w:rsidRPr="00294BBF">
        <w:rPr>
          <w:color w:val="000000" w:themeColor="text1"/>
        </w:rPr>
        <w:t xml:space="preserve">of </w:t>
      </w:r>
      <w:r w:rsidR="005F40CD" w:rsidRPr="00294BBF">
        <w:rPr>
          <w:color w:val="000000" w:themeColor="text1"/>
        </w:rPr>
        <w:t xml:space="preserve">larval-observation </w:t>
      </w:r>
      <w:r w:rsidR="00C27032" w:rsidRPr="00294BBF">
        <w:rPr>
          <w:color w:val="000000" w:themeColor="text1"/>
        </w:rPr>
        <w:t>probability</w:t>
      </w:r>
      <w:r w:rsidR="00C27032" w:rsidRPr="00294BBF">
        <w:rPr>
          <w:rFonts w:cs="Times New Roman"/>
          <w:color w:val="000000" w:themeColor="text1"/>
        </w:rPr>
        <w:t xml:space="preserve"> </w:t>
      </w:r>
      <w:r w:rsidR="005F608C" w:rsidRPr="00294BBF">
        <w:rPr>
          <w:color w:val="000000" w:themeColor="text1"/>
        </w:rPr>
        <w:t>is</w:t>
      </w:r>
      <w:r w:rsidR="00C27032" w:rsidRPr="00294BBF">
        <w:rPr>
          <w:color w:val="000000" w:themeColor="text1"/>
        </w:rPr>
        <w:t xml:space="preserve"> more contracted, spanning across </w:t>
      </w:r>
      <w:r w:rsidR="006F5716" w:rsidRPr="00294BBF">
        <w:rPr>
          <w:color w:val="000000" w:themeColor="text1"/>
        </w:rPr>
        <w:t>Rockall Trough</w:t>
      </w:r>
      <w:r w:rsidR="00C27032" w:rsidRPr="00294BBF">
        <w:rPr>
          <w:color w:val="000000" w:themeColor="text1"/>
        </w:rPr>
        <w:t xml:space="preserve"> between 55 and 58 °N, w</w:t>
      </w:r>
      <w:r w:rsidR="005F608C" w:rsidRPr="00294BBF">
        <w:rPr>
          <w:color w:val="000000" w:themeColor="text1"/>
        </w:rPr>
        <w:t xml:space="preserve">ith peak probabilities </w:t>
      </w:r>
      <w:r w:rsidR="005F40CD" w:rsidRPr="00294BBF">
        <w:rPr>
          <w:color w:val="000000" w:themeColor="text1"/>
        </w:rPr>
        <w:t xml:space="preserve">of observation </w:t>
      </w:r>
      <w:r w:rsidR="00C27032" w:rsidRPr="00294BBF">
        <w:rPr>
          <w:color w:val="000000" w:themeColor="text1"/>
        </w:rPr>
        <w:t xml:space="preserve">along the </w:t>
      </w:r>
      <w:r w:rsidR="00FC5767" w:rsidRPr="00294BBF">
        <w:rPr>
          <w:color w:val="000000" w:themeColor="text1"/>
        </w:rPr>
        <w:t>Continental Shelf</w:t>
      </w:r>
      <w:r w:rsidR="00C27032" w:rsidRPr="00294BBF">
        <w:rPr>
          <w:color w:val="000000" w:themeColor="text1"/>
        </w:rPr>
        <w:t xml:space="preserve"> at 57 °N (</w:t>
      </w:r>
      <w:r w:rsidR="00433CC3" w:rsidRPr="00294BBF">
        <w:rPr>
          <w:noProof/>
          <w:color w:val="000000" w:themeColor="text1"/>
        </w:rPr>
        <w:t xml:space="preserve">Fig. </w:t>
      </w:r>
      <w:r w:rsidR="008A7F42" w:rsidRPr="00294BBF">
        <w:rPr>
          <w:noProof/>
          <w:color w:val="000000" w:themeColor="text1"/>
        </w:rPr>
        <w:t>8</w:t>
      </w:r>
      <w:r w:rsidR="00C27032" w:rsidRPr="00294BBF">
        <w:rPr>
          <w:color w:val="000000" w:themeColor="text1"/>
        </w:rPr>
        <w:t xml:space="preserve">b). Overall, the </w:t>
      </w:r>
      <w:r w:rsidR="004C6823" w:rsidRPr="00294BBF">
        <w:rPr>
          <w:color w:val="000000" w:themeColor="text1"/>
        </w:rPr>
        <w:t xml:space="preserve">projected </w:t>
      </w:r>
      <w:r w:rsidR="00C27032" w:rsidRPr="00294BBF">
        <w:rPr>
          <w:color w:val="000000" w:themeColor="text1"/>
        </w:rPr>
        <w:t xml:space="preserve">area of </w:t>
      </w:r>
      <w:r w:rsidR="005F40CD" w:rsidRPr="00294BBF">
        <w:rPr>
          <w:color w:val="000000" w:themeColor="text1"/>
        </w:rPr>
        <w:t>high observation probability (i.e. greater than</w:t>
      </w:r>
      <w:r w:rsidR="00C27032" w:rsidRPr="00294BBF">
        <w:rPr>
          <w:color w:val="000000" w:themeColor="text1"/>
        </w:rPr>
        <w:t xml:space="preserve"> 0.45</w:t>
      </w:r>
      <w:r w:rsidR="005F40CD" w:rsidRPr="00294BBF">
        <w:rPr>
          <w:color w:val="000000" w:themeColor="text1"/>
        </w:rPr>
        <w:t>)</w:t>
      </w:r>
      <w:r w:rsidR="00C27032" w:rsidRPr="00294BBF">
        <w:rPr>
          <w:color w:val="000000" w:themeColor="text1"/>
        </w:rPr>
        <w:t xml:space="preserve"> is </w:t>
      </w:r>
      <w:r w:rsidR="008E37FB" w:rsidRPr="00294BBF">
        <w:rPr>
          <w:color w:val="000000" w:themeColor="text1"/>
        </w:rPr>
        <w:t>2.5 times</w:t>
      </w:r>
      <w:r w:rsidR="00C27032" w:rsidRPr="00294BBF">
        <w:rPr>
          <w:color w:val="000000" w:themeColor="text1"/>
        </w:rPr>
        <w:t xml:space="preserve"> larger during the saline and warm regime</w:t>
      </w:r>
      <w:r w:rsidR="005F40CD" w:rsidRPr="00294BBF">
        <w:rPr>
          <w:color w:val="000000" w:themeColor="text1"/>
        </w:rPr>
        <w:t xml:space="preserve"> (147 000</w:t>
      </w:r>
      <w:r w:rsidR="008E37FB" w:rsidRPr="00294BBF">
        <w:rPr>
          <w:color w:val="000000" w:themeColor="text1"/>
        </w:rPr>
        <w:t xml:space="preserve"> km</w:t>
      </w:r>
      <w:r w:rsidR="008E37FB" w:rsidRPr="00294BBF">
        <w:rPr>
          <w:color w:val="000000" w:themeColor="text1"/>
          <w:vertAlign w:val="superscript"/>
        </w:rPr>
        <w:t>2</w:t>
      </w:r>
      <w:r w:rsidR="008E37FB" w:rsidRPr="00294BBF">
        <w:rPr>
          <w:color w:val="000000" w:themeColor="text1"/>
        </w:rPr>
        <w:t>)</w:t>
      </w:r>
      <w:r w:rsidR="00C27032" w:rsidRPr="00294BBF">
        <w:rPr>
          <w:color w:val="000000" w:themeColor="text1"/>
        </w:rPr>
        <w:t>, compared to</w:t>
      </w:r>
      <w:r w:rsidR="008E37FB" w:rsidRPr="00294BBF">
        <w:rPr>
          <w:color w:val="000000" w:themeColor="text1"/>
        </w:rPr>
        <w:t xml:space="preserve"> the</w:t>
      </w:r>
      <w:r w:rsidR="00C27032" w:rsidRPr="00294BBF">
        <w:rPr>
          <w:color w:val="000000" w:themeColor="text1"/>
        </w:rPr>
        <w:t xml:space="preserve"> fresh and cold </w:t>
      </w:r>
      <w:r w:rsidR="005F40CD" w:rsidRPr="00294BBF">
        <w:rPr>
          <w:color w:val="000000" w:themeColor="text1"/>
        </w:rPr>
        <w:t>regime (59 000</w:t>
      </w:r>
      <w:r w:rsidR="008E37FB" w:rsidRPr="00294BBF">
        <w:rPr>
          <w:color w:val="000000" w:themeColor="text1"/>
        </w:rPr>
        <w:t xml:space="preserve"> km</w:t>
      </w:r>
      <w:r w:rsidR="008E37FB" w:rsidRPr="00294BBF">
        <w:rPr>
          <w:color w:val="000000" w:themeColor="text1"/>
          <w:vertAlign w:val="superscript"/>
        </w:rPr>
        <w:t>2</w:t>
      </w:r>
      <w:r w:rsidR="005F40CD" w:rsidRPr="00294BBF">
        <w:rPr>
          <w:color w:val="000000" w:themeColor="text1"/>
        </w:rPr>
        <w:t>).</w:t>
      </w:r>
    </w:p>
    <w:p w14:paraId="3023844D" w14:textId="627954BA" w:rsidR="0011490B" w:rsidRPr="00294BBF" w:rsidRDefault="00B82DC9" w:rsidP="007F5FBA">
      <w:pPr>
        <w:rPr>
          <w:color w:val="000000" w:themeColor="text1"/>
        </w:rPr>
      </w:pPr>
      <w:r>
        <w:rPr>
          <w:color w:val="000000" w:themeColor="text1"/>
        </w:rPr>
        <w:t xml:space="preserve">A </w:t>
      </w:r>
      <w:r w:rsidR="0011490B" w:rsidRPr="00294BBF">
        <w:rPr>
          <w:color w:val="000000" w:themeColor="text1"/>
        </w:rPr>
        <w:t xml:space="preserve">map </w:t>
      </w:r>
      <w:r>
        <w:rPr>
          <w:color w:val="000000" w:themeColor="text1"/>
        </w:rPr>
        <w:t>of the differences in distribution between the two extreme regimes clearly highlights these changes. A</w:t>
      </w:r>
      <w:r w:rsidR="0011490B" w:rsidRPr="00294BBF">
        <w:rPr>
          <w:color w:val="000000" w:themeColor="text1"/>
        </w:rPr>
        <w:t>reas of high larval-observation probability have the greatest west- and northward extent during saline and warm conditions and are especially high on Rockall Plateau, while</w:t>
      </w:r>
      <w:r w:rsidR="00E35FC5">
        <w:rPr>
          <w:color w:val="000000" w:themeColor="text1"/>
        </w:rPr>
        <w:t xml:space="preserve"> during fresher and colder</w:t>
      </w:r>
      <w:r w:rsidR="0011490B" w:rsidRPr="00294BBF">
        <w:rPr>
          <w:color w:val="000000" w:themeColor="text1"/>
        </w:rPr>
        <w:t xml:space="preserve"> </w:t>
      </w:r>
      <w:r w:rsidR="00E35FC5">
        <w:rPr>
          <w:color w:val="000000" w:themeColor="text1"/>
        </w:rPr>
        <w:t xml:space="preserve">conditions </w:t>
      </w:r>
      <w:r w:rsidR="0011490B" w:rsidRPr="00294BBF">
        <w:rPr>
          <w:color w:val="000000" w:themeColor="text1"/>
        </w:rPr>
        <w:t>they are more constricted towards the Continental Shelf and found slightly further south (</w:t>
      </w:r>
      <w:r w:rsidR="008A7F42" w:rsidRPr="00294BBF">
        <w:rPr>
          <w:noProof/>
          <w:color w:val="000000" w:themeColor="text1"/>
        </w:rPr>
        <w:t>Fig. 8</w:t>
      </w:r>
      <w:r w:rsidR="0011490B" w:rsidRPr="00294BBF">
        <w:rPr>
          <w:color w:val="000000" w:themeColor="text1"/>
        </w:rPr>
        <w:t xml:space="preserve">c). In particular, more larvae are observed on Porcupine Bank and </w:t>
      </w:r>
      <w:proofErr w:type="spellStart"/>
      <w:r w:rsidR="0011490B" w:rsidRPr="00294BBF">
        <w:rPr>
          <w:color w:val="000000" w:themeColor="text1"/>
        </w:rPr>
        <w:t>Seabight</w:t>
      </w:r>
      <w:proofErr w:type="spellEnd"/>
      <w:r w:rsidR="0011490B" w:rsidRPr="00294BBF">
        <w:rPr>
          <w:color w:val="000000" w:themeColor="text1"/>
        </w:rPr>
        <w:t xml:space="preserve"> during fresher and colder conditions while they are virtually absent</w:t>
      </w:r>
      <w:r w:rsidR="00444F6E" w:rsidRPr="00294BBF">
        <w:rPr>
          <w:color w:val="000000" w:themeColor="text1"/>
        </w:rPr>
        <w:t xml:space="preserve"> from Porcupine </w:t>
      </w:r>
      <w:proofErr w:type="spellStart"/>
      <w:r w:rsidR="00444F6E" w:rsidRPr="00294BBF">
        <w:rPr>
          <w:color w:val="000000" w:themeColor="text1"/>
        </w:rPr>
        <w:t>Seabight</w:t>
      </w:r>
      <w:proofErr w:type="spellEnd"/>
      <w:r w:rsidR="0011490B" w:rsidRPr="00294BBF">
        <w:rPr>
          <w:color w:val="000000" w:themeColor="text1"/>
        </w:rPr>
        <w:t xml:space="preserve"> during the saline and warm regime (</w:t>
      </w:r>
      <w:r w:rsidR="008A7F42" w:rsidRPr="00294BBF">
        <w:rPr>
          <w:noProof/>
          <w:color w:val="000000" w:themeColor="text1"/>
        </w:rPr>
        <w:t>Fig. 8</w:t>
      </w:r>
      <w:r w:rsidR="0011490B" w:rsidRPr="00294BBF">
        <w:rPr>
          <w:color w:val="000000" w:themeColor="text1"/>
        </w:rPr>
        <w:t>c).</w:t>
      </w:r>
      <w:r w:rsidR="007F5FBA" w:rsidRPr="00294BBF">
        <w:rPr>
          <w:color w:val="000000" w:themeColor="text1"/>
        </w:rPr>
        <w:t xml:space="preserve"> </w:t>
      </w:r>
    </w:p>
    <w:p w14:paraId="1B1465DA" w14:textId="28DB6518" w:rsidR="00182FA2" w:rsidRDefault="005D7B80" w:rsidP="001B0977">
      <w:pPr>
        <w:rPr>
          <w:color w:val="000000" w:themeColor="text1"/>
        </w:rPr>
      </w:pPr>
      <w:r w:rsidRPr="00294BBF">
        <w:rPr>
          <w:rStyle w:val="Overskrift4Tegn"/>
          <w:color w:val="000000" w:themeColor="text1"/>
        </w:rPr>
        <w:t xml:space="preserve">Validation </w:t>
      </w:r>
      <w:r w:rsidR="00161B41" w:rsidRPr="00294BBF">
        <w:rPr>
          <w:rStyle w:val="Overskrift4Tegn"/>
          <w:color w:val="000000" w:themeColor="text1"/>
        </w:rPr>
        <w:t>against independent data</w:t>
      </w:r>
      <w:r w:rsidR="00161B41" w:rsidRPr="00294BBF">
        <w:rPr>
          <w:rStyle w:val="Overskrift4Tegn"/>
          <w:color w:val="000000" w:themeColor="text1"/>
        </w:rPr>
        <w:tab/>
      </w:r>
      <w:r w:rsidR="00330B87" w:rsidRPr="00294BBF">
        <w:rPr>
          <w:rStyle w:val="Overskrift4Tegn"/>
          <w:color w:val="000000" w:themeColor="text1"/>
        </w:rPr>
        <w:br/>
      </w:r>
      <w:r w:rsidR="00330B87" w:rsidRPr="00294BBF">
        <w:rPr>
          <w:color w:val="000000" w:themeColor="text1"/>
        </w:rPr>
        <w:t xml:space="preserve">We found good agreement between the SDM’s response to salinities based on CPR observations of blue whiting larvae, </w:t>
      </w:r>
      <w:r w:rsidR="00330B87" w:rsidRPr="00294BBF">
        <w:rPr>
          <w:color w:val="000000" w:themeColor="text1"/>
          <w:lang w:val="en-US"/>
        </w:rPr>
        <w:t xml:space="preserve">and that inferred for adult fish, based on observations from fisheries and scientific surveys. </w:t>
      </w:r>
      <w:r w:rsidR="00D84AD3" w:rsidRPr="00294BBF">
        <w:rPr>
          <w:color w:val="000000" w:themeColor="text1"/>
        </w:rPr>
        <w:t>The majority of adult blue whiting were encountered between salinities of 35.3 and 35.5</w:t>
      </w:r>
      <w:r w:rsidR="007D6A65">
        <w:rPr>
          <w:color w:val="000000" w:themeColor="text1"/>
        </w:rPr>
        <w:t xml:space="preserve"> </w:t>
      </w:r>
      <w:r w:rsidR="00E94464" w:rsidRPr="00294BBF">
        <w:rPr>
          <w:color w:val="000000" w:themeColor="text1"/>
        </w:rPr>
        <w:t>(</w:t>
      </w:r>
      <w:r w:rsidR="00E94464" w:rsidRPr="00294BBF">
        <w:rPr>
          <w:noProof/>
          <w:color w:val="000000" w:themeColor="text1"/>
        </w:rPr>
        <w:t>Fig. 9</w:t>
      </w:r>
      <w:r w:rsidR="00E94464" w:rsidRPr="00294BBF">
        <w:rPr>
          <w:color w:val="000000" w:themeColor="text1"/>
        </w:rPr>
        <w:t>)</w:t>
      </w:r>
      <w:r w:rsidR="00E94464">
        <w:rPr>
          <w:color w:val="000000" w:themeColor="text1"/>
        </w:rPr>
        <w:t>. This result is</w:t>
      </w:r>
      <w:r w:rsidR="00D84AD3" w:rsidRPr="00294BBF">
        <w:rPr>
          <w:color w:val="000000" w:themeColor="text1"/>
        </w:rPr>
        <w:t xml:space="preserve"> </w:t>
      </w:r>
      <w:r w:rsidR="00DB2368" w:rsidRPr="00294BBF">
        <w:rPr>
          <w:color w:val="000000" w:themeColor="text1"/>
        </w:rPr>
        <w:t xml:space="preserve">in good agreement with </w:t>
      </w:r>
      <w:r w:rsidR="00D84AD3" w:rsidRPr="00294BBF">
        <w:rPr>
          <w:color w:val="000000" w:themeColor="text1"/>
        </w:rPr>
        <w:t>the smooth function of S</w:t>
      </w:r>
      <w:r w:rsidR="00D84AD3" w:rsidRPr="00294BBF">
        <w:rPr>
          <w:color w:val="000000" w:themeColor="text1"/>
          <w:vertAlign w:val="subscript"/>
        </w:rPr>
        <w:t xml:space="preserve">SPAWN </w:t>
      </w:r>
      <w:r w:rsidR="00DB2368" w:rsidRPr="00294BBF">
        <w:rPr>
          <w:color w:val="000000" w:themeColor="text1"/>
        </w:rPr>
        <w:t xml:space="preserve">of the SDM, which </w:t>
      </w:r>
      <w:r w:rsidR="00D84AD3" w:rsidRPr="00294BBF">
        <w:rPr>
          <w:color w:val="000000" w:themeColor="text1"/>
        </w:rPr>
        <w:t>predicts the highest larval-observation probability at this salinity range. The low abundance</w:t>
      </w:r>
      <w:r w:rsidR="00444F6E" w:rsidRPr="00294BBF">
        <w:rPr>
          <w:color w:val="000000" w:themeColor="text1"/>
        </w:rPr>
        <w:t xml:space="preserve"> of blue whiting</w:t>
      </w:r>
      <w:r w:rsidR="00D84AD3" w:rsidRPr="00294BBF">
        <w:rPr>
          <w:color w:val="000000" w:themeColor="text1"/>
        </w:rPr>
        <w:t xml:space="preserve"> </w:t>
      </w:r>
      <w:r w:rsidR="00D84AD3" w:rsidRPr="00294BBF">
        <w:rPr>
          <w:color w:val="000000" w:themeColor="text1"/>
        </w:rPr>
        <w:lastRenderedPageBreak/>
        <w:t>at salinities &lt; 35.3 is</w:t>
      </w:r>
      <w:r w:rsidR="00444F6E" w:rsidRPr="00294BBF">
        <w:rPr>
          <w:color w:val="000000" w:themeColor="text1"/>
        </w:rPr>
        <w:t>, however,</w:t>
      </w:r>
      <w:r w:rsidR="00D84AD3" w:rsidRPr="00294BBF">
        <w:rPr>
          <w:color w:val="000000" w:themeColor="text1"/>
        </w:rPr>
        <w:t xml:space="preserve"> not in reflected the SDM</w:t>
      </w:r>
      <w:r w:rsidR="00182FA2">
        <w:rPr>
          <w:color w:val="000000" w:themeColor="text1"/>
        </w:rPr>
        <w:t xml:space="preserve"> and may arise due to the capture of fish that are migrating to or from their spawning location.</w:t>
      </w:r>
    </w:p>
    <w:p w14:paraId="0108DD55" w14:textId="0DAF2059" w:rsidR="001B0977" w:rsidRPr="00294BBF" w:rsidRDefault="008D0ACD" w:rsidP="001B0977">
      <w:pPr>
        <w:rPr>
          <w:rFonts w:eastAsiaTheme="majorEastAsia" w:cstheme="majorBidi"/>
          <w:bCs/>
          <w:i/>
          <w:iCs/>
          <w:color w:val="000000" w:themeColor="text1"/>
          <w:szCs w:val="24"/>
        </w:rPr>
      </w:pPr>
      <w:r w:rsidRPr="00294BBF">
        <w:rPr>
          <w:color w:val="000000" w:themeColor="text1"/>
        </w:rPr>
        <w:t xml:space="preserve">Good </w:t>
      </w:r>
      <w:r w:rsidR="004A7A0C">
        <w:rPr>
          <w:color w:val="000000" w:themeColor="text1"/>
        </w:rPr>
        <w:t xml:space="preserve">spatial </w:t>
      </w:r>
      <w:r w:rsidRPr="00294BBF">
        <w:rPr>
          <w:color w:val="000000" w:themeColor="text1"/>
        </w:rPr>
        <w:t>agreement is</w:t>
      </w:r>
      <w:r w:rsidR="00444F6E" w:rsidRPr="00294BBF">
        <w:rPr>
          <w:color w:val="000000" w:themeColor="text1"/>
        </w:rPr>
        <w:t xml:space="preserve"> also</w:t>
      </w:r>
      <w:r w:rsidRPr="00294BBF">
        <w:rPr>
          <w:color w:val="000000" w:themeColor="text1"/>
        </w:rPr>
        <w:t xml:space="preserve"> seen between the </w:t>
      </w:r>
      <w:r w:rsidR="00CF7A45">
        <w:rPr>
          <w:color w:val="000000" w:themeColor="text1"/>
        </w:rPr>
        <w:t>estimated</w:t>
      </w:r>
      <w:r w:rsidR="00CF7A45" w:rsidRPr="00294BBF">
        <w:rPr>
          <w:color w:val="000000" w:themeColor="text1"/>
        </w:rPr>
        <w:t xml:space="preserve"> </w:t>
      </w:r>
      <w:r w:rsidRPr="00294BBF">
        <w:rPr>
          <w:color w:val="000000" w:themeColor="text1"/>
        </w:rPr>
        <w:t xml:space="preserve">distribution of larvae from the SDM and </w:t>
      </w:r>
      <w:r w:rsidR="005273AC" w:rsidRPr="00294BBF">
        <w:rPr>
          <w:color w:val="000000" w:themeColor="text1"/>
        </w:rPr>
        <w:t xml:space="preserve">independent </w:t>
      </w:r>
      <w:r w:rsidRPr="00294BBF">
        <w:rPr>
          <w:color w:val="000000" w:themeColor="text1"/>
        </w:rPr>
        <w:t xml:space="preserve">observations from </w:t>
      </w:r>
      <w:r w:rsidR="005273AC" w:rsidRPr="00294BBF">
        <w:rPr>
          <w:color w:val="000000" w:themeColor="text1"/>
        </w:rPr>
        <w:t>fisheries and scientific surveys targeting spawning adults (</w:t>
      </w:r>
      <w:r w:rsidR="008A7F42" w:rsidRPr="00294BBF">
        <w:rPr>
          <w:noProof/>
          <w:color w:val="000000" w:themeColor="text1"/>
        </w:rPr>
        <w:t>Fig. 10</w:t>
      </w:r>
      <w:r w:rsidR="005273AC" w:rsidRPr="00294BBF">
        <w:rPr>
          <w:color w:val="000000" w:themeColor="text1"/>
        </w:rPr>
        <w:t>).</w:t>
      </w:r>
      <w:r w:rsidR="00E83B2D" w:rsidRPr="00294BBF">
        <w:rPr>
          <w:color w:val="000000" w:themeColor="text1"/>
        </w:rPr>
        <w:t xml:space="preserve"> In particular, the</w:t>
      </w:r>
      <w:r w:rsidR="00B058CB" w:rsidRPr="00294BBF">
        <w:rPr>
          <w:color w:val="000000" w:themeColor="text1"/>
        </w:rPr>
        <w:t xml:space="preserve"> </w:t>
      </w:r>
      <w:r w:rsidR="00E83B2D" w:rsidRPr="00294BBF">
        <w:rPr>
          <w:color w:val="000000" w:themeColor="text1"/>
        </w:rPr>
        <w:t xml:space="preserve">expanded, westward </w:t>
      </w:r>
      <w:r w:rsidR="00B058CB" w:rsidRPr="00294BBF">
        <w:rPr>
          <w:color w:val="000000" w:themeColor="text1"/>
        </w:rPr>
        <w:t xml:space="preserve">distribution of </w:t>
      </w:r>
      <w:r w:rsidR="00E83B2D" w:rsidRPr="00294BBF">
        <w:rPr>
          <w:color w:val="000000" w:themeColor="text1"/>
        </w:rPr>
        <w:t>larvae</w:t>
      </w:r>
      <w:r w:rsidR="00B058CB" w:rsidRPr="00294BBF">
        <w:rPr>
          <w:color w:val="000000" w:themeColor="text1"/>
        </w:rPr>
        <w:t xml:space="preserve"> </w:t>
      </w:r>
      <w:r w:rsidR="00C206EE" w:rsidRPr="00294BBF">
        <w:rPr>
          <w:color w:val="000000" w:themeColor="text1"/>
        </w:rPr>
        <w:t xml:space="preserve">during </w:t>
      </w:r>
      <w:r w:rsidR="00B058CB" w:rsidRPr="00294BBF">
        <w:rPr>
          <w:color w:val="000000" w:themeColor="text1"/>
        </w:rPr>
        <w:t>saline and warm</w:t>
      </w:r>
      <w:r w:rsidR="00E83B2D" w:rsidRPr="00294BBF">
        <w:rPr>
          <w:color w:val="000000" w:themeColor="text1"/>
        </w:rPr>
        <w:t xml:space="preserve"> conditions in 2007</w:t>
      </w:r>
      <w:r w:rsidR="00B058CB" w:rsidRPr="00294BBF">
        <w:rPr>
          <w:color w:val="000000" w:themeColor="text1"/>
        </w:rPr>
        <w:t>, and</w:t>
      </w:r>
      <w:r w:rsidR="00E83B2D" w:rsidRPr="00294BBF">
        <w:rPr>
          <w:color w:val="000000" w:themeColor="text1"/>
        </w:rPr>
        <w:t xml:space="preserve"> the</w:t>
      </w:r>
      <w:r w:rsidR="00B058CB" w:rsidRPr="00294BBF">
        <w:rPr>
          <w:color w:val="000000" w:themeColor="text1"/>
        </w:rPr>
        <w:t xml:space="preserve"> contracted distribution </w:t>
      </w:r>
      <w:r w:rsidR="00C206EE" w:rsidRPr="00294BBF">
        <w:rPr>
          <w:color w:val="000000" w:themeColor="text1"/>
        </w:rPr>
        <w:t xml:space="preserve">during </w:t>
      </w:r>
      <w:r w:rsidR="00B058CB" w:rsidRPr="00294BBF">
        <w:rPr>
          <w:color w:val="000000" w:themeColor="text1"/>
        </w:rPr>
        <w:t>fresh and cold conditions</w:t>
      </w:r>
      <w:r w:rsidR="00E83B2D" w:rsidRPr="00294BBF">
        <w:rPr>
          <w:color w:val="000000" w:themeColor="text1"/>
        </w:rPr>
        <w:t xml:space="preserve"> in 1993</w:t>
      </w:r>
      <w:r w:rsidR="00B058CB" w:rsidRPr="00294BBF">
        <w:rPr>
          <w:color w:val="000000" w:themeColor="text1"/>
        </w:rPr>
        <w:t xml:space="preserve"> </w:t>
      </w:r>
      <w:r w:rsidR="00AD1655" w:rsidRPr="00294BBF">
        <w:rPr>
          <w:color w:val="000000" w:themeColor="text1"/>
        </w:rPr>
        <w:t xml:space="preserve">resemble observations </w:t>
      </w:r>
      <w:r w:rsidR="00B058CB" w:rsidRPr="00294BBF">
        <w:rPr>
          <w:color w:val="000000" w:themeColor="text1"/>
        </w:rPr>
        <w:t>from independent fisheries and scientific surveys targeting spawning adults</w:t>
      </w:r>
      <w:r w:rsidR="00561EE3">
        <w:rPr>
          <w:color w:val="000000" w:themeColor="text1"/>
        </w:rPr>
        <w:t xml:space="preserve"> well</w:t>
      </w:r>
      <w:r w:rsidR="00E83B2D" w:rsidRPr="00294BBF">
        <w:rPr>
          <w:color w:val="000000" w:themeColor="text1"/>
        </w:rPr>
        <w:t xml:space="preserve"> (</w:t>
      </w:r>
      <w:r w:rsidR="008A7F42" w:rsidRPr="00294BBF">
        <w:rPr>
          <w:noProof/>
          <w:color w:val="000000" w:themeColor="text1"/>
        </w:rPr>
        <w:t>Fig. 10</w:t>
      </w:r>
      <w:r w:rsidR="00E83B2D" w:rsidRPr="00294BBF">
        <w:rPr>
          <w:color w:val="000000" w:themeColor="text1"/>
        </w:rPr>
        <w:t>)</w:t>
      </w:r>
      <w:r w:rsidR="00B058CB" w:rsidRPr="00294BBF">
        <w:rPr>
          <w:color w:val="000000" w:themeColor="text1"/>
        </w:rPr>
        <w:t>.</w:t>
      </w:r>
      <w:r w:rsidR="00AD1655" w:rsidRPr="00294BBF">
        <w:rPr>
          <w:color w:val="000000" w:themeColor="text1"/>
        </w:rPr>
        <w:t xml:space="preserve"> The</w:t>
      </w:r>
      <w:r w:rsidR="00E83B2D" w:rsidRPr="00294BBF">
        <w:rPr>
          <w:color w:val="000000" w:themeColor="text1"/>
        </w:rPr>
        <w:t xml:space="preserve"> optimum salinity window encompasses the majority of observat</w:t>
      </w:r>
      <w:r w:rsidR="00AD1655" w:rsidRPr="00294BBF">
        <w:rPr>
          <w:color w:val="000000" w:themeColor="text1"/>
        </w:rPr>
        <w:t>ions</w:t>
      </w:r>
      <w:r w:rsidR="00E83B2D" w:rsidRPr="00294BBF">
        <w:rPr>
          <w:color w:val="000000" w:themeColor="text1"/>
        </w:rPr>
        <w:t xml:space="preserve"> </w:t>
      </w:r>
      <w:r w:rsidR="00AD456D" w:rsidRPr="00294BBF">
        <w:rPr>
          <w:color w:val="000000" w:themeColor="text1"/>
        </w:rPr>
        <w:t xml:space="preserve">and delineates the maximum westwards extent </w:t>
      </w:r>
      <w:r w:rsidR="00E83B2D" w:rsidRPr="00294BBF">
        <w:rPr>
          <w:color w:val="000000" w:themeColor="text1"/>
        </w:rPr>
        <w:t>specifically in 2007</w:t>
      </w:r>
      <w:r w:rsidR="008A7804" w:rsidRPr="00294BBF">
        <w:rPr>
          <w:color w:val="000000" w:themeColor="text1"/>
        </w:rPr>
        <w:t xml:space="preserve"> (</w:t>
      </w:r>
      <w:r w:rsidR="008A7F42" w:rsidRPr="00294BBF">
        <w:rPr>
          <w:noProof/>
          <w:color w:val="000000" w:themeColor="text1"/>
        </w:rPr>
        <w:t>Fig. 10</w:t>
      </w:r>
      <w:r w:rsidR="008A7804" w:rsidRPr="00294BBF">
        <w:rPr>
          <w:color w:val="000000" w:themeColor="text1"/>
        </w:rPr>
        <w:t>). H</w:t>
      </w:r>
      <w:r w:rsidR="00AD1655" w:rsidRPr="00294BBF">
        <w:rPr>
          <w:color w:val="000000" w:themeColor="text1"/>
        </w:rPr>
        <w:t>owever</w:t>
      </w:r>
      <w:r w:rsidR="008A7804" w:rsidRPr="00294BBF">
        <w:rPr>
          <w:color w:val="000000" w:themeColor="text1"/>
        </w:rPr>
        <w:t xml:space="preserve">, observations of adult blue whiting reach further north and south than </w:t>
      </w:r>
      <w:r w:rsidR="00910900">
        <w:rPr>
          <w:color w:val="000000" w:themeColor="text1"/>
        </w:rPr>
        <w:t>predicted</w:t>
      </w:r>
      <w:r w:rsidR="00910900" w:rsidRPr="00294BBF">
        <w:rPr>
          <w:color w:val="000000" w:themeColor="text1"/>
        </w:rPr>
        <w:t xml:space="preserve"> </w:t>
      </w:r>
      <w:r w:rsidR="008A7804" w:rsidRPr="00294BBF">
        <w:rPr>
          <w:color w:val="000000" w:themeColor="text1"/>
        </w:rPr>
        <w:t>by the SDM or expected from the optimum salinity window</w:t>
      </w:r>
      <w:r w:rsidR="00065C02" w:rsidRPr="00294BBF">
        <w:rPr>
          <w:color w:val="000000" w:themeColor="text1"/>
        </w:rPr>
        <w:t xml:space="preserve"> and observed catches</w:t>
      </w:r>
      <w:r w:rsidR="00065C02" w:rsidRPr="00294BBF">
        <w:rPr>
          <w:color w:val="000000" w:themeColor="text1"/>
          <w:lang w:val="en-US"/>
        </w:rPr>
        <w:t xml:space="preserve"> from 1993 fail to match the predicted peak occurrence</w:t>
      </w:r>
      <w:r w:rsidR="008A7804" w:rsidRPr="00294BBF">
        <w:rPr>
          <w:color w:val="000000" w:themeColor="text1"/>
        </w:rPr>
        <w:t xml:space="preserve"> (</w:t>
      </w:r>
      <w:r w:rsidR="008A7F42" w:rsidRPr="00294BBF">
        <w:rPr>
          <w:noProof/>
          <w:color w:val="000000" w:themeColor="text1"/>
        </w:rPr>
        <w:t>Fig. 10</w:t>
      </w:r>
      <w:r w:rsidR="008A7804" w:rsidRPr="00294BBF">
        <w:rPr>
          <w:color w:val="000000" w:themeColor="text1"/>
        </w:rPr>
        <w:t>)</w:t>
      </w:r>
      <w:r w:rsidR="00274330">
        <w:rPr>
          <w:color w:val="000000" w:themeColor="text1"/>
        </w:rPr>
        <w:t>: again, these may be due to fish on their way to or from the spawning grounds.</w:t>
      </w:r>
    </w:p>
    <w:p w14:paraId="1B7FA06A" w14:textId="77777777" w:rsidR="00BD12A0" w:rsidRPr="00294BBF" w:rsidRDefault="00161B41" w:rsidP="00BD12A0">
      <w:pPr>
        <w:pStyle w:val="Overskrift1"/>
        <w:rPr>
          <w:color w:val="000000" w:themeColor="text1"/>
        </w:rPr>
      </w:pPr>
      <w:bookmarkStart w:id="19" w:name="_Toc487401368"/>
      <w:r w:rsidRPr="00294BBF">
        <w:rPr>
          <w:color w:val="000000" w:themeColor="text1"/>
        </w:rPr>
        <w:t xml:space="preserve">DISCUSSION &amp; CONCLUSION </w:t>
      </w:r>
      <w:bookmarkEnd w:id="19"/>
    </w:p>
    <w:p w14:paraId="2C080EF9" w14:textId="387F0E3C" w:rsidR="00E86DFD" w:rsidRPr="00294BBF" w:rsidRDefault="00732861" w:rsidP="00BD12A0">
      <w:pPr>
        <w:rPr>
          <w:color w:val="000000" w:themeColor="text1"/>
        </w:rPr>
      </w:pPr>
      <w:r w:rsidRPr="00294BBF">
        <w:rPr>
          <w:color w:val="000000" w:themeColor="text1"/>
        </w:rPr>
        <w:t xml:space="preserve">This </w:t>
      </w:r>
      <w:r w:rsidR="00B815DC" w:rsidRPr="00294BBF">
        <w:rPr>
          <w:color w:val="000000" w:themeColor="text1"/>
        </w:rPr>
        <w:t xml:space="preserve">study </w:t>
      </w:r>
      <w:r w:rsidRPr="00294BBF">
        <w:rPr>
          <w:color w:val="000000" w:themeColor="text1"/>
        </w:rPr>
        <w:t>provides a quantitative insight into the processes determining the spatial distribution of blue whiting spawning</w:t>
      </w:r>
      <w:r w:rsidR="005E3339" w:rsidRPr="005E3339">
        <w:rPr>
          <w:color w:val="000000" w:themeColor="text1"/>
        </w:rPr>
        <w:t xml:space="preserve"> </w:t>
      </w:r>
      <w:r w:rsidR="005E3339" w:rsidRPr="00294BBF">
        <w:rPr>
          <w:color w:val="000000" w:themeColor="text1"/>
        </w:rPr>
        <w:t>for the first time</w:t>
      </w:r>
      <w:r w:rsidRPr="00294BBF">
        <w:rPr>
          <w:color w:val="000000" w:themeColor="text1"/>
        </w:rPr>
        <w:t xml:space="preserve">. By combining the wide ranging observations of blue whiting presence and absence from the CPR with </w:t>
      </w:r>
      <w:r w:rsidR="009B2D4D" w:rsidRPr="00294BBF">
        <w:rPr>
          <w:color w:val="000000" w:themeColor="text1"/>
        </w:rPr>
        <w:t>species distribution modelling</w:t>
      </w:r>
      <w:r w:rsidRPr="00294BBF">
        <w:rPr>
          <w:color w:val="000000" w:themeColor="text1"/>
        </w:rPr>
        <w:t xml:space="preserve"> tools and ocean observation products,</w:t>
      </w:r>
      <w:r w:rsidR="009838C6" w:rsidRPr="00294BBF">
        <w:rPr>
          <w:color w:val="000000" w:themeColor="text1"/>
        </w:rPr>
        <w:t xml:space="preserve"> it is possible to characterise the processes driving the observed distributional shifts. </w:t>
      </w:r>
      <w:r w:rsidR="00AF2B52" w:rsidRPr="00294BBF">
        <w:rPr>
          <w:color w:val="000000" w:themeColor="text1"/>
        </w:rPr>
        <w:t>Here we place these conclusions in a broader context.</w:t>
      </w:r>
    </w:p>
    <w:p w14:paraId="07BD0817" w14:textId="2E037AD0" w:rsidR="00E86DFD" w:rsidRPr="00294BBF" w:rsidRDefault="00E86DFD" w:rsidP="00BD12A0">
      <w:pPr>
        <w:pStyle w:val="Overskrift3"/>
        <w:rPr>
          <w:color w:val="000000" w:themeColor="text1"/>
        </w:rPr>
      </w:pPr>
      <w:r w:rsidRPr="00294BBF">
        <w:rPr>
          <w:color w:val="000000" w:themeColor="text1"/>
        </w:rPr>
        <w:t xml:space="preserve">The marine </w:t>
      </w:r>
      <w:r w:rsidR="005248F1" w:rsidRPr="00294BBF">
        <w:rPr>
          <w:color w:val="000000" w:themeColor="text1"/>
        </w:rPr>
        <w:t xml:space="preserve">environment </w:t>
      </w:r>
      <w:r w:rsidRPr="00294BBF">
        <w:rPr>
          <w:color w:val="000000" w:themeColor="text1"/>
        </w:rPr>
        <w:t xml:space="preserve">impacts the </w:t>
      </w:r>
      <w:r w:rsidR="00F16AB5" w:rsidRPr="00294BBF">
        <w:rPr>
          <w:color w:val="000000" w:themeColor="text1"/>
        </w:rPr>
        <w:t>s</w:t>
      </w:r>
      <w:r w:rsidRPr="00294BBF">
        <w:rPr>
          <w:color w:val="000000" w:themeColor="text1"/>
        </w:rPr>
        <w:t>pawning distribution</w:t>
      </w:r>
    </w:p>
    <w:p w14:paraId="1472FE30" w14:textId="08DDCE0B" w:rsidR="009B189C" w:rsidRDefault="00AF2B52" w:rsidP="009B189C">
      <w:pPr>
        <w:rPr>
          <w:color w:val="000000" w:themeColor="text1"/>
        </w:rPr>
      </w:pPr>
      <w:r w:rsidRPr="00294BBF">
        <w:rPr>
          <w:color w:val="000000" w:themeColor="text1"/>
        </w:rPr>
        <w:lastRenderedPageBreak/>
        <w:t xml:space="preserve">Firstly, </w:t>
      </w:r>
      <w:r w:rsidR="00EF27A1" w:rsidRPr="00294BBF">
        <w:rPr>
          <w:color w:val="000000" w:themeColor="text1"/>
        </w:rPr>
        <w:t>the distributional shifts reported here agree with previously published work. T</w:t>
      </w:r>
      <w:r w:rsidR="00B815DC" w:rsidRPr="00294BBF">
        <w:rPr>
          <w:color w:val="000000" w:themeColor="text1"/>
        </w:rPr>
        <w:t>he north</w:t>
      </w:r>
      <w:r w:rsidR="00074DBA" w:rsidRPr="00294BBF">
        <w:rPr>
          <w:color w:val="000000" w:themeColor="text1"/>
        </w:rPr>
        <w:t>- and west</w:t>
      </w:r>
      <w:r w:rsidR="00B815DC" w:rsidRPr="00294BBF">
        <w:rPr>
          <w:color w:val="000000" w:themeColor="text1"/>
        </w:rPr>
        <w:t xml:space="preserve">ward expansion of the </w:t>
      </w:r>
      <w:r w:rsidR="0013197B" w:rsidRPr="00294BBF">
        <w:rPr>
          <w:color w:val="000000" w:themeColor="text1"/>
        </w:rPr>
        <w:t>region with high probability of observing blue whiting larvae</w:t>
      </w:r>
      <w:r w:rsidR="00BD6F5E">
        <w:rPr>
          <w:color w:val="000000" w:themeColor="text1"/>
        </w:rPr>
        <w:t xml:space="preserve"> in the CPR</w:t>
      </w:r>
      <w:r w:rsidR="0013197B" w:rsidRPr="00294BBF">
        <w:rPr>
          <w:color w:val="000000" w:themeColor="text1"/>
        </w:rPr>
        <w:t xml:space="preserve"> (i.e. the potential spawning region) </w:t>
      </w:r>
      <w:r w:rsidR="00C206EE" w:rsidRPr="00294BBF">
        <w:rPr>
          <w:color w:val="000000" w:themeColor="text1"/>
        </w:rPr>
        <w:t xml:space="preserve">during </w:t>
      </w:r>
      <w:r w:rsidR="00B815DC" w:rsidRPr="00294BBF">
        <w:rPr>
          <w:color w:val="000000" w:themeColor="text1"/>
        </w:rPr>
        <w:t>saline and warm conditions</w:t>
      </w:r>
      <w:r w:rsidR="00074DBA" w:rsidRPr="00294BBF">
        <w:rPr>
          <w:color w:val="000000" w:themeColor="text1"/>
        </w:rPr>
        <w:t>,</w:t>
      </w:r>
      <w:r w:rsidR="00B815DC" w:rsidRPr="00294BBF">
        <w:rPr>
          <w:color w:val="000000" w:themeColor="text1"/>
        </w:rPr>
        <w:t xml:space="preserve"> and its contraction towards the </w:t>
      </w:r>
      <w:r w:rsidR="00FC5767" w:rsidRPr="00294BBF">
        <w:rPr>
          <w:color w:val="000000" w:themeColor="text1"/>
        </w:rPr>
        <w:t>Continental Shelf</w:t>
      </w:r>
      <w:r w:rsidR="00B815DC" w:rsidRPr="00294BBF">
        <w:rPr>
          <w:color w:val="000000" w:themeColor="text1"/>
        </w:rPr>
        <w:t xml:space="preserve"> </w:t>
      </w:r>
      <w:r w:rsidR="00C206EE" w:rsidRPr="00294BBF">
        <w:rPr>
          <w:color w:val="000000" w:themeColor="text1"/>
        </w:rPr>
        <w:t xml:space="preserve">during </w:t>
      </w:r>
      <w:r w:rsidR="00074DBA" w:rsidRPr="00294BBF">
        <w:rPr>
          <w:color w:val="000000" w:themeColor="text1"/>
        </w:rPr>
        <w:t>fresher and colder conditions</w:t>
      </w:r>
      <w:r w:rsidR="00EF27A1" w:rsidRPr="00294BBF">
        <w:rPr>
          <w:color w:val="000000" w:themeColor="text1"/>
        </w:rPr>
        <w:t xml:space="preserve"> (e.g.</w:t>
      </w:r>
      <w:r w:rsidR="00B058CB" w:rsidRPr="00294BBF">
        <w:rPr>
          <w:color w:val="000000" w:themeColor="text1"/>
        </w:rPr>
        <w:t xml:space="preserve"> Fig</w:t>
      </w:r>
      <w:r w:rsidR="00C920CB" w:rsidRPr="00294BBF">
        <w:rPr>
          <w:color w:val="000000" w:themeColor="text1"/>
        </w:rPr>
        <w:t>.</w:t>
      </w:r>
      <w:r w:rsidR="00B058CB" w:rsidRPr="00294BBF">
        <w:rPr>
          <w:color w:val="000000" w:themeColor="text1"/>
        </w:rPr>
        <w:t xml:space="preserve"> 5</w:t>
      </w:r>
      <w:r w:rsidR="006123B2" w:rsidRPr="00294BBF">
        <w:rPr>
          <w:color w:val="000000" w:themeColor="text1"/>
        </w:rPr>
        <w:t>)</w:t>
      </w:r>
      <w:r w:rsidR="00B815DC" w:rsidRPr="00294BBF">
        <w:rPr>
          <w:color w:val="000000" w:themeColor="text1"/>
        </w:rPr>
        <w:t xml:space="preserve"> </w:t>
      </w:r>
      <w:r w:rsidR="00AD653B" w:rsidRPr="00294BBF">
        <w:rPr>
          <w:color w:val="000000" w:themeColor="text1"/>
        </w:rPr>
        <w:t>has been</w:t>
      </w:r>
      <w:r w:rsidRPr="00294BBF">
        <w:rPr>
          <w:color w:val="000000" w:themeColor="text1"/>
        </w:rPr>
        <w:t xml:space="preserve"> </w:t>
      </w:r>
      <w:r w:rsidR="00B815DC" w:rsidRPr="00294BBF">
        <w:rPr>
          <w:color w:val="000000" w:themeColor="text1"/>
        </w:rPr>
        <w:t xml:space="preserve">observed previously </w:t>
      </w:r>
      <w:r w:rsidR="00B815DC" w:rsidRPr="00294BBF">
        <w:rPr>
          <w:color w:val="000000" w:themeColor="text1"/>
        </w:rPr>
        <w:fldChar w:fldCharType="begin" w:fldLock="1"/>
      </w:r>
      <w:r w:rsidR="004B27B5" w:rsidRPr="00294BBF">
        <w:rPr>
          <w:color w:val="000000" w:themeColor="text1"/>
        </w:rPr>
        <w:instrText>ADDIN CSL_CITATION { "citationItems" : [ { "id" : "ITEM-1", "itemData" : { "author" : [ { "dropping-particle" : "", "family" : "Bailey", "given" : "R. S.", "non-dropping-particle" : "", "parse-names" : false, "suffix" : "" } ], "container-title" : "Scottish Fisheries Bulletin", "id" : "ITEM-1", "issue" : "33", "issued" : { "date-parts" : [ [ "1970" ] ] }, "page" : "4-8", "title" : "Blue Whiting Stocks in the North-East Atlantic", "type" : "article-journal", "volume" : "33" }, "uris" : [ "http://www.mendeley.com/documents/?uuid=2452e458-eeff-4277-aa2e-0b800aff8ff3" ] }, { "id" : "ITEM-2", "itemData" : { "author" : [ { "dropping-particle" : "", "family" : "Bainbridge", "given" : "V.", "non-dropping-particle" : "", "parse-names" : false, "suffix" : "" }, { "dropping-particle" : "", "family" : "Cooper", "given" : "G.", "non-dropping-particle" : "", "parse-names" : false, "suffix" : "" } ], "container-title" : "Bull. Mar. Ecol.", "id" : "ITEM-2", "issued" : { "date-parts" : [ [ "1973" ] ] }, "page" : "99-114", "title" : "The distribution and abundance of the larvae of the blue whiting, Micromestistius poutassou (Risso), in the north-east Atlantic, 1948-1970", "type" : "article-journal", "volume" : "8" }, "uris" : [ "http://www.mendeley.com/documents/?uuid=e538b37e-995a-4091-87ea-617a977f66a1", "http://www.mendeley.com/documents/?uuid=9863919e-7218-4fb1-83b0-77ba55193c24" ] } ], "mendeley" : { "formattedCitation" : "(Bailey, 1970; Bainbridge and Cooper, 1973)", "plainTextFormattedCitation" : "(Bailey, 1970; Bainbridge and Cooper, 1973)", "previouslyFormattedCitation" : "(Bailey, 1970; Bainbridge and Cooper, 1973)" }, "properties" : { "noteIndex" : 0 }, "schema" : "https://github.com/citation-style-language/schema/raw/master/csl-citation.json" }</w:instrText>
      </w:r>
      <w:r w:rsidR="00B815DC" w:rsidRPr="00294BBF">
        <w:rPr>
          <w:color w:val="000000" w:themeColor="text1"/>
        </w:rPr>
        <w:fldChar w:fldCharType="separate"/>
      </w:r>
      <w:r w:rsidR="00564924" w:rsidRPr="00294BBF">
        <w:rPr>
          <w:noProof/>
          <w:color w:val="000000" w:themeColor="text1"/>
        </w:rPr>
        <w:t>(Bailey, 1970; Bainbridge and Cooper, 1973)</w:t>
      </w:r>
      <w:r w:rsidR="00B815DC" w:rsidRPr="00294BBF">
        <w:rPr>
          <w:color w:val="000000" w:themeColor="text1"/>
        </w:rPr>
        <w:fldChar w:fldCharType="end"/>
      </w:r>
      <w:r w:rsidR="00E05CF1" w:rsidRPr="00294BBF">
        <w:rPr>
          <w:color w:val="000000" w:themeColor="text1"/>
        </w:rPr>
        <w:t>.</w:t>
      </w:r>
      <w:r w:rsidR="009766C0" w:rsidRPr="00294BBF">
        <w:rPr>
          <w:color w:val="000000" w:themeColor="text1"/>
        </w:rPr>
        <w:t xml:space="preserve"> </w:t>
      </w:r>
      <w:r w:rsidR="00FA4DDC">
        <w:rPr>
          <w:color w:val="000000" w:themeColor="text1"/>
        </w:rPr>
        <w:t>D</w:t>
      </w:r>
      <w:r w:rsidR="00E05CF1" w:rsidRPr="00294BBF">
        <w:rPr>
          <w:color w:val="000000" w:themeColor="text1"/>
        </w:rPr>
        <w:t xml:space="preserve">istributional changes of </w:t>
      </w:r>
      <w:r w:rsidR="00E05CF1" w:rsidRPr="00294BBF">
        <w:rPr>
          <w:color w:val="000000" w:themeColor="text1"/>
          <w:lang w:val="en-US"/>
        </w:rPr>
        <w:t xml:space="preserve">larvae </w:t>
      </w:r>
      <w:r w:rsidR="00E05CF1" w:rsidRPr="00294BBF">
        <w:rPr>
          <w:color w:val="000000" w:themeColor="text1"/>
        </w:rPr>
        <w:fldChar w:fldCharType="begin" w:fldLock="1"/>
      </w:r>
      <w:r w:rsidR="004D4781" w:rsidRPr="00294BBF">
        <w:rPr>
          <w:color w:val="000000" w:themeColor="text1"/>
          <w:lang w:val="en-US"/>
        </w:rPr>
        <w:instrText>ADDIN CSL_CITATION { "citationItems" : [ { "id" : "ITEM-1", "itemData" : { "DOI" : "10.1139/F09-037", "ISBN" : "0706-652X", "ISSN" : "0706-652X", "abstract" : "The spawning stock of blue whiting (Micromesistius poutassou), an economically important pelagic gadoid in the North Atlantic Ocean, increased threefold after 1995. The reproductive success of the stock is largely determined during the very early stages of life, but little is known about the spawning dynamics of this species. Here we show that the spawning distribution of blue whiting is variable, regulated by the hydrography west of the British Isles. When the North Atlantic subpolar gyre is strong and spreads its cold, fresh water masses east over Rockall Plateau, the spawning is constrained along the European continental slope and in a southerly position near Porcupine Bank. When the gyre is weak and conditions are relatively saline and warm, the spawning distribution moves northwards along the slope and especially westwards covering Rockall Plateau. The apparent link between the spawning distribution and the subpolar gyre is the first step towards understanding the reproduction variability, which curr...", "author" : [ { "dropping-particle" : "", "family" : "H\u00e1t\u00fan", "given" : "Hj\u00e1lmar", "non-dropping-particle" : "", "parse-names" : false, "suffix" : "" }, { "dropping-particle" : "", "family" : "Payne", "given" : "Mark R.", "non-dropping-particle" : "", "parse-names" : false, "suffix" : "" }, { "dropping-particle" : "", "family" : "Jacobsen", "given" : "Jan Arge", "non-dropping-particle" : "", "parse-names" : false, "suffix" : "" } ], "container-title" : "Canadian Journal of Fisheries and Aquatic Sciences", "id" : "ITEM-1", "issue" : "5", "issued" : { "date-parts" : [ [ "2009" ] ] }, "page" : "759-770", "title" : "The North Atlantic subpolar gyre regulates the spawning distribution of blue whiting (&lt;i&gt;Micromesistius poutassou&lt;/i&gt;)", "type" : "article-journal", "volume" : "66" }, "uris" : [ "http://www.mendeley.com/documents/?uuid=64800076-bdad-4ea8-80e8-e6477e10c58a" ] } ], "mendeley" : { "formattedCitation" : "(H\u00e1t\u00fan, Payne and Jacobsen, 2009)", "manualFormatting" : "(H\u00e1t\u00fan et al., 2009b)", "plainTextFormattedCitation" : "(H\u00e1t\u00fan, Payne and Jacobsen, 2009)", "previouslyFormattedCitation" : "(H\u00e1t\u00fan, Payne and Jacobsen, 2009)" }, "properties" : { "noteIndex" : 0 }, "schema" : "https://github.com/citation-style-language/schema/raw/master/csl-citation.json" }</w:instrText>
      </w:r>
      <w:r w:rsidR="00E05CF1" w:rsidRPr="00294BBF">
        <w:rPr>
          <w:color w:val="000000" w:themeColor="text1"/>
        </w:rPr>
        <w:fldChar w:fldCharType="separate"/>
      </w:r>
      <w:r w:rsidR="00A52400" w:rsidRPr="00294BBF">
        <w:rPr>
          <w:noProof/>
          <w:color w:val="000000" w:themeColor="text1"/>
          <w:lang w:val="en-US"/>
        </w:rPr>
        <w:t>(</w:t>
      </w:r>
      <w:r w:rsidR="006B6F08" w:rsidRPr="00294BBF">
        <w:rPr>
          <w:noProof/>
          <w:color w:val="000000" w:themeColor="text1"/>
        </w:rPr>
        <w:t xml:space="preserve">Hátún </w:t>
      </w:r>
      <w:r w:rsidR="006773E4" w:rsidRPr="006773E4">
        <w:rPr>
          <w:i/>
          <w:noProof/>
          <w:color w:val="000000" w:themeColor="text1"/>
        </w:rPr>
        <w:t>et al.</w:t>
      </w:r>
      <w:r w:rsidR="004D4781" w:rsidRPr="00294BBF">
        <w:rPr>
          <w:noProof/>
          <w:color w:val="000000" w:themeColor="text1"/>
        </w:rPr>
        <w:t>, 2009b</w:t>
      </w:r>
      <w:r w:rsidR="00A52400" w:rsidRPr="00294BBF">
        <w:rPr>
          <w:noProof/>
          <w:color w:val="000000" w:themeColor="text1"/>
          <w:lang w:val="en-US"/>
        </w:rPr>
        <w:t>)</w:t>
      </w:r>
      <w:r w:rsidR="00E05CF1" w:rsidRPr="00294BBF">
        <w:rPr>
          <w:color w:val="000000" w:themeColor="text1"/>
        </w:rPr>
        <w:fldChar w:fldCharType="end"/>
      </w:r>
      <w:r w:rsidR="00E05CF1" w:rsidRPr="00294BBF">
        <w:rPr>
          <w:color w:val="000000" w:themeColor="text1"/>
        </w:rPr>
        <w:t xml:space="preserve"> and spawning adults </w:t>
      </w:r>
      <w:r w:rsidR="00E05CF1" w:rsidRPr="00294BBF">
        <w:rPr>
          <w:color w:val="000000" w:themeColor="text1"/>
        </w:rPr>
        <w:fldChar w:fldCharType="begin" w:fldLock="1"/>
      </w:r>
      <w:r w:rsidR="004D4781" w:rsidRPr="00294BBF">
        <w:rPr>
          <w:color w:val="000000" w:themeColor="text1"/>
        </w:rPr>
        <w:instrText>ADDIN CSL_CITATION { "citationItems" : [ { "id" : "ITEM-1", "itemData" : { "DOI" : "10.1016/j.pocean.2009.03.001", "ISBN" : "0079-6611", "ISSN" : "00796611", "abstract" : "Pronounced changes in fauna, extending from the English Channel in the south to the Barents Sea in the north-east and off Greenland in the north-west, have occurred in the late 1920s, the late 1960s and again in the late 1990s. We attribute these events to exchanges of subarctic and subtropical water masses in the north-eastern North Atlantic Ocean, associated with changes in the strength and extent of the subpolar gyre. These exchanges lead to variations in the influence exerted by the subarctic or Lusitanian biomes on the intermediate faunistic zone in the north-eastern Atlantic. This strong and persistent bottom-up bio-physical link is demonstrated using a numerical ocean general circulation model and data on four trophically connected levels in the food chain - phytoplankton, zooplankton, blue whiting, and pilot whales. The plankton data give a unique basin-scale depiction of these changes, and a long pilot whale record from the Faroe Islands offers an exceptional temporal perspective over three centuries. Recent advances in simulating the dynamics of the subpolar gyre suggests a potential for predicting the distribution of the main faunistic zones in the north-eastern Atlantic a few years into the future, which might facilitate a more rational management of the commercially important fisheries in this region. \u00a9 2009 Elsevier Ltd. All rights reserved.", "author" : [ { "dropping-particle" : "", "family" : "H\u00e1t\u00fan", "given" : "Hj\u00e1lmar", "non-dropping-particle" : "", "parse-names" : false, "suffix" : "" }, { "dropping-particle" : "", "family" : "Payne", "given" : "Mark R.", "non-dropping-particle" : "", "parse-names" : false, "suffix" : "" }, { "dropping-particle" : "", "family" : "Beaugrand", "given" : "G.", "non-dropping-particle" : "", "parse-names" : false, "suffix" : "" }, { "dropping-particle" : "", "family" : "Reid", "given" : "P. C.", "non-dropping-particle" : "", "parse-names" : false, "suffix" : "" }, { "dropping-particle" : "", "family" : "Sand\u00f8", "given" : "A. B.", "non-dropping-particle" : "", "parse-names" : false, "suffix" : "" }, { "dropping-particle" : "", "family" : "Drange", "given" : "H.", "non-dropping-particle" : "", "parse-names" : false, "suffix" : "" }, { "dropping-particle" : "", "family" : "Hansen", "given" : "B.", "non-dropping-particle" : "", "parse-names" : false, "suffix" : "" }, { "dropping-particle" : "", "family" : "Jacobsen", "given" : "J. A.", "non-dropping-particle" : "", "parse-names" : false, "suffix" : "" }, { "dropping-particle" : "", "family" : "Bloch", "given" : "D.", "non-dropping-particle" : "", "parse-names" : false, "suffix" : "" } ], "container-title" : "Progress in Oceanography", "id" : "ITEM-1", "issue" : "3-4", "issued" : { "date-parts" : [ [ "2009" ] ] }, "page" : "149-162", "publisher" : "Elsevier Ltd", "title" : "Large bio-geographical shifts in the north-eastern Atlantic Ocean: From the subpolar gyre, via plankton, to blue whiting and pilot whales", "type" : "article-journal", "volume" : "80" }, "uris" : [ "http://www.mendeley.com/documents/?uuid=7e994d25-6510-4f18-9e43-2eba8ff6dc1d" ] } ], "mendeley" : { "formattedCitation" : "(H\u00e1t\u00fan, Payne, Beaugrand, &lt;i&gt;et al.&lt;/i&gt;, 2009)", "manualFormatting" : "(H\u00e1t\u00fan et al., 2009a)", "plainTextFormattedCitation" : "(H\u00e1t\u00fan, Payne, Beaugrand, et al., 2009)", "previouslyFormattedCitation" : "(H\u00e1t\u00fan, Payne, Beaugrand, &lt;i&gt;et al.&lt;/i&gt;, 2009)" }, "properties" : { "noteIndex" : 0 }, "schema" : "https://github.com/citation-style-language/schema/raw/master/csl-citation.json" }</w:instrText>
      </w:r>
      <w:r w:rsidR="00E05CF1" w:rsidRPr="00294BBF">
        <w:rPr>
          <w:color w:val="000000" w:themeColor="text1"/>
        </w:rPr>
        <w:fldChar w:fldCharType="separate"/>
      </w:r>
      <w:r w:rsidR="000F04DE" w:rsidRPr="00294BBF">
        <w:rPr>
          <w:noProof/>
          <w:color w:val="000000" w:themeColor="text1"/>
          <w:lang w:val="en-US"/>
        </w:rPr>
        <w:t xml:space="preserve">(Hátún </w:t>
      </w:r>
      <w:r w:rsidR="006773E4" w:rsidRPr="006773E4">
        <w:rPr>
          <w:i/>
          <w:noProof/>
          <w:color w:val="000000" w:themeColor="text1"/>
          <w:lang w:val="en-US"/>
        </w:rPr>
        <w:t>et al.</w:t>
      </w:r>
      <w:r w:rsidR="00A52400" w:rsidRPr="00294BBF">
        <w:rPr>
          <w:noProof/>
          <w:color w:val="000000" w:themeColor="text1"/>
          <w:lang w:val="en-US"/>
        </w:rPr>
        <w:t>, 2009</w:t>
      </w:r>
      <w:r w:rsidR="004D4781" w:rsidRPr="00294BBF">
        <w:rPr>
          <w:noProof/>
          <w:color w:val="000000" w:themeColor="text1"/>
          <w:lang w:val="en-US"/>
        </w:rPr>
        <w:t>a</w:t>
      </w:r>
      <w:r w:rsidR="00A52400" w:rsidRPr="00294BBF">
        <w:rPr>
          <w:noProof/>
          <w:color w:val="000000" w:themeColor="text1"/>
          <w:lang w:val="en-US"/>
        </w:rPr>
        <w:t>)</w:t>
      </w:r>
      <w:r w:rsidR="00E05CF1" w:rsidRPr="00294BBF">
        <w:rPr>
          <w:color w:val="000000" w:themeColor="text1"/>
        </w:rPr>
        <w:fldChar w:fldCharType="end"/>
      </w:r>
      <w:r w:rsidR="00E05CF1" w:rsidRPr="00294BBF">
        <w:rPr>
          <w:color w:val="000000" w:themeColor="text1"/>
          <w:lang w:val="en-US"/>
        </w:rPr>
        <w:t xml:space="preserve"> </w:t>
      </w:r>
      <w:r w:rsidR="00A31587">
        <w:rPr>
          <w:color w:val="000000" w:themeColor="text1"/>
        </w:rPr>
        <w:t>have previously been</w:t>
      </w:r>
      <w:r w:rsidR="00A31587" w:rsidRPr="00294BBF">
        <w:rPr>
          <w:color w:val="000000" w:themeColor="text1"/>
        </w:rPr>
        <w:t xml:space="preserve"> </w:t>
      </w:r>
      <w:r w:rsidR="00E05CF1" w:rsidRPr="00294BBF">
        <w:rPr>
          <w:color w:val="000000" w:themeColor="text1"/>
        </w:rPr>
        <w:t xml:space="preserve">linked to variations in the North Atlantic </w:t>
      </w:r>
      <w:r w:rsidR="007A3018" w:rsidRPr="00294BBF">
        <w:rPr>
          <w:color w:val="000000" w:themeColor="text1"/>
        </w:rPr>
        <w:t>subpolar gyre (</w:t>
      </w:r>
      <w:r w:rsidR="00E05CF1" w:rsidRPr="00294BBF">
        <w:rPr>
          <w:color w:val="000000" w:themeColor="text1"/>
        </w:rPr>
        <w:t>SPG</w:t>
      </w:r>
      <w:r w:rsidR="007A3018" w:rsidRPr="00294BBF">
        <w:rPr>
          <w:color w:val="000000" w:themeColor="text1"/>
        </w:rPr>
        <w:t>)</w:t>
      </w:r>
      <w:r w:rsidR="00E05CF1" w:rsidRPr="00294BBF">
        <w:rPr>
          <w:color w:val="000000" w:themeColor="text1"/>
        </w:rPr>
        <w:t>.</w:t>
      </w:r>
      <w:r w:rsidR="00B815DC" w:rsidRPr="00294BBF">
        <w:rPr>
          <w:color w:val="000000" w:themeColor="text1"/>
        </w:rPr>
        <w:t xml:space="preserve"> </w:t>
      </w:r>
      <w:r w:rsidR="00A66130">
        <w:rPr>
          <w:color w:val="000000" w:themeColor="text1"/>
        </w:rPr>
        <w:t>However, i</w:t>
      </w:r>
      <w:r w:rsidR="005D75C5" w:rsidRPr="00294BBF">
        <w:rPr>
          <w:color w:val="000000" w:themeColor="text1"/>
        </w:rPr>
        <w:t xml:space="preserve">n view of the fact that the SPG is a basin-scale process, while individual fish respond to their local environment, our analysis </w:t>
      </w:r>
      <w:r w:rsidR="00C33EC8" w:rsidRPr="00294BBF">
        <w:rPr>
          <w:color w:val="000000" w:themeColor="text1"/>
        </w:rPr>
        <w:t>offers a</w:t>
      </w:r>
      <w:r w:rsidR="005D75C5" w:rsidRPr="00294BBF">
        <w:rPr>
          <w:color w:val="000000" w:themeColor="text1"/>
        </w:rPr>
        <w:t xml:space="preserve"> more </w:t>
      </w:r>
      <w:r w:rsidR="009D3D52">
        <w:rPr>
          <w:color w:val="000000" w:themeColor="text1"/>
        </w:rPr>
        <w:t>nuanced</w:t>
      </w:r>
      <w:r w:rsidR="00E05CF1" w:rsidRPr="00294BBF">
        <w:rPr>
          <w:color w:val="000000" w:themeColor="text1"/>
        </w:rPr>
        <w:t xml:space="preserve"> perspective</w:t>
      </w:r>
      <w:r w:rsidR="005D75C5" w:rsidRPr="00294BBF">
        <w:rPr>
          <w:color w:val="000000" w:themeColor="text1"/>
        </w:rPr>
        <w:t>.</w:t>
      </w:r>
      <w:r w:rsidR="00984E76" w:rsidRPr="00294BBF">
        <w:rPr>
          <w:color w:val="000000" w:themeColor="text1"/>
        </w:rPr>
        <w:t xml:space="preserve"> </w:t>
      </w:r>
      <w:r w:rsidR="009B189C" w:rsidRPr="00B43DEB">
        <w:rPr>
          <w:color w:val="000000" w:themeColor="text1"/>
        </w:rPr>
        <w:t xml:space="preserve">Furthermore, </w:t>
      </w:r>
      <w:r w:rsidR="00CB5AFF">
        <w:rPr>
          <w:color w:val="000000" w:themeColor="text1"/>
        </w:rPr>
        <w:t>our</w:t>
      </w:r>
      <w:r w:rsidR="009B189C" w:rsidRPr="00B43DEB">
        <w:rPr>
          <w:color w:val="000000" w:themeColor="text1"/>
        </w:rPr>
        <w:t xml:space="preserve"> use of a statistical model and the focus on the presence-absence aspect of the CPR data</w:t>
      </w:r>
      <w:r w:rsidR="009B189C">
        <w:rPr>
          <w:color w:val="000000" w:themeColor="text1"/>
        </w:rPr>
        <w:t xml:space="preserve"> circumvents many of the problems hidden in previous analyses such as the information content associated with CPR abundance values</w:t>
      </w:r>
      <w:r w:rsidR="009B189C" w:rsidRPr="00B43DEB">
        <w:rPr>
          <w:color w:val="000000" w:themeColor="text1"/>
        </w:rPr>
        <w:t xml:space="preserve"> used by </w:t>
      </w:r>
      <w:r w:rsidR="009B189C" w:rsidRPr="00B43DEB">
        <w:rPr>
          <w:color w:val="000000" w:themeColor="text1"/>
        </w:rPr>
        <w:fldChar w:fldCharType="begin" w:fldLock="1"/>
      </w:r>
      <w:r w:rsidR="009B189C" w:rsidRPr="00B43DEB">
        <w:rPr>
          <w:color w:val="000000" w:themeColor="text1"/>
        </w:rPr>
        <w:instrText>ADDIN CSL_CITATION { "citationItems" : [ { "id" : "ITEM-1", "itemData" : { "DOI" : "10.1016/j.pocean.2009.03.001", "ISBN" : "0079-6611", "ISSN" : "00796611", "abstract" : "Pronounced changes in fauna, extending from the English Channel in the south to the Barents Sea in the north-east and off Greenland in the north-west, have occurred in the late 1920s, the late 1960s and again in the late 1990s. We attribute these events to exchanges of subarctic and subtropical water masses in the north-eastern North Atlantic Ocean, associated with changes in the strength and extent of the subpolar gyre. These exchanges lead to variations in the influence exerted by the subarctic or Lusitanian biomes on the intermediate faunistic zone in the north-eastern Atlantic. This strong and persistent bottom-up bio-physical link is demonstrated using a numerical ocean general circulation model and data on four trophically connected levels in the food chain - phytoplankton, zooplankton, blue whiting, and pilot whales. The plankton data give a unique basin-scale depiction of these changes, and a long pilot whale record from the Faroe Islands offers an exceptional temporal perspective over three centuries. Recent advances in simulating the dynamics of the subpolar gyre suggests a potential for predicting the distribution of the main faunistic zones in the north-eastern Atlantic a few years into the future, which might facilitate a more rational management of the commercially important fisheries in this region. \u00a9 2009 Elsevier Ltd. All rights reserved.", "author" : [ { "dropping-particle" : "", "family" : "H\u00e1t\u00fan", "given" : "Hj\u00e1lmar", "non-dropping-particle" : "", "parse-names" : false, "suffix" : "" }, { "dropping-particle" : "", "family" : "Payne", "given" : "Mark R.", "non-dropping-particle" : "", "parse-names" : false, "suffix" : "" }, { "dropping-particle" : "", "family" : "Beaugrand", "given" : "G.", "non-dropping-particle" : "", "parse-names" : false, "suffix" : "" }, { "dropping-particle" : "", "family" : "Reid", "given" : "P. C.", "non-dropping-particle" : "", "parse-names" : false, "suffix" : "" }, { "dropping-particle" : "", "family" : "Sand\u00f8", "given" : "A. B.", "non-dropping-particle" : "", "parse-names" : false, "suffix" : "" }, { "dropping-particle" : "", "family" : "Drange", "given" : "H.", "non-dropping-particle" : "", "parse-names" : false, "suffix" : "" }, { "dropping-particle" : "", "family" : "Hansen", "given" : "B.", "non-dropping-particle" : "", "parse-names" : false, "suffix" : "" }, { "dropping-particle" : "", "family" : "Jacobsen", "given" : "J. A.", "non-dropping-particle" : "", "parse-names" : false, "suffix" : "" }, { "dropping-particle" : "", "family" : "Bloch", "given" : "D.", "non-dropping-particle" : "", "parse-names" : false, "suffix" : "" } ], "container-title" : "Progress in Oceanography", "id" : "ITEM-1", "issue" : "3-4", "issued" : { "date-parts" : [ [ "2009" ] ] }, "page" : "149-162", "publisher" : "Elsevier Ltd", "title" : "Large bio-geographical shifts in the north-eastern Atlantic Ocean: From the subpolar gyre, via plankton, to blue whiting and pilot whales", "type" : "article-journal", "volume" : "80" }, "uris" : [ "http://www.mendeley.com/documents/?uuid=7e994d25-6510-4f18-9e43-2eba8ff6dc1d" ] } ], "mendeley" : { "formattedCitation" : "(H\u00e1t\u00fan, Payne, Beaugrand, &lt;i&gt;et al.&lt;/i&gt;, 2009)", "manualFormatting" : "H\u00e1t\u00fan et al. (2009b)", "plainTextFormattedCitation" : "(H\u00e1t\u00fan, Payne, Beaugrand, et al., 2009)", "previouslyFormattedCitation" : "(H\u00e1t\u00fan, Payne, Beaugrand, &lt;i&gt;et al.&lt;/i&gt;, 2009)" }, "properties" : { "noteIndex" : 0 }, "schema" : "https://github.com/citation-style-language/schema/raw/master/csl-citation.json" }</w:instrText>
      </w:r>
      <w:r w:rsidR="009B189C" w:rsidRPr="00B43DEB">
        <w:rPr>
          <w:color w:val="000000" w:themeColor="text1"/>
        </w:rPr>
        <w:fldChar w:fldCharType="separate"/>
      </w:r>
      <w:r w:rsidR="009B189C" w:rsidRPr="00B43DEB">
        <w:rPr>
          <w:noProof/>
          <w:color w:val="000000" w:themeColor="text1"/>
          <w:lang w:val="en-US"/>
        </w:rPr>
        <w:t xml:space="preserve">Hátún </w:t>
      </w:r>
      <w:r w:rsidR="006773E4" w:rsidRPr="006773E4">
        <w:rPr>
          <w:i/>
          <w:noProof/>
          <w:color w:val="000000" w:themeColor="text1"/>
          <w:lang w:val="en-US"/>
        </w:rPr>
        <w:t>et al.</w:t>
      </w:r>
      <w:r w:rsidR="009B189C" w:rsidRPr="00B43DEB">
        <w:rPr>
          <w:i/>
          <w:noProof/>
          <w:color w:val="000000" w:themeColor="text1"/>
          <w:lang w:val="en-US"/>
        </w:rPr>
        <w:t xml:space="preserve"> </w:t>
      </w:r>
      <w:r w:rsidR="009B189C" w:rsidRPr="00B43DEB">
        <w:rPr>
          <w:noProof/>
          <w:color w:val="000000" w:themeColor="text1"/>
          <w:lang w:val="en-US"/>
        </w:rPr>
        <w:t>(2009b)</w:t>
      </w:r>
      <w:r w:rsidR="009B189C" w:rsidRPr="00B43DEB">
        <w:rPr>
          <w:color w:val="000000" w:themeColor="text1"/>
        </w:rPr>
        <w:fldChar w:fldCharType="end"/>
      </w:r>
      <w:r w:rsidR="009B189C">
        <w:rPr>
          <w:color w:val="000000" w:themeColor="text1"/>
        </w:rPr>
        <w:t xml:space="preserve"> and </w:t>
      </w:r>
      <w:r w:rsidR="009B189C" w:rsidRPr="00B43DEB">
        <w:rPr>
          <w:color w:val="000000" w:themeColor="text1"/>
        </w:rPr>
        <w:t xml:space="preserve">biases resulting from the CPR’s </w:t>
      </w:r>
      <w:r w:rsidR="009B189C">
        <w:rPr>
          <w:color w:val="000000" w:themeColor="text1"/>
        </w:rPr>
        <w:t xml:space="preserve">opportunistic </w:t>
      </w:r>
      <w:r w:rsidR="009B189C" w:rsidRPr="00B43DEB">
        <w:rPr>
          <w:color w:val="000000" w:themeColor="text1"/>
        </w:rPr>
        <w:t xml:space="preserve">sampling </w:t>
      </w:r>
      <w:r w:rsidR="009B189C">
        <w:rPr>
          <w:color w:val="000000" w:themeColor="text1"/>
        </w:rPr>
        <w:t xml:space="preserve">design, it’s </w:t>
      </w:r>
      <w:r w:rsidR="009B189C" w:rsidRPr="00B43DEB">
        <w:rPr>
          <w:color w:val="000000" w:themeColor="text1"/>
        </w:rPr>
        <w:t xml:space="preserve">small sampling volume </w:t>
      </w:r>
      <w:r w:rsidR="009B189C" w:rsidRPr="00B43DEB">
        <w:rPr>
          <w:color w:val="000000" w:themeColor="text1"/>
        </w:rPr>
        <w:fldChar w:fldCharType="begin" w:fldLock="1"/>
      </w:r>
      <w:r w:rsidR="009B189C" w:rsidRPr="00B43DEB">
        <w:rPr>
          <w:color w:val="000000" w:themeColor="text1"/>
        </w:rPr>
        <w:instrText>ADDIN CSL_CITATION { "citationItems" : [ { "id" : "ITEM-1", "itemData" : { "DOI" : "10.1016/j.pocean.2003.08.004", "ISBN" : "1250756774", "ISSN" : "00796611", "abstract" : "The Continuous Plankton Recorder has been deployed for 70 years. Although modifications to the machine have been relatively minor, there has been a steady increase in the speed at which it is towed, creating a need to quantify what effects this may have had on its sampling characteristics. Additionally, because the CPR database is one of the longest and most geographically extensive biological time series in the world, and scientists are currently focusing on gaining understanding about climate-induced ecological changes, there is increasing pressure to quantify the sampling performance and relate the CPR data to data collected by other plankton samplers. Many of these issues of consistency and comparability have been investigated throughout the decades of the CPR survey. The primary aim of this study is to draw together the results of those investigations, updating or integrating them where applicable. A secondary aim is to use the CPR database to address other previously unexamined issues. We show that the increase in speed of tow has had no effect on the depth of sampling and the mechanical efficiency of the internal mechanism, but that at the highest tow speeds there is some evidence that flow may be reduced. Depth of tow may also be dependent on the ship operating a particular route. We describe the processing procedures used to ensure consistency of analysis and detail the changes in taxonomic resolution that have occurred through the course of the survey. Some consistency issues remain unresolved, such as the effects of adding heavy instrumentation to the attitude of the CPR in the water and possible effects on sampling performance. The reduction of flow caused by clogging of the filtering mesh has now been quantified through the addition of flowmeters and each CPR sample can now be calibrated for measured, or derived, filtered volume. Although estimates of abundances for large areas have been shown to be unaffected by recalibration, absolute quantification of plankton abundance is necessary to enable comparisons with other sampling devices. Several studies have now been undertaken that compare plankton abundances obtained with the CPR with those obtained using vertical nets at specific locations on the European continental shelf. Although catches by the CPR are almost always lower, seasonal cycles are replicated in each comparison, and interannual variability generally agrees between time series. The relative catch rates for an individual specie\u2026", "author" : [ { "dropping-particle" : "", "family" : "Batten", "given" : "S.D.", "non-dropping-particle" : "", "parse-names" : false, "suffix" : "" }, { "dropping-particle" : "", "family" : "Clarke", "given" : "R.", "non-dropping-particle" : "", "parse-names" : false, "suffix" : "" }, { "dropping-particle" : "", "family" : "Flinkman", "given" : "J.", "non-dropping-particle" : "", "parse-names" : false, "suffix" : "" }, { "dropping-particle" : "", "family" : "Hays", "given" : "G.", "non-dropping-particle" : "", "parse-names" : false, "suffix" : "" }, { "dropping-particle" : "", "family" : "John", "given" : "E.", "non-dropping-particle" : "", "parse-names" : false, "suffix" : "" }, { "dropping-particle" : "", "family" : "John", "given" : "A.W.G.", "non-dropping-particle" : "", "parse-names" : false, "suffix" : "" }, { "dropping-particle" : "", "family" : "Jonas", "given" : "T.D.", "non-dropping-particle" : "", "parse-names" : false, "suffix" : "" }, { "dropping-particle" : "", "family" : "Lindley", "given" : "J.A.", "non-dropping-particle" : "", "parse-names" : false, "suffix" : "" }, { "dropping-particle" : "", "family" : "Stevens", "given" : "D.P.", "non-dropping-particle" : "", "parse-names" : false, "suffix" : "" }, { "dropping-particle" : "", "family" : "Walne", "given" : "A.", "non-dropping-particle" : "", "parse-names" : false, "suffix" : "" } ], "container-title" : "Progress in Oceanography", "id" : "ITEM-1", "issued" : { "date-parts" : [ [ "2003" ] ] }, "page" : "193-215", "title" : "CPR sampling: the technical background, materials and methods, and issues of consistency and comparability", "type" : "article-journal", "volume" : "58" }, "uris" : [ "http://www.mendeley.com/documents/?uuid=90c54532-8397-44f2-abe8-57252eb58b82" ] } ], "mendeley" : { "formattedCitation" : "(Batten &lt;i&gt;et al.&lt;/i&gt;, 2003)", "plainTextFormattedCitation" : "(Batten et al., 2003)", "previouslyFormattedCitation" : "(Batten &lt;i&gt;et al.&lt;/i&gt;, 2003)" }, "properties" : { "noteIndex" : 0 }, "schema" : "https://github.com/citation-style-language/schema/raw/master/csl-citation.json" }</w:instrText>
      </w:r>
      <w:r w:rsidR="009B189C" w:rsidRPr="00B43DEB">
        <w:rPr>
          <w:color w:val="000000" w:themeColor="text1"/>
        </w:rPr>
        <w:fldChar w:fldCharType="separate"/>
      </w:r>
      <w:r w:rsidR="009B189C" w:rsidRPr="00B43DEB">
        <w:rPr>
          <w:noProof/>
          <w:color w:val="000000" w:themeColor="text1"/>
        </w:rPr>
        <w:t xml:space="preserve">(Batten </w:t>
      </w:r>
      <w:r w:rsidR="006773E4" w:rsidRPr="006773E4">
        <w:rPr>
          <w:i/>
          <w:noProof/>
          <w:color w:val="000000" w:themeColor="text1"/>
        </w:rPr>
        <w:t>et al.</w:t>
      </w:r>
      <w:r w:rsidR="009B189C" w:rsidRPr="00B43DEB">
        <w:rPr>
          <w:noProof/>
          <w:color w:val="000000" w:themeColor="text1"/>
        </w:rPr>
        <w:t>, 2003)</w:t>
      </w:r>
      <w:r w:rsidR="009B189C" w:rsidRPr="00B43DEB">
        <w:rPr>
          <w:color w:val="000000" w:themeColor="text1"/>
        </w:rPr>
        <w:fldChar w:fldCharType="end"/>
      </w:r>
      <w:r w:rsidR="009B189C" w:rsidRPr="00B43DEB">
        <w:rPr>
          <w:color w:val="000000" w:themeColor="text1"/>
        </w:rPr>
        <w:t xml:space="preserve">, and the uneven </w:t>
      </w:r>
      <w:r w:rsidR="009A296C">
        <w:rPr>
          <w:color w:val="000000" w:themeColor="text1"/>
        </w:rPr>
        <w:t xml:space="preserve">and temporally varying </w:t>
      </w:r>
      <w:r w:rsidR="00C346E7">
        <w:rPr>
          <w:color w:val="000000" w:themeColor="text1"/>
        </w:rPr>
        <w:t>distribution</w:t>
      </w:r>
      <w:r w:rsidR="009B189C" w:rsidRPr="00B43DEB">
        <w:rPr>
          <w:color w:val="000000" w:themeColor="text1"/>
        </w:rPr>
        <w:t xml:space="preserve"> of blue whiting larvae within the water column </w:t>
      </w:r>
      <w:r w:rsidR="009B189C" w:rsidRPr="00B43DEB">
        <w:rPr>
          <w:color w:val="000000" w:themeColor="text1"/>
        </w:rPr>
        <w:fldChar w:fldCharType="begin" w:fldLock="1"/>
      </w:r>
      <w:r w:rsidR="00B43DEB">
        <w:rPr>
          <w:color w:val="000000" w:themeColor="text1"/>
        </w:rPr>
        <w:instrText>ADDIN CSL_CITATION { "citationItems" : [ { "id" : "ITEM-1", "itemData" : { "DOI" : "10.3354/meps187213", "ISSN" : "01718630", "abstract" : "In March/April 1994 a hydrographic and ichthyoplankton survey was conducted in the area of Porcupine Bank, west of Ireland, to study the distribution and feeding of blue whiting larvae. The Porcupine Bank area was characterized by 2 distinguishable water masses separated by a thermal front: (1) the warm and saline waters of the secondary shelf edge current (sSEC) and (2) the cooler and less saline waters above Porcupine Bank associated with an anticyclonic circulation. Highest concentrations of recently hatched larvae &lt;4.0 mm standard length (SL) occurred in waters of the sSEC, while larvae &gt;4.0 mm SL were more abundant in the cool waters above Porcupine Bank and larvae &gt;5.0 mm SL were exclusively found above the bank. Copepod nauplii density was extremely low, with an overall mean density of 5.2 1-' Nauplii were most abundant in the water of the sSEC. However, proportionally more large calanoid nauplii were observed above Porcupine Bank. The diet of blue whiting larvae also varied among water masses, with larvae having higher feeding incidences and numerical feeding intensities in the sSEC but significantly higher feeding intensities by weight and, thus, a higher energetic gain in the waters above the bank. These contrasts resulted from differences in the composition of the larval diet. Larvae in the sSEC preyed heavily on tintinnids and small cyclopoid nauplii, while larvae above Porcupine Bank also ingested large calanoid nauplii. In addition, blue whiting larvae had different selectivity patterns depending on the foraging environment, with larvae retained above Porcupine Bank selecting strongly for calanoid nauplii, which were never selected for by larvae in the sSEC. Instead those larvae demonstrated a preference for smaller cyclopoid nauplii. In summary, we conclude that in 1994 blue whiting larvae benefited from being retained above Porcupine Bank not only by maintaining a close horizontal distribution but also by utilizing the more favorable feeding environment above the bank. KEY", "author" : [ { "dropping-particle" : "", "family" : "Hillgruber", "given" : "Nicola", "non-dropping-particle" : "", "parse-names" : false, "suffix" : "" }, { "dropping-particle" : "", "family" : "Kloppmann", "given" : "Matthias", "non-dropping-particle" : "", "parse-names" : false, "suffix" : "" } ], "container-title" : "Marine Ecology Progress Series", "id" : "ITEM-1", "issue" : "1996", "issued" : { "date-parts" : [ [ "1999" ] ] }, "page" : "213-225", "title" : "Distribution and feeding of blue whiting &lt;i&gt;Micromesistius poutassou&lt;/i&gt; larvae in relation to different water masses in the Porcupine Bank area, west of Ireland", "type" : "article-journal", "volume" : "187" }, "uris" : [ "http://www.mendeley.com/documents/?uuid=09715642-49a7-4227-af7f-cc3343890a90", "http://www.mendeley.com/documents/?uuid=4b0476af-af8e-4e76-a296-102f63ef593d" ] }, { "id" : "ITEM-2", "itemData" : { "DOI" : "10.1016/S0165-7836(00)00242-3", "ISBN" : "0165-7836", "ISSN" : "01657836", "abstract" : "A mathematical model of the vertical distribution of fish eggs and larvae in response to changes in their buoyancy was developed and applied to eggs and larvae of blue whiting (Micromesistius poutassou). The model balances buoyancy and vertical mixing and allows for changes in buoyancy during development, as well as for variations in the physical properties of the water column with depth. Input data for the buoyancy of eggs and larvae were derived from experiments using a density-gradient column; the neutral buoyancy of blue whiting eggs was observed to increase over the duration of embryonic development from a salinity of below 34 to near 40 while larvae immediately after hatching were neutrally buoyant in a salinity of around 36.6. Input data for the vertical distribution of blue whiting eggs at hatching were derived from the results of plankton sampling to the west of the British Isles. These showed early stage eggs to be distributed in most abundance in the depth range 460-580m, with relatively little observed change through the remainder of embryonic development, and for larvae to became progressively concentrated in the upper 50 m of the water column. For both eggs and larvae, the model results were in close agreement with field observations. The lack of any marked displacement of the egg distributions was shown to be a reflection of their change from being initially buoyant, to sinking in the water column during the later phases of development, this behaviour being an adaptation to their bathypelagic habit. The model results also indicated that the ascent of the larvae from the spawning depths to the near-surface layers could be due entirely to buoyancy-induced passive rising of the larvae. (C) 2001 Elsevier Science B.V. All rights reserved.", "author" : [ { "dropping-particle" : "", "family" : "\u00c5dlandsvik", "given" : "Bj\u00f8rn", "non-dropping-particle" : "", "parse-names" : false, "suffix" : "" }, { "dropping-particle" : "", "family" : "Coombs", "given" : "S. H.", "non-dropping-particle" : "", "parse-names" : false, "suffix" : "" }, { "dropping-particle" : "", "family" : "Sundby", "given" : "S", "non-dropping-particle" : "", "parse-names" : false, "suffix" : "" }, { "dropping-particle" : "", "family" : "Temple", "given" : "G", "non-dropping-particle" : "", "parse-names" : false, "suffix" : "" } ], "container-title" : "Fisheries Research", "id" : "ITEM-2", "issued" : { "date-parts" : [ [ "2001" ] ] }, "page" : "59-72", "title" : "Buoyancy and vertical distribution of eggs and larvae of blue whiting (&lt;i&gt;Micromesistius poutassou&lt;/i&gt;): observations and modelling", "type" : "article-journal", "volume" : "50" }, "uris" : [ "http://www.mendeley.com/documents/?uuid=b6de8dcf-7a77-4342-830e-94d1f035a9c6" ] }, { "id" : "ITEM-3", "itemData" : { "DOI" : "10.1371/journal.pone.0106237", "author" : [ { "dropping-particle" : "", "family" : "Pointin", "given" : "Fabien", "non-dropping-particle" : "", "parse-names" : false, "suffix" : "" }, { "dropping-particle" : "", "family" : "Payne", "given" : "Mark R.", "non-dropping-particle" : "", "parse-names" : false, "suffix" : "" } ], "container-title" : "PloS ONE", "id" : "ITEM-3", "issue" : "9", "issued" : { "date-parts" : [ [ "2014" ] ] }, "page" : "1-11", "title" : "A Resolution to the Blue Whiting (Micromesistius poutassou) Population Paradox?", "type" : "article-journal", "volume" : "9" }, "uris" : [ "http://www.mendeley.com/documents/?uuid=6a6f494c-8d8f-4687-b6e3-cf82728f52eb" ] } ], "mendeley" : { "formattedCitation" : "(Hillgruber and Kloppmann, 1999; \u00c5dlandsvik &lt;i&gt;et al.&lt;/i&gt;, 2001; Pointin and Payne, 2014)", "plainTextFormattedCitation" : "(Hillgruber and Kloppmann, 1999; \u00c5dlandsvik et al., 2001; Pointin and Payne, 2014)", "previouslyFormattedCitation" : "(Hillgruber and Kloppmann, 1999; \u00c5dlandsvik &lt;i&gt;et al.&lt;/i&gt;, 2001; Pointin and Payne, 2014)" }, "properties" : { "noteIndex" : 0 }, "schema" : "https://github.com/citation-style-language/schema/raw/master/csl-citation.json" }</w:instrText>
      </w:r>
      <w:r w:rsidR="009B189C" w:rsidRPr="00B43DEB">
        <w:rPr>
          <w:color w:val="000000" w:themeColor="text1"/>
        </w:rPr>
        <w:fldChar w:fldCharType="separate"/>
      </w:r>
      <w:r w:rsidR="00B43DEB" w:rsidRPr="00B43DEB">
        <w:rPr>
          <w:noProof/>
          <w:color w:val="000000" w:themeColor="text1"/>
        </w:rPr>
        <w:t xml:space="preserve">(Hillgruber and Kloppmann, 1999; Ådlandsvik </w:t>
      </w:r>
      <w:r w:rsidR="006773E4" w:rsidRPr="006773E4">
        <w:rPr>
          <w:i/>
          <w:noProof/>
          <w:color w:val="000000" w:themeColor="text1"/>
        </w:rPr>
        <w:t>et al.</w:t>
      </w:r>
      <w:r w:rsidR="00B43DEB" w:rsidRPr="00B43DEB">
        <w:rPr>
          <w:noProof/>
          <w:color w:val="000000" w:themeColor="text1"/>
        </w:rPr>
        <w:t>, 2001; Pointin and Payne, 2014)</w:t>
      </w:r>
      <w:r w:rsidR="009B189C" w:rsidRPr="00B43DEB">
        <w:rPr>
          <w:color w:val="000000" w:themeColor="text1"/>
        </w:rPr>
        <w:fldChar w:fldCharType="end"/>
      </w:r>
      <w:r w:rsidR="009B189C" w:rsidRPr="009B189C">
        <w:rPr>
          <w:color w:val="000000" w:themeColor="text1"/>
        </w:rPr>
        <w:t>.</w:t>
      </w:r>
    </w:p>
    <w:p w14:paraId="7967828A" w14:textId="131C789E" w:rsidR="00860142" w:rsidRDefault="005A19BF" w:rsidP="00A55A37">
      <w:pPr>
        <w:rPr>
          <w:color w:val="000000" w:themeColor="text1"/>
        </w:rPr>
      </w:pPr>
      <w:r w:rsidRPr="00294BBF">
        <w:rPr>
          <w:color w:val="000000" w:themeColor="text1"/>
        </w:rPr>
        <w:t xml:space="preserve">Our results confirm that </w:t>
      </w:r>
      <w:r w:rsidR="00B815DC" w:rsidRPr="00294BBF">
        <w:rPr>
          <w:color w:val="000000" w:themeColor="text1"/>
        </w:rPr>
        <w:t xml:space="preserve">blue whiting </w:t>
      </w:r>
      <w:r w:rsidR="00684E7D" w:rsidRPr="00294BBF">
        <w:rPr>
          <w:color w:val="000000" w:themeColor="text1"/>
        </w:rPr>
        <w:t xml:space="preserve">spawning distribution appears to be following </w:t>
      </w:r>
      <w:r w:rsidR="00B815DC" w:rsidRPr="00294BBF">
        <w:rPr>
          <w:color w:val="000000" w:themeColor="text1"/>
        </w:rPr>
        <w:t xml:space="preserve">inter-annual variations in the marine </w:t>
      </w:r>
      <w:r w:rsidR="00684E7D" w:rsidRPr="00294BBF">
        <w:rPr>
          <w:color w:val="000000" w:themeColor="text1"/>
        </w:rPr>
        <w:t xml:space="preserve">environment </w:t>
      </w:r>
      <w:r w:rsidR="00B815DC" w:rsidRPr="00294BBF">
        <w:rPr>
          <w:color w:val="000000" w:themeColor="text1"/>
        </w:rPr>
        <w:t xml:space="preserve">during spawning. </w:t>
      </w:r>
      <w:r w:rsidR="005E090B" w:rsidRPr="00294BBF">
        <w:rPr>
          <w:color w:val="000000" w:themeColor="text1"/>
        </w:rPr>
        <w:t xml:space="preserve">The highest probability of observing larvae </w:t>
      </w:r>
      <w:r w:rsidR="00BC123A">
        <w:rPr>
          <w:color w:val="000000" w:themeColor="text1"/>
        </w:rPr>
        <w:t xml:space="preserve">in the CPR </w:t>
      </w:r>
      <w:r w:rsidR="005E090B" w:rsidRPr="00294BBF">
        <w:rPr>
          <w:color w:val="000000" w:themeColor="text1"/>
        </w:rPr>
        <w:t>was found between</w:t>
      </w:r>
      <w:r w:rsidR="005E090B" w:rsidRPr="00294BBF">
        <w:rPr>
          <w:b/>
          <w:color w:val="000000" w:themeColor="text1"/>
        </w:rPr>
        <w:t xml:space="preserve"> </w:t>
      </w:r>
      <w:r w:rsidR="005E090B" w:rsidRPr="00294BBF">
        <w:rPr>
          <w:color w:val="000000" w:themeColor="text1"/>
        </w:rPr>
        <w:t>salinities of</w:t>
      </w:r>
      <w:r w:rsidR="005E090B" w:rsidRPr="00294BBF">
        <w:rPr>
          <w:b/>
          <w:color w:val="000000" w:themeColor="text1"/>
        </w:rPr>
        <w:t xml:space="preserve"> </w:t>
      </w:r>
      <w:r w:rsidR="005E090B" w:rsidRPr="00294BBF">
        <w:rPr>
          <w:color w:val="000000" w:themeColor="text1"/>
        </w:rPr>
        <w:t>35.3 to 35.5</w:t>
      </w:r>
      <w:r w:rsidR="000F7D6E" w:rsidRPr="00294BBF">
        <w:rPr>
          <w:color w:val="000000" w:themeColor="text1"/>
        </w:rPr>
        <w:t>: t</w:t>
      </w:r>
      <w:r w:rsidR="005E090B" w:rsidRPr="00294BBF">
        <w:rPr>
          <w:color w:val="000000" w:themeColor="text1"/>
        </w:rPr>
        <w:t>his possibly resembles the</w:t>
      </w:r>
      <w:r w:rsidR="00B815DC" w:rsidRPr="00294BBF">
        <w:rPr>
          <w:color w:val="000000" w:themeColor="text1"/>
        </w:rPr>
        <w:t xml:space="preserve"> optimum salinity </w:t>
      </w:r>
      <w:r w:rsidR="004E5418" w:rsidRPr="00294BBF">
        <w:rPr>
          <w:color w:val="000000" w:themeColor="text1"/>
        </w:rPr>
        <w:t>window</w:t>
      </w:r>
      <w:r w:rsidR="00B815DC" w:rsidRPr="00294BBF">
        <w:rPr>
          <w:color w:val="000000" w:themeColor="text1"/>
        </w:rPr>
        <w:t xml:space="preserve"> </w:t>
      </w:r>
      <w:r w:rsidR="005E090B" w:rsidRPr="00294BBF">
        <w:rPr>
          <w:color w:val="000000" w:themeColor="text1"/>
        </w:rPr>
        <w:t>for spawning in blue whiting, since</w:t>
      </w:r>
      <w:r w:rsidR="00B815DC" w:rsidRPr="00294BBF">
        <w:rPr>
          <w:color w:val="000000" w:themeColor="text1"/>
        </w:rPr>
        <w:t xml:space="preserve"> independent observations from scientific and fisheries surveys targeting spawning adults</w:t>
      </w:r>
      <w:r w:rsidR="008F214D" w:rsidRPr="00294BBF">
        <w:rPr>
          <w:color w:val="000000" w:themeColor="text1"/>
        </w:rPr>
        <w:t xml:space="preserve"> also</w:t>
      </w:r>
      <w:r w:rsidR="005E090B" w:rsidRPr="00294BBF">
        <w:rPr>
          <w:color w:val="000000" w:themeColor="text1"/>
        </w:rPr>
        <w:t xml:space="preserve"> encountered the majority of adult blue whiting at this salinity range</w:t>
      </w:r>
      <w:r w:rsidR="006C0C0B" w:rsidRPr="00294BBF">
        <w:rPr>
          <w:color w:val="000000" w:themeColor="text1"/>
        </w:rPr>
        <w:t xml:space="preserve"> (Fig.10 </w:t>
      </w:r>
      <w:r w:rsidR="000C1E4B" w:rsidRPr="00294BBF">
        <w:rPr>
          <w:color w:val="000000" w:themeColor="text1"/>
        </w:rPr>
        <w:t>and</w:t>
      </w:r>
      <w:r w:rsidR="006C0C0B" w:rsidRPr="00294BBF">
        <w:rPr>
          <w:color w:val="000000" w:themeColor="text1"/>
        </w:rPr>
        <w:t xml:space="preserve"> 11)</w:t>
      </w:r>
      <w:r w:rsidR="005E090B" w:rsidRPr="00294BBF">
        <w:rPr>
          <w:color w:val="000000" w:themeColor="text1"/>
        </w:rPr>
        <w:t>.</w:t>
      </w:r>
      <w:r w:rsidR="00B815DC" w:rsidRPr="00294BBF">
        <w:rPr>
          <w:color w:val="000000" w:themeColor="text1"/>
        </w:rPr>
        <w:t xml:space="preserve"> Moreover, these results are in rough agreement with </w:t>
      </w:r>
      <w:proofErr w:type="spellStart"/>
      <w:r w:rsidR="00B815DC" w:rsidRPr="00294BBF">
        <w:rPr>
          <w:color w:val="000000" w:themeColor="text1"/>
        </w:rPr>
        <w:t>ichthyoplankton</w:t>
      </w:r>
      <w:proofErr w:type="spellEnd"/>
      <w:r w:rsidR="00B815DC" w:rsidRPr="00294BBF">
        <w:rPr>
          <w:color w:val="000000" w:themeColor="text1"/>
        </w:rPr>
        <w:t xml:space="preserve"> surveys that demonstrated peak spawning above salinities of 35.3 </w:t>
      </w:r>
      <w:r w:rsidR="00B815DC" w:rsidRPr="00294BBF">
        <w:rPr>
          <w:color w:val="000000" w:themeColor="text1"/>
        </w:rPr>
        <w:fldChar w:fldCharType="begin" w:fldLock="1"/>
      </w:r>
      <w:r w:rsidR="00AD6103" w:rsidRPr="00294BBF">
        <w:rPr>
          <w:color w:val="000000" w:themeColor="text1"/>
        </w:rPr>
        <w:instrText>ADDIN CSL_CITATION { "citationItems" : [ { "id" : "ITEM-1", "itemData" : { "author" : [ { "dropping-particle" : "", "family" : "Schmidt", "given" : "S.", "non-dropping-particle" : "", "parse-names" : false, "suffix" : "" } ], "container-title" : "Rapp. P.-V. Reun. Cons. Int. Explor. Mer", "id" : "ITEM-1", "issued" : { "date-parts" : [ [ "1909" ] ] }, "page" : "1-229", "title" : "The distribution of the pelagic fry and the spawning regions of the gadoids in the North Atlantic from Iceland to Spain.", "type" : "article-journal", "volume" : "10" }, "uris" : [ "http://www.mendeley.com/documents/?uuid=2fa6294e-df39-4432-b7e5-df5f3b8b9b2f", "http://www.mendeley.com/documents/?uuid=9267392a-eab5-460e-8418-5086a370a0c8" ] } ], "mendeley" : { "formattedCitation" : "(Schmidt, 1909)", "plainTextFormattedCitation" : "(Schmidt, 1909)", "previouslyFormattedCitation" : "(Schmidt, 1909)" }, "properties" : { "noteIndex" : 0 }, "schema" : "https://github.com/citation-style-language/schema/raw/master/csl-citation.json" }</w:instrText>
      </w:r>
      <w:r w:rsidR="00B815DC" w:rsidRPr="00294BBF">
        <w:rPr>
          <w:color w:val="000000" w:themeColor="text1"/>
        </w:rPr>
        <w:fldChar w:fldCharType="separate"/>
      </w:r>
      <w:r w:rsidR="00763109" w:rsidRPr="00294BBF">
        <w:rPr>
          <w:noProof/>
          <w:color w:val="000000" w:themeColor="text1"/>
        </w:rPr>
        <w:t>(Schmidt, 1909)</w:t>
      </w:r>
      <w:r w:rsidR="00B815DC" w:rsidRPr="00294BBF">
        <w:rPr>
          <w:color w:val="000000" w:themeColor="text1"/>
        </w:rPr>
        <w:fldChar w:fldCharType="end"/>
      </w:r>
      <w:r w:rsidR="00B815DC" w:rsidRPr="00294BBF">
        <w:rPr>
          <w:color w:val="000000" w:themeColor="text1"/>
        </w:rPr>
        <w:t xml:space="preserve"> and between </w:t>
      </w:r>
      <w:r w:rsidR="00B815DC" w:rsidRPr="00294BBF">
        <w:rPr>
          <w:color w:val="000000" w:themeColor="text1"/>
        </w:rPr>
        <w:lastRenderedPageBreak/>
        <w:t>35.2 to 35.4</w:t>
      </w:r>
      <w:r w:rsidR="004B27B5" w:rsidRPr="00294BBF">
        <w:rPr>
          <w:color w:val="000000" w:themeColor="text1"/>
        </w:rPr>
        <w:t xml:space="preserve"> </w:t>
      </w:r>
      <w:r w:rsidR="004B27B5" w:rsidRPr="00294BBF">
        <w:rPr>
          <w:color w:val="000000" w:themeColor="text1"/>
        </w:rPr>
        <w:fldChar w:fldCharType="begin" w:fldLock="1"/>
      </w:r>
      <w:r w:rsidR="004B27B5" w:rsidRPr="00294BBF">
        <w:rPr>
          <w:color w:val="000000" w:themeColor="text1"/>
        </w:rPr>
        <w:instrText>ADDIN CSL_CITATION { "citationItems" : [ { "id" : "ITEM-1", "itemData" : { "DOI" : "10.1016/S0165-7836(00)00243-5", "ISBN" : "0165-7836", "ISSN" : "01657836", "abstract" : "The distribution of larval blue whiting (Micromesistius poutassou) was mapped along the shelf edge west of Scotland during May and June 1994. Age and individual growth histories of larvae were inferred from counts and measurements of increments on the sagittal otoliths. Maximum abundances of larvae were at the shelf break northwest of Ireland and decreased with distance north. Larvae were clearly and consistently associated with a tongue of warm saline water which extended north along the shelf edge. From otolith microstructure, the individual growth rates of larvae distributed in the warm saline water mass found in the south of the survey area were significantly greater than larvae which were distributed in cooler water further north. However, the corresponding length-weight relationships did not show any significant latitudinal trend suggesting that differences in growth were not reflected in the condition of the larvae. The consequences of slower growth and hence longer stage duration may lead these larvae to suffer higher rates of mortality and the results suggest that the dynamics of the water currents associated with the shelf break may be an important determinant of larval growth, and subsequently annual recruitment to the blue whiting stock. ?? 2001 Elsevier Science B.V.", "author" : [ { "dropping-particle" : "", "family" : "Bailey", "given" : "M. C.", "non-dropping-particle" : "", "parse-names" : false, "suffix" : "" }, { "dropping-particle" : "", "family" : "Heath", "given" : "Michael R", "non-dropping-particle" : "", "parse-names" : false, "suffix" : "" } ], "container-title" : "Fisheries Research", "id" : "ITEM-1", "issued" : { "date-parts" : [ [ "2001" ] ] }, "page" : "73-87", "title" : "Spatial variability in the growth rate of blue whiting (&lt;i&gt;Micromesistius poutassou&lt;/i&gt;) larvae at the shelf edge west of the UK", "type" : "article-journal", "volume" : "50" }, "uris" : [ "http://www.mendeley.com/documents/?uuid=b89c2a56-256f-4e69-b0a0-7cbf1642c551" ] } ], "mendeley" : { "formattedCitation" : "(Bailey and Heath, 2001)", "plainTextFormattedCitation" : "(Bailey and Heath, 2001)", "previouslyFormattedCitation" : "(Bailey and Heath, 2001)" }, "properties" : { "noteIndex" : 23 }, "schema" : "https://github.com/citation-style-language/schema/raw/master/csl-citation.json" }</w:instrText>
      </w:r>
      <w:r w:rsidR="004B27B5" w:rsidRPr="00294BBF">
        <w:rPr>
          <w:color w:val="000000" w:themeColor="text1"/>
        </w:rPr>
        <w:fldChar w:fldCharType="separate"/>
      </w:r>
      <w:r w:rsidR="004B27B5" w:rsidRPr="00294BBF">
        <w:rPr>
          <w:noProof/>
          <w:color w:val="000000" w:themeColor="text1"/>
        </w:rPr>
        <w:t>(Bailey and Heath, 2001)</w:t>
      </w:r>
      <w:r w:rsidR="004B27B5" w:rsidRPr="00294BBF">
        <w:rPr>
          <w:color w:val="000000" w:themeColor="text1"/>
        </w:rPr>
        <w:fldChar w:fldCharType="end"/>
      </w:r>
      <w:r w:rsidR="00B815DC" w:rsidRPr="00294BBF">
        <w:rPr>
          <w:color w:val="000000" w:themeColor="text1"/>
        </w:rPr>
        <w:t>.</w:t>
      </w:r>
      <w:r w:rsidR="00485CA1" w:rsidRPr="00294BBF">
        <w:rPr>
          <w:color w:val="000000" w:themeColor="text1"/>
        </w:rPr>
        <w:t xml:space="preserve"> Our results </w:t>
      </w:r>
      <w:r w:rsidR="00607623" w:rsidRPr="00294BBF">
        <w:rPr>
          <w:color w:val="000000" w:themeColor="text1"/>
        </w:rPr>
        <w:t xml:space="preserve">therefore </w:t>
      </w:r>
      <w:r w:rsidR="00485CA1" w:rsidRPr="00294BBF">
        <w:rPr>
          <w:color w:val="000000" w:themeColor="text1"/>
        </w:rPr>
        <w:t xml:space="preserve">suggest that spawning is constrained by fresh and cold water masses </w:t>
      </w:r>
      <w:r w:rsidR="00E468C4">
        <w:rPr>
          <w:color w:val="000000" w:themeColor="text1"/>
        </w:rPr>
        <w:t>in the spawning region associated with</w:t>
      </w:r>
      <w:r w:rsidR="00485CA1" w:rsidRPr="00294BBF">
        <w:rPr>
          <w:color w:val="000000" w:themeColor="text1"/>
        </w:rPr>
        <w:t xml:space="preserve"> </w:t>
      </w:r>
      <w:r w:rsidR="006C0C0B" w:rsidRPr="00294BBF">
        <w:rPr>
          <w:color w:val="000000" w:themeColor="text1"/>
        </w:rPr>
        <w:t xml:space="preserve">a strong </w:t>
      </w:r>
      <w:r w:rsidR="00485CA1" w:rsidRPr="00294BBF">
        <w:rPr>
          <w:color w:val="000000" w:themeColor="text1"/>
        </w:rPr>
        <w:t>SPG.</w:t>
      </w:r>
    </w:p>
    <w:p w14:paraId="6441B080" w14:textId="1F77E7EE" w:rsidR="000354AA" w:rsidRDefault="008E34E5" w:rsidP="00A55A37">
      <w:pPr>
        <w:rPr>
          <w:color w:val="000000" w:themeColor="text1"/>
        </w:rPr>
      </w:pPr>
      <w:r w:rsidRPr="00294BBF">
        <w:rPr>
          <w:color w:val="000000" w:themeColor="text1"/>
        </w:rPr>
        <w:t xml:space="preserve">The apparent selection </w:t>
      </w:r>
      <w:r w:rsidR="00CA470D" w:rsidRPr="00294BBF">
        <w:rPr>
          <w:color w:val="000000" w:themeColor="text1"/>
        </w:rPr>
        <w:t>for</w:t>
      </w:r>
      <w:r w:rsidRPr="00294BBF">
        <w:rPr>
          <w:color w:val="000000" w:themeColor="text1"/>
        </w:rPr>
        <w:t xml:space="preserve"> </w:t>
      </w:r>
      <w:r w:rsidR="00CA470D" w:rsidRPr="00294BBF">
        <w:rPr>
          <w:color w:val="000000" w:themeColor="text1"/>
        </w:rPr>
        <w:t xml:space="preserve">this salinity range by spawning blue whiting </w:t>
      </w:r>
      <w:r w:rsidR="001D087A" w:rsidRPr="00294BBF">
        <w:rPr>
          <w:color w:val="000000" w:themeColor="text1"/>
        </w:rPr>
        <w:t xml:space="preserve">may have </w:t>
      </w:r>
      <w:r w:rsidR="00CA470D" w:rsidRPr="00294BBF">
        <w:rPr>
          <w:color w:val="000000" w:themeColor="text1"/>
        </w:rPr>
        <w:t xml:space="preserve">a number of explanations. </w:t>
      </w:r>
      <w:r w:rsidR="0011247C" w:rsidRPr="00294BBF">
        <w:rPr>
          <w:color w:val="000000" w:themeColor="text1"/>
        </w:rPr>
        <w:t xml:space="preserve">Blue whiting eggs are positively buoyant initially and </w:t>
      </w:r>
      <w:r w:rsidR="00F74477" w:rsidRPr="00294BBF">
        <w:rPr>
          <w:color w:val="000000" w:themeColor="text1"/>
        </w:rPr>
        <w:t xml:space="preserve">their </w:t>
      </w:r>
      <w:r w:rsidR="0011247C" w:rsidRPr="00294BBF">
        <w:rPr>
          <w:color w:val="000000" w:themeColor="text1"/>
        </w:rPr>
        <w:t>density increases during eg</w:t>
      </w:r>
      <w:r w:rsidR="00F74477" w:rsidRPr="00294BBF">
        <w:rPr>
          <w:color w:val="000000" w:themeColor="text1"/>
        </w:rPr>
        <w:t>g development</w:t>
      </w:r>
      <w:r w:rsidR="0011247C" w:rsidRPr="00294BBF">
        <w:rPr>
          <w:color w:val="000000" w:themeColor="text1"/>
        </w:rPr>
        <w:t xml:space="preserve"> enabling them to maintain a stable bathypelagic distribution</w:t>
      </w:r>
      <w:r w:rsidR="00F74477" w:rsidRPr="00294BBF">
        <w:rPr>
          <w:color w:val="000000" w:themeColor="text1"/>
        </w:rPr>
        <w:t xml:space="preserve"> </w:t>
      </w:r>
      <w:r w:rsidR="00F74477" w:rsidRPr="00294BBF">
        <w:rPr>
          <w:color w:val="000000" w:themeColor="text1"/>
        </w:rPr>
        <w:fldChar w:fldCharType="begin" w:fldLock="1"/>
      </w:r>
      <w:r w:rsidR="00E40F45" w:rsidRPr="00294BBF">
        <w:rPr>
          <w:color w:val="000000" w:themeColor="text1"/>
        </w:rPr>
        <w:instrText>ADDIN CSL_CITATION { "citationItems" : [ { "id" : "ITEM-1", "itemData" : { "DOI" : "10.1016/S0165-7836(00)00242-3", "ISBN" : "0165-7836", "ISSN" : "01657836", "abstract" : "A mathematical model of the vertical distribution of fish eggs and larvae in response to changes in their buoyancy was developed and applied to eggs and larvae of blue whiting (Micromesistius poutassou). The model balances buoyancy and vertical mixing and allows for changes in buoyancy during development, as well as for variations in the physical properties of the water column with depth. Input data for the buoyancy of eggs and larvae were derived from experiments using a density-gradient column; the neutral buoyancy of blue whiting eggs was observed to increase over the duration of embryonic development from a salinity of below 34 to near 40 while larvae immediately after hatching were neutrally buoyant in a salinity of around 36.6. Input data for the vertical distribution of blue whiting eggs at hatching were derived from the results of plankton sampling to the west of the British Isles. These showed early stage eggs to be distributed in most abundance in the depth range 460-580m, with relatively little observed change through the remainder of embryonic development, and for larvae to became progressively concentrated in the upper 50 m of the water column. For both eggs and larvae, the model results were in close agreement with field observations. The lack of any marked displacement of the egg distributions was shown to be a reflection of their change from being initially buoyant, to sinking in the water column during the later phases of development, this behaviour being an adaptation to their bathypelagic habit. The model results also indicated that the ascent of the larvae from the spawning depths to the near-surface layers could be due entirely to buoyancy-induced passive rising of the larvae. (C) 2001 Elsevier Science B.V. All rights reserved.", "author" : [ { "dropping-particle" : "", "family" : "\u00c5dlandsvik", "given" : "Bj\u00f8rn", "non-dropping-particle" : "", "parse-names" : false, "suffix" : "" }, { "dropping-particle" : "", "family" : "Coombs", "given" : "S. H.", "non-dropping-particle" : "", "parse-names" : false, "suffix" : "" }, { "dropping-particle" : "", "family" : "Sundby", "given" : "S", "non-dropping-particle" : "", "parse-names" : false, "suffix" : "" }, { "dropping-particle" : "", "family" : "Temple", "given" : "G", "non-dropping-particle" : "", "parse-names" : false, "suffix" : "" } ], "container-title" : "Fisheries Research", "id" : "ITEM-1", "issued" : { "date-parts" : [ [ "2001" ] ] }, "page" : "59-72", "title" : "Buoyancy and vertical distribution of eggs and larvae of blue whiting (&lt;i&gt;Micromesistius poutassou&lt;/i&gt;): observations and modelling", "type" : "article-journal", "volume" : "50" }, "uris" : [ "http://www.mendeley.com/documents/?uuid=b6de8dcf-7a77-4342-830e-94d1f035a9c6" ] } ], "mendeley" : { "formattedCitation" : "(\u00c5dlandsvik &lt;i&gt;et al.&lt;/i&gt;, 2001)", "plainTextFormattedCitation" : "(\u00c5dlandsvik et al., 2001)", "previouslyFormattedCitation" : "(\u00c5dlandsvik &lt;i&gt;et al.&lt;/i&gt;, 2001)" }, "properties" : { "noteIndex" : 0 }, "schema" : "https://github.com/citation-style-language/schema/raw/master/csl-citation.json" }</w:instrText>
      </w:r>
      <w:r w:rsidR="00F74477" w:rsidRPr="00294BBF">
        <w:rPr>
          <w:color w:val="000000" w:themeColor="text1"/>
        </w:rPr>
        <w:fldChar w:fldCharType="separate"/>
      </w:r>
      <w:r w:rsidR="00E40F45" w:rsidRPr="00294BBF">
        <w:rPr>
          <w:noProof/>
          <w:color w:val="000000" w:themeColor="text1"/>
        </w:rPr>
        <w:t xml:space="preserve">(Ådlandsvik </w:t>
      </w:r>
      <w:r w:rsidR="006773E4" w:rsidRPr="006773E4">
        <w:rPr>
          <w:i/>
          <w:noProof/>
          <w:color w:val="000000" w:themeColor="text1"/>
        </w:rPr>
        <w:t>et al.</w:t>
      </w:r>
      <w:r w:rsidR="00E40F45" w:rsidRPr="00294BBF">
        <w:rPr>
          <w:noProof/>
          <w:color w:val="000000" w:themeColor="text1"/>
        </w:rPr>
        <w:t>, 2001)</w:t>
      </w:r>
      <w:r w:rsidR="00F74477" w:rsidRPr="00294BBF">
        <w:rPr>
          <w:color w:val="000000" w:themeColor="text1"/>
        </w:rPr>
        <w:fldChar w:fldCharType="end"/>
      </w:r>
      <w:r w:rsidR="00F74477" w:rsidRPr="00294BBF">
        <w:rPr>
          <w:color w:val="000000" w:themeColor="text1"/>
        </w:rPr>
        <w:t xml:space="preserve">. </w:t>
      </w:r>
      <w:r w:rsidR="0011247C" w:rsidRPr="00294BBF">
        <w:rPr>
          <w:color w:val="000000" w:themeColor="text1"/>
        </w:rPr>
        <w:t xml:space="preserve"> </w:t>
      </w:r>
      <w:r w:rsidR="00F74477" w:rsidRPr="00294BBF">
        <w:rPr>
          <w:color w:val="000000" w:themeColor="text1"/>
        </w:rPr>
        <w:t>Subsequently, blue whiting</w:t>
      </w:r>
      <w:r w:rsidR="0011247C" w:rsidRPr="00294BBF">
        <w:rPr>
          <w:color w:val="000000" w:themeColor="text1"/>
        </w:rPr>
        <w:t xml:space="preserve"> </w:t>
      </w:r>
      <w:r w:rsidR="0011247C" w:rsidRPr="00294BBF">
        <w:rPr>
          <w:bCs/>
          <w:color w:val="000000" w:themeColor="text1"/>
        </w:rPr>
        <w:t>larvae ascend passively</w:t>
      </w:r>
      <w:r w:rsidR="00F74477" w:rsidRPr="00294BBF">
        <w:rPr>
          <w:bCs/>
          <w:color w:val="000000" w:themeColor="text1"/>
        </w:rPr>
        <w:t xml:space="preserve"> </w:t>
      </w:r>
      <w:r w:rsidR="0011247C" w:rsidRPr="00294BBF">
        <w:rPr>
          <w:bCs/>
          <w:color w:val="000000" w:themeColor="text1"/>
        </w:rPr>
        <w:t>through the water column towards the surface where they feed</w:t>
      </w:r>
      <w:r w:rsidR="0011247C" w:rsidRPr="00294BBF">
        <w:rPr>
          <w:color w:val="000000" w:themeColor="text1"/>
        </w:rPr>
        <w:t xml:space="preserve"> </w:t>
      </w:r>
      <w:r w:rsidR="0011247C" w:rsidRPr="00294BBF">
        <w:rPr>
          <w:color w:val="000000" w:themeColor="text1"/>
        </w:rPr>
        <w:fldChar w:fldCharType="begin" w:fldLock="1"/>
      </w:r>
      <w:r w:rsidR="00E40F45" w:rsidRPr="00294BBF">
        <w:rPr>
          <w:color w:val="000000" w:themeColor="text1"/>
        </w:rPr>
        <w:instrText>ADDIN CSL_CITATION { "citationItems" : [ { "id" : "ITEM-1", "itemData" : { "DOI" : "10.1016/S0165-7836(00)00242-3", "ISBN" : "0165-7836", "ISSN" : "01657836", "abstract" : "A mathematical model of the vertical distribution of fish eggs and larvae in response to changes in their buoyancy was developed and applied to eggs and larvae of blue whiting (Micromesistius poutassou). The model balances buoyancy and vertical mixing and allows for changes in buoyancy during development, as well as for variations in the physical properties of the water column with depth. Input data for the buoyancy of eggs and larvae were derived from experiments using a density-gradient column; the neutral buoyancy of blue whiting eggs was observed to increase over the duration of embryonic development from a salinity of below 34 to near 40 while larvae immediately after hatching were neutrally buoyant in a salinity of around 36.6. Input data for the vertical distribution of blue whiting eggs at hatching were derived from the results of plankton sampling to the west of the British Isles. These showed early stage eggs to be distributed in most abundance in the depth range 460-580m, with relatively little observed change through the remainder of embryonic development, and for larvae to became progressively concentrated in the upper 50 m of the water column. For both eggs and larvae, the model results were in close agreement with field observations. The lack of any marked displacement of the egg distributions was shown to be a reflection of their change from being initially buoyant, to sinking in the water column during the later phases of development, this behaviour being an adaptation to their bathypelagic habit. The model results also indicated that the ascent of the larvae from the spawning depths to the near-surface layers could be due entirely to buoyancy-induced passive rising of the larvae. (C) 2001 Elsevier Science B.V. All rights reserved.", "author" : [ { "dropping-particle" : "", "family" : "\u00c5dlandsvik", "given" : "Bj\u00f8rn", "non-dropping-particle" : "", "parse-names" : false, "suffix" : "" }, { "dropping-particle" : "", "family" : "Coombs", "given" : "S. H.", "non-dropping-particle" : "", "parse-names" : false, "suffix" : "" }, { "dropping-particle" : "", "family" : "Sundby", "given" : "S", "non-dropping-particle" : "", "parse-names" : false, "suffix" : "" }, { "dropping-particle" : "", "family" : "Temple", "given" : "G", "non-dropping-particle" : "", "parse-names" : false, "suffix" : "" } ], "container-title" : "Fisheries Research", "id" : "ITEM-1", "issued" : { "date-parts" : [ [ "2001" ] ] }, "page" : "59-72", "title" : "Buoyancy and vertical distribution of eggs and larvae of blue whiting (&lt;i&gt;Micromesistius poutassou&lt;/i&gt;): observations and modelling", "type" : "article-journal", "volume" : "50" }, "uris" : [ "http://www.mendeley.com/documents/?uuid=b6de8dcf-7a77-4342-830e-94d1f035a9c6" ] } ], "mendeley" : { "formattedCitation" : "(\u00c5dlandsvik &lt;i&gt;et al.&lt;/i&gt;, 2001)", "plainTextFormattedCitation" : "(\u00c5dlandsvik et al., 2001)", "previouslyFormattedCitation" : "(\u00c5dlandsvik &lt;i&gt;et al.&lt;/i&gt;, 2001)" }, "properties" : { "noteIndex" : 0 }, "schema" : "https://github.com/citation-style-language/schema/raw/master/csl-citation.json" }</w:instrText>
      </w:r>
      <w:r w:rsidR="0011247C" w:rsidRPr="00294BBF">
        <w:rPr>
          <w:color w:val="000000" w:themeColor="text1"/>
        </w:rPr>
        <w:fldChar w:fldCharType="separate"/>
      </w:r>
      <w:r w:rsidR="00E40F45" w:rsidRPr="00294BBF">
        <w:rPr>
          <w:noProof/>
          <w:color w:val="000000" w:themeColor="text1"/>
        </w:rPr>
        <w:t xml:space="preserve">(Ådlandsvik </w:t>
      </w:r>
      <w:r w:rsidR="006773E4" w:rsidRPr="006773E4">
        <w:rPr>
          <w:i/>
          <w:noProof/>
          <w:color w:val="000000" w:themeColor="text1"/>
        </w:rPr>
        <w:t>et al.</w:t>
      </w:r>
      <w:r w:rsidR="00E40F45" w:rsidRPr="00294BBF">
        <w:rPr>
          <w:noProof/>
          <w:color w:val="000000" w:themeColor="text1"/>
        </w:rPr>
        <w:t>, 2001)</w:t>
      </w:r>
      <w:r w:rsidR="0011247C" w:rsidRPr="00294BBF">
        <w:rPr>
          <w:color w:val="000000" w:themeColor="text1"/>
        </w:rPr>
        <w:fldChar w:fldCharType="end"/>
      </w:r>
      <w:r w:rsidR="0011247C" w:rsidRPr="00294BBF">
        <w:rPr>
          <w:color w:val="000000" w:themeColor="text1"/>
        </w:rPr>
        <w:t xml:space="preserve">. </w:t>
      </w:r>
      <w:r w:rsidR="00B815DC" w:rsidRPr="00294BBF">
        <w:rPr>
          <w:color w:val="000000" w:themeColor="text1"/>
        </w:rPr>
        <w:t>Since v</w:t>
      </w:r>
      <w:r w:rsidR="00B815DC" w:rsidRPr="00294BBF">
        <w:rPr>
          <w:bCs/>
          <w:color w:val="000000" w:themeColor="text1"/>
        </w:rPr>
        <w:t xml:space="preserve">ariations in water density </w:t>
      </w:r>
      <w:r w:rsidR="00B815DC" w:rsidRPr="00294BBF">
        <w:rPr>
          <w:color w:val="000000" w:themeColor="text1"/>
        </w:rPr>
        <w:t>affect the buoyancy of eggs and larvae and thus their vertical distribution, changes in salinity can alter the ascent of larvae from their spawning depth towards the food</w:t>
      </w:r>
      <w:r w:rsidR="0011247C" w:rsidRPr="00294BBF">
        <w:rPr>
          <w:color w:val="000000" w:themeColor="text1"/>
        </w:rPr>
        <w:t>-</w:t>
      </w:r>
      <w:r w:rsidR="00B815DC" w:rsidRPr="00294BBF">
        <w:rPr>
          <w:color w:val="000000" w:themeColor="text1"/>
        </w:rPr>
        <w:t xml:space="preserve">rich surface waters, </w:t>
      </w:r>
      <w:r w:rsidR="00B815DC" w:rsidRPr="00294BBF">
        <w:rPr>
          <w:bCs/>
          <w:color w:val="000000" w:themeColor="text1"/>
        </w:rPr>
        <w:t xml:space="preserve">which is </w:t>
      </w:r>
      <w:r w:rsidR="00B815DC" w:rsidRPr="00294BBF">
        <w:rPr>
          <w:color w:val="000000" w:themeColor="text1"/>
        </w:rPr>
        <w:t xml:space="preserve">critical for their survival </w:t>
      </w:r>
      <w:r w:rsidR="00B815DC" w:rsidRPr="00294BBF">
        <w:rPr>
          <w:color w:val="000000" w:themeColor="text1"/>
        </w:rPr>
        <w:fldChar w:fldCharType="begin" w:fldLock="1"/>
      </w:r>
      <w:r w:rsidR="00E40F45" w:rsidRPr="00294BBF">
        <w:rPr>
          <w:color w:val="000000" w:themeColor="text1"/>
        </w:rPr>
        <w:instrText>ADDIN CSL_CITATION { "citationItems" : [ { "id" : "ITEM-1", "itemData" : { "DOI" : "10.1016/S0165-7836(00)00242-3", "ISBN" : "0165-7836", "ISSN" : "01657836", "abstract" : "A mathematical model of the vertical distribution of fish eggs and larvae in response to changes in their buoyancy was developed and applied to eggs and larvae of blue whiting (Micromesistius poutassou). The model balances buoyancy and vertical mixing and allows for changes in buoyancy during development, as well as for variations in the physical properties of the water column with depth. Input data for the buoyancy of eggs and larvae were derived from experiments using a density-gradient column; the neutral buoyancy of blue whiting eggs was observed to increase over the duration of embryonic development from a salinity of below 34 to near 40 while larvae immediately after hatching were neutrally buoyant in a salinity of around 36.6. Input data for the vertical distribution of blue whiting eggs at hatching were derived from the results of plankton sampling to the west of the British Isles. These showed early stage eggs to be distributed in most abundance in the depth range 460-580m, with relatively little observed change through the remainder of embryonic development, and for larvae to became progressively concentrated in the upper 50 m of the water column. For both eggs and larvae, the model results were in close agreement with field observations. The lack of any marked displacement of the egg distributions was shown to be a reflection of their change from being initially buoyant, to sinking in the water column during the later phases of development, this behaviour being an adaptation to their bathypelagic habit. The model results also indicated that the ascent of the larvae from the spawning depths to the near-surface layers could be due entirely to buoyancy-induced passive rising of the larvae. (C) 2001 Elsevier Science B.V. All rights reserved.", "author" : [ { "dropping-particle" : "", "family" : "\u00c5dlandsvik", "given" : "Bj\u00f8rn", "non-dropping-particle" : "", "parse-names" : false, "suffix" : "" }, { "dropping-particle" : "", "family" : "Coombs", "given" : "S. H.", "non-dropping-particle" : "", "parse-names" : false, "suffix" : "" }, { "dropping-particle" : "", "family" : "Sundby", "given" : "S", "non-dropping-particle" : "", "parse-names" : false, "suffix" : "" }, { "dropping-particle" : "", "family" : "Temple", "given" : "G", "non-dropping-particle" : "", "parse-names" : false, "suffix" : "" } ], "container-title" : "Fisheries Research", "id" : "ITEM-1", "issued" : { "date-parts" : [ [ "2001" ] ] }, "page" : "59-72", "title" : "Buoyancy and vertical distribution of eggs and larvae of blue whiting (&lt;i&gt;Micromesistius poutassou&lt;/i&gt;): observations and modelling", "type" : "article-journal", "volume" : "50" }, "uris" : [ "http://www.mendeley.com/documents/?uuid=b6de8dcf-7a77-4342-830e-94d1f035a9c6" ] } ], "mendeley" : { "formattedCitation" : "(\u00c5dlandsvik &lt;i&gt;et al.&lt;/i&gt;, 2001)", "plainTextFormattedCitation" : "(\u00c5dlandsvik et al., 2001)", "previouslyFormattedCitation" : "(\u00c5dlandsvik &lt;i&gt;et al.&lt;/i&gt;, 2001)" }, "properties" : { "noteIndex" : 0 }, "schema" : "https://github.com/citation-style-language/schema/raw/master/csl-citation.json" }</w:instrText>
      </w:r>
      <w:r w:rsidR="00B815DC" w:rsidRPr="00294BBF">
        <w:rPr>
          <w:color w:val="000000" w:themeColor="text1"/>
        </w:rPr>
        <w:fldChar w:fldCharType="separate"/>
      </w:r>
      <w:r w:rsidR="00E40F45" w:rsidRPr="00294BBF">
        <w:rPr>
          <w:noProof/>
          <w:color w:val="000000" w:themeColor="text1"/>
        </w:rPr>
        <w:t xml:space="preserve">(Ådlandsvik </w:t>
      </w:r>
      <w:r w:rsidR="006773E4" w:rsidRPr="006773E4">
        <w:rPr>
          <w:i/>
          <w:noProof/>
          <w:color w:val="000000" w:themeColor="text1"/>
        </w:rPr>
        <w:t>et al.</w:t>
      </w:r>
      <w:r w:rsidR="00E40F45" w:rsidRPr="00294BBF">
        <w:rPr>
          <w:noProof/>
          <w:color w:val="000000" w:themeColor="text1"/>
        </w:rPr>
        <w:t>, 2001)</w:t>
      </w:r>
      <w:r w:rsidR="00B815DC" w:rsidRPr="00294BBF">
        <w:rPr>
          <w:color w:val="000000" w:themeColor="text1"/>
        </w:rPr>
        <w:fldChar w:fldCharType="end"/>
      </w:r>
      <w:r w:rsidR="00B815DC" w:rsidRPr="00294BBF">
        <w:rPr>
          <w:color w:val="000000" w:themeColor="text1"/>
        </w:rPr>
        <w:t xml:space="preserve">. </w:t>
      </w:r>
    </w:p>
    <w:p w14:paraId="08D07DAD" w14:textId="3F147BC8" w:rsidR="003858DB" w:rsidRDefault="00AE428C" w:rsidP="00A55A37">
      <w:pPr>
        <w:rPr>
          <w:color w:val="000000" w:themeColor="text1"/>
        </w:rPr>
      </w:pPr>
      <w:r w:rsidRPr="00294BBF">
        <w:rPr>
          <w:color w:val="000000" w:themeColor="text1"/>
        </w:rPr>
        <w:t>Additionally, changes in the marine environment also affect the plankton community and thus the fo</w:t>
      </w:r>
      <w:r w:rsidR="000F04DE" w:rsidRPr="00294BBF">
        <w:rPr>
          <w:color w:val="000000" w:themeColor="text1"/>
        </w:rPr>
        <w:t xml:space="preserve">od conditions for blue whiting. </w:t>
      </w:r>
      <w:r w:rsidR="000F04DE" w:rsidRPr="00294BBF">
        <w:rPr>
          <w:color w:val="000000" w:themeColor="text1"/>
        </w:rPr>
        <w:fldChar w:fldCharType="begin" w:fldLock="1"/>
      </w:r>
      <w:r w:rsidR="004D4781" w:rsidRPr="00294BBF">
        <w:rPr>
          <w:color w:val="000000" w:themeColor="text1"/>
        </w:rPr>
        <w:instrText>ADDIN CSL_CITATION { "citationItems" : [ { "id" : "ITEM-1", "itemData" : { "DOI" : "10.1016/j.pocean.2009.03.001", "ISBN" : "0079-6611", "ISSN" : "00796611", "abstract" : "Pronounced changes in fauna, extending from the English Channel in the south to the Barents Sea in the north-east and off Greenland in the north-west, have occurred in the late 1920s, the late 1960s and again in the late 1990s. We attribute these events to exchanges of subarctic and subtropical water masses in the north-eastern North Atlantic Ocean, associated with changes in the strength and extent of the subpolar gyre. These exchanges lead to variations in the influence exerted by the subarctic or Lusitanian biomes on the intermediate faunistic zone in the north-eastern Atlantic. This strong and persistent bottom-up bio-physical link is demonstrated using a numerical ocean general circulation model and data on four trophically connected levels in the food chain - phytoplankton, zooplankton, blue whiting, and pilot whales. The plankton data give a unique basin-scale depiction of these changes, and a long pilot whale record from the Faroe Islands offers an exceptional temporal perspective over three centuries. Recent advances in simulating the dynamics of the subpolar gyre suggests a potential for predicting the distribution of the main faunistic zones in the north-eastern Atlantic a few years into the future, which might facilitate a more rational management of the commercially important fisheries in this region. \u00a9 2009 Elsevier Ltd. All rights reserved.", "author" : [ { "dropping-particle" : "", "family" : "H\u00e1t\u00fan", "given" : "Hj\u00e1lmar", "non-dropping-particle" : "", "parse-names" : false, "suffix" : "" }, { "dropping-particle" : "", "family" : "Payne", "given" : "Mark R.", "non-dropping-particle" : "", "parse-names" : false, "suffix" : "" }, { "dropping-particle" : "", "family" : "Beaugrand", "given" : "G.", "non-dropping-particle" : "", "parse-names" : false, "suffix" : "" }, { "dropping-particle" : "", "family" : "Reid", "given" : "P. C.", "non-dropping-particle" : "", "parse-names" : false, "suffix" : "" }, { "dropping-particle" : "", "family" : "Sand\u00f8", "given" : "A. B.", "non-dropping-particle" : "", "parse-names" : false, "suffix" : "" }, { "dropping-particle" : "", "family" : "Drange", "given" : "H.", "non-dropping-particle" : "", "parse-names" : false, "suffix" : "" }, { "dropping-particle" : "", "family" : "Hansen", "given" : "B.", "non-dropping-particle" : "", "parse-names" : false, "suffix" : "" }, { "dropping-particle" : "", "family" : "Jacobsen", "given" : "J. A.", "non-dropping-particle" : "", "parse-names" : false, "suffix" : "" }, { "dropping-particle" : "", "family" : "Bloch", "given" : "D.", "non-dropping-particle" : "", "parse-names" : false, "suffix" : "" } ], "container-title" : "Progress in Oceanography", "id" : "ITEM-1", "issue" : "3-4", "issued" : { "date-parts" : [ [ "2009" ] ] }, "page" : "149-162", "publisher" : "Elsevier Ltd", "title" : "Large bio-geographical shifts in the north-eastern Atlantic Ocean: From the subpolar gyre, via plankton, to blue whiting and pilot whales", "type" : "article-journal", "volume" : "80" }, "uris" : [ "http://www.mendeley.com/documents/?uuid=7e994d25-6510-4f18-9e43-2eba8ff6dc1d" ] } ], "mendeley" : { "formattedCitation" : "(H\u00e1t\u00fan, Payne, Beaugrand, &lt;i&gt;et al.&lt;/i&gt;, 2009)", "manualFormatting" : "H\u00e1t\u00fan et al. (2009a)", "plainTextFormattedCitation" : "(H\u00e1t\u00fan, Payne, Beaugrand, et al., 2009)", "previouslyFormattedCitation" : "(H\u00e1t\u00fan, Payne, Beaugrand, &lt;i&gt;et al.&lt;/i&gt;, 2009)" }, "properties" : { "noteIndex" : 0 }, "schema" : "https://github.com/citation-style-language/schema/raw/master/csl-citation.json" }</w:instrText>
      </w:r>
      <w:r w:rsidR="000F04DE" w:rsidRPr="00294BBF">
        <w:rPr>
          <w:color w:val="000000" w:themeColor="text1"/>
        </w:rPr>
        <w:fldChar w:fldCharType="separate"/>
      </w:r>
      <w:r w:rsidR="000F04DE" w:rsidRPr="00294BBF">
        <w:rPr>
          <w:noProof/>
          <w:color w:val="000000" w:themeColor="text1"/>
          <w:lang w:val="en-US"/>
        </w:rPr>
        <w:t xml:space="preserve">Hátún </w:t>
      </w:r>
      <w:r w:rsidR="006773E4" w:rsidRPr="006773E4">
        <w:rPr>
          <w:i/>
          <w:noProof/>
          <w:color w:val="000000" w:themeColor="text1"/>
          <w:lang w:val="en-US"/>
        </w:rPr>
        <w:t>et al.</w:t>
      </w:r>
      <w:r w:rsidR="004D4781" w:rsidRPr="00294BBF">
        <w:rPr>
          <w:noProof/>
          <w:color w:val="000000" w:themeColor="text1"/>
          <w:lang w:val="en-US"/>
        </w:rPr>
        <w:t xml:space="preserve"> (2009a</w:t>
      </w:r>
      <w:r w:rsidR="000F04DE" w:rsidRPr="00294BBF">
        <w:rPr>
          <w:noProof/>
          <w:color w:val="000000" w:themeColor="text1"/>
          <w:lang w:val="en-US"/>
        </w:rPr>
        <w:t>)</w:t>
      </w:r>
      <w:r w:rsidR="000F04DE" w:rsidRPr="00294BBF">
        <w:rPr>
          <w:color w:val="000000" w:themeColor="text1"/>
        </w:rPr>
        <w:fldChar w:fldCharType="end"/>
      </w:r>
      <w:r w:rsidR="000F04DE" w:rsidRPr="00294BBF">
        <w:rPr>
          <w:color w:val="000000" w:themeColor="text1"/>
        </w:rPr>
        <w:t xml:space="preserve"> </w:t>
      </w:r>
      <w:r w:rsidRPr="00294BBF">
        <w:rPr>
          <w:color w:val="000000" w:themeColor="text1"/>
        </w:rPr>
        <w:t xml:space="preserve">have found that during a weak SPG, when the spawning region is influenced by </w:t>
      </w:r>
      <w:r w:rsidR="00004B84" w:rsidRPr="00294BBF">
        <w:rPr>
          <w:color w:val="000000" w:themeColor="text1"/>
        </w:rPr>
        <w:t xml:space="preserve">saline, </w:t>
      </w:r>
      <w:r w:rsidRPr="00294BBF">
        <w:rPr>
          <w:color w:val="000000" w:themeColor="text1"/>
        </w:rPr>
        <w:t xml:space="preserve">subtropical water masses, </w:t>
      </w:r>
      <w:r w:rsidR="00004B84" w:rsidRPr="00294BBF">
        <w:rPr>
          <w:color w:val="000000" w:themeColor="text1"/>
        </w:rPr>
        <w:t xml:space="preserve">the zooplankton community switches from a dominance of </w:t>
      </w:r>
      <w:proofErr w:type="spellStart"/>
      <w:r w:rsidR="00004B84" w:rsidRPr="00294BBF">
        <w:rPr>
          <w:i/>
          <w:color w:val="000000" w:themeColor="text1"/>
        </w:rPr>
        <w:t>Calan</w:t>
      </w:r>
      <w:r w:rsidR="000C1E4B" w:rsidRPr="00294BBF">
        <w:rPr>
          <w:i/>
          <w:color w:val="000000" w:themeColor="text1"/>
        </w:rPr>
        <w:t>us</w:t>
      </w:r>
      <w:proofErr w:type="spellEnd"/>
      <w:r w:rsidR="000C1E4B" w:rsidRPr="00294BBF">
        <w:rPr>
          <w:i/>
          <w:color w:val="000000" w:themeColor="text1"/>
        </w:rPr>
        <w:t xml:space="preserve"> </w:t>
      </w:r>
      <w:proofErr w:type="spellStart"/>
      <w:r w:rsidR="000C1E4B" w:rsidRPr="00294BBF">
        <w:rPr>
          <w:i/>
          <w:color w:val="000000" w:themeColor="text1"/>
        </w:rPr>
        <w:t>finmarchicus</w:t>
      </w:r>
      <w:proofErr w:type="spellEnd"/>
      <w:r w:rsidR="000C1E4B" w:rsidRPr="00294BBF">
        <w:rPr>
          <w:i/>
          <w:color w:val="000000" w:themeColor="text1"/>
        </w:rPr>
        <w:t xml:space="preserve"> </w:t>
      </w:r>
      <w:r w:rsidR="00004B84" w:rsidRPr="00294BBF">
        <w:rPr>
          <w:color w:val="000000" w:themeColor="text1"/>
        </w:rPr>
        <w:t xml:space="preserve">to a greater abundance of smaller copepod species such as </w:t>
      </w:r>
      <w:proofErr w:type="spellStart"/>
      <w:r w:rsidR="00004B84" w:rsidRPr="00294BBF">
        <w:rPr>
          <w:i/>
          <w:color w:val="000000" w:themeColor="text1"/>
        </w:rPr>
        <w:t>Pseudocalanus</w:t>
      </w:r>
      <w:proofErr w:type="spellEnd"/>
      <w:r w:rsidR="00004B84" w:rsidRPr="00294BBF">
        <w:rPr>
          <w:i/>
          <w:color w:val="000000" w:themeColor="text1"/>
        </w:rPr>
        <w:t xml:space="preserve">, </w:t>
      </w:r>
      <w:proofErr w:type="spellStart"/>
      <w:r w:rsidR="00004B84" w:rsidRPr="00294BBF">
        <w:rPr>
          <w:i/>
          <w:color w:val="000000" w:themeColor="text1"/>
        </w:rPr>
        <w:t>Acartia</w:t>
      </w:r>
      <w:proofErr w:type="spellEnd"/>
      <w:r w:rsidR="00004B84" w:rsidRPr="00294BBF">
        <w:rPr>
          <w:i/>
          <w:color w:val="000000" w:themeColor="text1"/>
        </w:rPr>
        <w:t xml:space="preserve"> </w:t>
      </w:r>
      <w:r w:rsidR="00004B84" w:rsidRPr="00294BBF">
        <w:rPr>
          <w:color w:val="000000" w:themeColor="text1"/>
        </w:rPr>
        <w:t>and</w:t>
      </w:r>
      <w:r w:rsidR="00004B84" w:rsidRPr="00294BBF">
        <w:rPr>
          <w:i/>
          <w:color w:val="000000" w:themeColor="text1"/>
        </w:rPr>
        <w:t xml:space="preserve"> </w:t>
      </w:r>
      <w:proofErr w:type="spellStart"/>
      <w:r w:rsidR="00004B84" w:rsidRPr="00294BBF">
        <w:rPr>
          <w:i/>
          <w:color w:val="000000" w:themeColor="text1"/>
        </w:rPr>
        <w:t>Oithona</w:t>
      </w:r>
      <w:proofErr w:type="spellEnd"/>
      <w:r w:rsidR="00004B84" w:rsidRPr="00294BBF">
        <w:rPr>
          <w:i/>
          <w:color w:val="000000" w:themeColor="text1"/>
        </w:rPr>
        <w:t xml:space="preserve">. </w:t>
      </w:r>
      <w:r w:rsidR="00004B84" w:rsidRPr="00294BBF">
        <w:rPr>
          <w:color w:val="000000" w:themeColor="text1"/>
        </w:rPr>
        <w:t xml:space="preserve">These species represent the main food items of blue whiting larvae </w:t>
      </w:r>
      <w:r w:rsidR="00004B84" w:rsidRPr="00294BBF">
        <w:rPr>
          <w:color w:val="000000" w:themeColor="text1"/>
        </w:rPr>
        <w:fldChar w:fldCharType="begin" w:fldLock="1"/>
      </w:r>
      <w:r w:rsidR="00E40F45" w:rsidRPr="00294BBF">
        <w:rPr>
          <w:color w:val="000000" w:themeColor="text1"/>
        </w:rPr>
        <w:instrText>ADDIN CSL_CITATION { "citationItems" : [ { "id" : "ITEM-1", "itemData" : { "author" : [ { "dropping-particle" : "", "family" : "Bailey", "given" : "R. S.", "non-dropping-particle" : "", "parse-names" : false, "suffix" : "" } ], "container-title" : "Advances in Marine Biology", "id" : "ITEM-1", "issued" : { "date-parts" : [ [ "1982" ] ] }, "page" : "257-355", "title" : "The population biology of blue whiting in the North Atlantic", "type" : "article-journal", "volume" : "19" }, "uris" : [ "http://www.mendeley.com/documents/?uuid=6d669d08-4d65-4bc6-9528-0a308ec660b1" ] } ], "mendeley" : { "formattedCitation" : "(Bailey, 1982)", "plainTextFormattedCitation" : "(Bailey, 1982)", "previouslyFormattedCitation" : "(Bailey, 1982)" }, "properties" : { "noteIndex" : 0 }, "schema" : "https://github.com/citation-style-language/schema/raw/master/csl-citation.json" }</w:instrText>
      </w:r>
      <w:r w:rsidR="00004B84" w:rsidRPr="00294BBF">
        <w:rPr>
          <w:color w:val="000000" w:themeColor="text1"/>
        </w:rPr>
        <w:fldChar w:fldCharType="separate"/>
      </w:r>
      <w:r w:rsidR="00E40F45" w:rsidRPr="00294BBF">
        <w:rPr>
          <w:noProof/>
          <w:color w:val="000000" w:themeColor="text1"/>
        </w:rPr>
        <w:t>(Bailey, 1982)</w:t>
      </w:r>
      <w:r w:rsidR="00004B84" w:rsidRPr="00294BBF">
        <w:rPr>
          <w:color w:val="000000" w:themeColor="text1"/>
        </w:rPr>
        <w:fldChar w:fldCharType="end"/>
      </w:r>
      <w:r w:rsidR="00D07409" w:rsidRPr="00294BBF">
        <w:rPr>
          <w:color w:val="000000" w:themeColor="text1"/>
        </w:rPr>
        <w:t xml:space="preserve"> and it is therefore possible that</w:t>
      </w:r>
      <w:r w:rsidR="00A515EA" w:rsidRPr="00294BBF">
        <w:rPr>
          <w:color w:val="000000" w:themeColor="text1"/>
        </w:rPr>
        <w:t xml:space="preserve"> </w:t>
      </w:r>
      <w:r w:rsidR="00D07409" w:rsidRPr="00294BBF">
        <w:rPr>
          <w:color w:val="000000" w:themeColor="text1"/>
        </w:rPr>
        <w:t xml:space="preserve">shifts in the spawning distribution may in fact be a result of </w:t>
      </w:r>
      <w:r w:rsidR="001D535C" w:rsidRPr="00294BBF">
        <w:rPr>
          <w:color w:val="000000" w:themeColor="text1"/>
        </w:rPr>
        <w:t xml:space="preserve">spawning adults </w:t>
      </w:r>
      <w:r w:rsidR="00D07409" w:rsidRPr="00294BBF">
        <w:rPr>
          <w:color w:val="000000" w:themeColor="text1"/>
        </w:rPr>
        <w:t>choosing</w:t>
      </w:r>
      <w:r w:rsidR="001D535C" w:rsidRPr="00294BBF">
        <w:rPr>
          <w:color w:val="000000" w:themeColor="text1"/>
        </w:rPr>
        <w:t xml:space="preserve"> </w:t>
      </w:r>
      <w:r w:rsidR="008B0D8B" w:rsidRPr="00294BBF">
        <w:rPr>
          <w:color w:val="000000" w:themeColor="text1"/>
        </w:rPr>
        <w:t xml:space="preserve">regions to spawn </w:t>
      </w:r>
      <w:r w:rsidR="00BD12A0" w:rsidRPr="00294BBF">
        <w:rPr>
          <w:color w:val="000000" w:themeColor="text1"/>
        </w:rPr>
        <w:t xml:space="preserve">where </w:t>
      </w:r>
      <w:r w:rsidR="00D07409" w:rsidRPr="00294BBF">
        <w:rPr>
          <w:color w:val="000000" w:themeColor="text1"/>
        </w:rPr>
        <w:t xml:space="preserve">there is abundant and </w:t>
      </w:r>
      <w:r w:rsidR="00BD12A0" w:rsidRPr="00294BBF">
        <w:rPr>
          <w:color w:val="000000" w:themeColor="text1"/>
        </w:rPr>
        <w:t>suitable prey</w:t>
      </w:r>
      <w:r w:rsidR="00D07409" w:rsidRPr="00294BBF">
        <w:rPr>
          <w:color w:val="000000" w:themeColor="text1"/>
        </w:rPr>
        <w:t xml:space="preserve"> for</w:t>
      </w:r>
      <w:r w:rsidR="00944597" w:rsidRPr="00294BBF">
        <w:rPr>
          <w:color w:val="000000" w:themeColor="text1"/>
        </w:rPr>
        <w:t xml:space="preserve"> the larvae, thereby maximising larval </w:t>
      </w:r>
      <w:r w:rsidR="00D07409" w:rsidRPr="00294BBF">
        <w:rPr>
          <w:color w:val="000000" w:themeColor="text1"/>
        </w:rPr>
        <w:t>survival probabilities</w:t>
      </w:r>
      <w:r w:rsidR="00BD12A0" w:rsidRPr="00294BBF">
        <w:rPr>
          <w:color w:val="000000" w:themeColor="text1"/>
        </w:rPr>
        <w:t>.</w:t>
      </w:r>
      <w:r w:rsidR="00D07409" w:rsidRPr="00294BBF">
        <w:rPr>
          <w:color w:val="000000" w:themeColor="text1"/>
        </w:rPr>
        <w:t xml:space="preserve"> The strong relationship </w:t>
      </w:r>
      <w:r w:rsidR="00B815DC" w:rsidRPr="00294BBF">
        <w:rPr>
          <w:color w:val="000000" w:themeColor="text1"/>
        </w:rPr>
        <w:t>between the potential spawning region</w:t>
      </w:r>
      <w:r w:rsidR="00F74477" w:rsidRPr="00294BBF">
        <w:rPr>
          <w:color w:val="000000" w:themeColor="text1"/>
        </w:rPr>
        <w:t xml:space="preserve"> </w:t>
      </w:r>
      <w:r w:rsidR="00B815DC" w:rsidRPr="00294BBF">
        <w:rPr>
          <w:color w:val="000000" w:themeColor="text1"/>
        </w:rPr>
        <w:t xml:space="preserve">and the ambient salinities </w:t>
      </w:r>
      <w:r w:rsidR="00D07409" w:rsidRPr="00294BBF">
        <w:rPr>
          <w:color w:val="000000" w:themeColor="text1"/>
        </w:rPr>
        <w:t xml:space="preserve">found here may therefore arise in part as a response to the correlation </w:t>
      </w:r>
      <w:r w:rsidR="00D07409" w:rsidRPr="00294BBF">
        <w:rPr>
          <w:color w:val="000000" w:themeColor="text1"/>
        </w:rPr>
        <w:lastRenderedPageBreak/>
        <w:t>between salinity and the planktonic community in this region. Alternatively, spawning blue whiting may be using salinity (which they most likely can sense) as a proxy for the planktonic community to be encountered by the larvae (which they most likely cannot sense). Based on this analysis alone it is not possible to determine which, if any, of these mechanisms is causative in nature, and further research is required to clarify this issue.</w:t>
      </w:r>
    </w:p>
    <w:p w14:paraId="2EDAAC1E" w14:textId="7D51F6EC" w:rsidR="001B0977" w:rsidRDefault="00F4301F" w:rsidP="00A55A37">
      <w:pPr>
        <w:rPr>
          <w:color w:val="000000" w:themeColor="text1"/>
        </w:rPr>
      </w:pPr>
      <w:r w:rsidRPr="00294BBF">
        <w:rPr>
          <w:color w:val="000000" w:themeColor="text1"/>
        </w:rPr>
        <w:t>An interesting, although subtle, result from this analysis concerns the presence of blue w</w:t>
      </w:r>
      <w:r w:rsidR="008B0D8B" w:rsidRPr="00294BBF">
        <w:rPr>
          <w:color w:val="000000" w:themeColor="text1"/>
        </w:rPr>
        <w:t xml:space="preserve">hiting larvae in the Porcupine </w:t>
      </w:r>
      <w:proofErr w:type="spellStart"/>
      <w:r w:rsidR="008B0D8B" w:rsidRPr="00294BBF">
        <w:rPr>
          <w:color w:val="000000" w:themeColor="text1"/>
        </w:rPr>
        <w:t>S</w:t>
      </w:r>
      <w:r w:rsidRPr="00294BBF">
        <w:rPr>
          <w:color w:val="000000" w:themeColor="text1"/>
        </w:rPr>
        <w:t>eabight</w:t>
      </w:r>
      <w:proofErr w:type="spellEnd"/>
      <w:r w:rsidRPr="00294BBF">
        <w:rPr>
          <w:color w:val="000000" w:themeColor="text1"/>
        </w:rPr>
        <w:t xml:space="preserve"> region. In a previous paper </w:t>
      </w:r>
      <w:r w:rsidR="008B0D8B" w:rsidRPr="00294BBF">
        <w:rPr>
          <w:color w:val="000000" w:themeColor="text1"/>
        </w:rPr>
        <w:fldChar w:fldCharType="begin" w:fldLock="1"/>
      </w:r>
      <w:r w:rsidR="00041FF2" w:rsidRPr="00294BBF">
        <w:rPr>
          <w:color w:val="000000" w:themeColor="text1"/>
        </w:rPr>
        <w:instrText>ADDIN CSL_CITATION { "citationItems" : [ { "id" : "ITEM-1", "itemData" : { "DOI" : "10.1371/journal.pone.0106237", "author" : [ { "dropping-particle" : "", "family" : "Pointin", "given" : "Fabien", "non-dropping-particle" : "", "parse-names" : false, "suffix" : "" }, { "dropping-particle" : "", "family" : "Payne", "given" : "Mark R.", "non-dropping-particle" : "", "parse-names" : false, "suffix" : "" } ], "container-title" : "PloS ONE", "id" : "ITEM-1", "issue" : "9", "issued" : { "date-parts" : [ [ "2014" ] ] }, "page" : "1-11", "title" : "A Resolution to the Blue Whiting (Micromesistius poutassou) Population Paradox?", "type" : "article-journal", "volume" : "9" }, "uris" : [ "http://www.mendeley.com/documents/?uuid=6a6f494c-8d8f-4687-b6e3-cf82728f52eb" ] } ], "mendeley" : { "formattedCitation" : "(Pointin and Payne, 2014)", "plainTextFormattedCitation" : "(Pointin and Payne, 2014)", "previouslyFormattedCitation" : "(Pointin and Payne, 2014)" }, "properties" : { "noteIndex" : 0 }, "schema" : "https://github.com/citation-style-language/schema/raw/master/csl-citation.json" }</w:instrText>
      </w:r>
      <w:r w:rsidR="008B0D8B" w:rsidRPr="00294BBF">
        <w:rPr>
          <w:color w:val="000000" w:themeColor="text1"/>
        </w:rPr>
        <w:fldChar w:fldCharType="separate"/>
      </w:r>
      <w:r w:rsidR="00041FF2" w:rsidRPr="00294BBF">
        <w:rPr>
          <w:noProof/>
          <w:color w:val="000000" w:themeColor="text1"/>
        </w:rPr>
        <w:t>(Pointin and Payne, 2014)</w:t>
      </w:r>
      <w:r w:rsidR="008B0D8B" w:rsidRPr="00294BBF">
        <w:rPr>
          <w:color w:val="000000" w:themeColor="text1"/>
        </w:rPr>
        <w:fldChar w:fldCharType="end"/>
      </w:r>
      <w:r w:rsidR="008B0D8B" w:rsidRPr="00294BBF">
        <w:rPr>
          <w:color w:val="000000" w:themeColor="text1"/>
        </w:rPr>
        <w:t xml:space="preserve"> </w:t>
      </w:r>
      <w:r w:rsidRPr="00294BBF">
        <w:rPr>
          <w:color w:val="000000" w:themeColor="text1"/>
        </w:rPr>
        <w:t>it has been suggested that these observations may represent a southern spawning population. However, the results gathered here show that there is essentially no spawning in this region during more saline and warmer regions (Fig</w:t>
      </w:r>
      <w:r w:rsidR="00C920CB" w:rsidRPr="00294BBF">
        <w:rPr>
          <w:color w:val="000000" w:themeColor="text1"/>
        </w:rPr>
        <w:t>.</w:t>
      </w:r>
      <w:r w:rsidRPr="00294BBF">
        <w:rPr>
          <w:color w:val="000000" w:themeColor="text1"/>
        </w:rPr>
        <w:t xml:space="preserve"> 5)</w:t>
      </w:r>
      <w:r w:rsidR="0011608B">
        <w:rPr>
          <w:color w:val="000000" w:themeColor="text1"/>
        </w:rPr>
        <w:t xml:space="preserve"> (although larvae are present </w:t>
      </w:r>
      <w:r w:rsidR="002520E8">
        <w:rPr>
          <w:color w:val="000000" w:themeColor="text1"/>
        </w:rPr>
        <w:t xml:space="preserve">in this region </w:t>
      </w:r>
      <w:r w:rsidR="0011608B">
        <w:rPr>
          <w:color w:val="000000" w:themeColor="text1"/>
        </w:rPr>
        <w:t>in both the fresher and colder regime and the intermediate regime)</w:t>
      </w:r>
      <w:r w:rsidR="008F50EE">
        <w:rPr>
          <w:color w:val="000000" w:themeColor="text1"/>
        </w:rPr>
        <w:t xml:space="preserve">. The absence of larvae during this regime </w:t>
      </w:r>
      <w:r w:rsidRPr="00294BBF">
        <w:rPr>
          <w:color w:val="000000" w:themeColor="text1"/>
        </w:rPr>
        <w:t>can be explained by the distribution of regions of suitable salinity (Fig</w:t>
      </w:r>
      <w:r w:rsidR="00C920CB" w:rsidRPr="00294BBF">
        <w:rPr>
          <w:color w:val="000000" w:themeColor="text1"/>
        </w:rPr>
        <w:t>.</w:t>
      </w:r>
      <w:r w:rsidRPr="00294BBF">
        <w:rPr>
          <w:color w:val="000000" w:themeColor="text1"/>
        </w:rPr>
        <w:t xml:space="preserve"> 4 and 1</w:t>
      </w:r>
      <w:r w:rsidR="001613FE">
        <w:rPr>
          <w:color w:val="000000" w:themeColor="text1"/>
        </w:rPr>
        <w:t>0</w:t>
      </w:r>
      <w:r w:rsidRPr="00294BBF">
        <w:rPr>
          <w:color w:val="000000" w:themeColor="text1"/>
        </w:rPr>
        <w:t xml:space="preserve">) and is </w:t>
      </w:r>
      <w:r w:rsidR="0081423E">
        <w:rPr>
          <w:color w:val="000000" w:themeColor="text1"/>
        </w:rPr>
        <w:t xml:space="preserve">a result that is </w:t>
      </w:r>
      <w:r w:rsidRPr="00294BBF">
        <w:rPr>
          <w:color w:val="000000" w:themeColor="text1"/>
        </w:rPr>
        <w:t>replicated in the species distribution model (Fig</w:t>
      </w:r>
      <w:r w:rsidR="00C920CB" w:rsidRPr="00294BBF">
        <w:rPr>
          <w:color w:val="000000" w:themeColor="text1"/>
        </w:rPr>
        <w:t xml:space="preserve">. </w:t>
      </w:r>
      <w:r w:rsidR="008A7F42" w:rsidRPr="00294BBF">
        <w:rPr>
          <w:color w:val="000000" w:themeColor="text1"/>
        </w:rPr>
        <w:t>8</w:t>
      </w:r>
      <w:r w:rsidRPr="00294BBF">
        <w:rPr>
          <w:color w:val="000000" w:themeColor="text1"/>
        </w:rPr>
        <w:t>). The consequences of this result for the</w:t>
      </w:r>
      <w:r w:rsidR="008A2284" w:rsidRPr="00294BBF">
        <w:rPr>
          <w:color w:val="000000" w:themeColor="text1"/>
        </w:rPr>
        <w:t xml:space="preserve"> interpretation of a southern spawning component are unclear but suggest that more </w:t>
      </w:r>
      <w:r w:rsidR="00AD1655" w:rsidRPr="00294BBF">
        <w:rPr>
          <w:color w:val="000000" w:themeColor="text1"/>
        </w:rPr>
        <w:t>analysis</w:t>
      </w:r>
      <w:r w:rsidR="008A2284" w:rsidRPr="00294BBF">
        <w:rPr>
          <w:color w:val="000000" w:themeColor="text1"/>
        </w:rPr>
        <w:t xml:space="preserve"> and particularly m</w:t>
      </w:r>
      <w:r w:rsidR="008B0D8B" w:rsidRPr="00294BBF">
        <w:rPr>
          <w:color w:val="000000" w:themeColor="text1"/>
        </w:rPr>
        <w:t>ore observations in this region</w:t>
      </w:r>
      <w:r w:rsidR="008A2284" w:rsidRPr="00294BBF">
        <w:rPr>
          <w:color w:val="000000" w:themeColor="text1"/>
        </w:rPr>
        <w:t xml:space="preserve"> are required.</w:t>
      </w:r>
    </w:p>
    <w:p w14:paraId="47BBC595" w14:textId="3CBE3957" w:rsidR="00834262" w:rsidRPr="00294BBF" w:rsidRDefault="00834262" w:rsidP="00A55A37">
      <w:pPr>
        <w:rPr>
          <w:color w:val="000000" w:themeColor="text1"/>
        </w:rPr>
      </w:pPr>
      <w:r>
        <w:rPr>
          <w:color w:val="000000" w:themeColor="text1"/>
        </w:rPr>
        <w:t>A second important question raised by these results is how the shifts in spawning distribution relate to the large changes in recruitment seen in this stock. It has been proposed</w:t>
      </w:r>
      <w:r w:rsidR="00A1749D">
        <w:rPr>
          <w:color w:val="000000" w:themeColor="text1"/>
        </w:rPr>
        <w:t>, for example,</w:t>
      </w:r>
      <w:r>
        <w:rPr>
          <w:color w:val="000000" w:themeColor="text1"/>
        </w:rPr>
        <w:t xml:space="preserve"> that the overlap between the distribution of blue whiting larvae and the distribution of mackerel in this area is a key factor determining recruitment success </w:t>
      </w:r>
      <w:r w:rsidR="002A3B1D">
        <w:rPr>
          <w:color w:val="000000" w:themeColor="text1"/>
        </w:rPr>
        <w:fldChar w:fldCharType="begin" w:fldLock="1"/>
      </w:r>
      <w:r w:rsidR="002A3B1D">
        <w:rPr>
          <w:color w:val="000000" w:themeColor="text1"/>
        </w:rPr>
        <w:instrText>ADDIN CSL_CITATION { "citationItems" : [ { "id" : "ITEM-1", "itemData" : { "DOI" : "10.1080/17451000.2011.639778", "ISSN" : "1745-1000", "abstract" : "The Northeast Atlantic blue whiting (Micromesistius poutassou) stock has undergone striking changes in abundance in the last 15 years. The stock increased dramatically in the late 1990s due to a succession of eight unusually strong year classes and dropped again equally dramatically after 2005 when the recruitment collapsed to former levels. The North Atlantic subpolar gyre has previously been shown to have a strong influence on the behaviour of this stock: synchronous changes in the gyre and recruitment suggest a causal linkage and the possibility of forecasting recruitment. A range of mechanisms are reviewed that may explain these observed changes, with two major candidate hypotheses being identified. One hypothesis suggests that the large mackerel (Scomber scombrus) stock in this region may feed on the pre-recruits of blue whiting, with the spatial overlap between blue whiting and mackerel being regulated by the subpolar gyre. Alternatively, variations in the physical environment may have given rise to changes in the amount, type and availability of food for larvae and juveniles, impacting their growth and survival and therefore recruitment. It was not possible to draw firm conclusions about the validity of either of these hypotheses: nevertheless, forecasting recruitment to this stock may be possible in the future if the underlying mechanisms can be resolved", "author" : [ { "dropping-particle" : "", "family" : "Payne", "given" : "Mark R.", "non-dropping-particle" : "", "parse-names" : false, "suffix" : "" }, { "dropping-particle" : "", "family" : "Egan", "given" : "Afra", "non-dropping-particle" : "", "parse-names" : false, "suffix" : "" }, { "dropping-particle" : "", "family" : "F\u00e4ssler", "given" : "Sascha M. M.", "non-dropping-particle" : "", "parse-names" : false, "suffix" : "" }, { "dropping-particle" : "", "family" : "H\u00e1t\u00fan", "given" : "Hj\u00e1lmar", "non-dropping-particle" : "", "parse-names" : false, "suffix" : "" }, { "dropping-particle" : "", "family" : "Holst", "given" : "Jens Christian", "non-dropping-particle" : "", "parse-names" : false, "suffix" : "" }, { "dropping-particle" : "", "family" : "Jacobsen", "given" : "Jan Arge", "non-dropping-particle" : "", "parse-names" : false, "suffix" : "" }, { "dropping-particle" : "", "family" : "Slotte", "given" : "Aril", "non-dropping-particle" : "", "parse-names" : false, "suffix" : "" }, { "dropping-particle" : "", "family" : "Loeng", "given" : "Harald", "non-dropping-particle" : "", "parse-names" : false, "suffix" : "" } ], "container-title" : "Marine Biology Research", "id" : "ITEM-1", "issue" : "5-6", "issued" : { "date-parts" : [ [ "2012", "6" ] ] }, "page" : "475-487", "title" : "The rise and fall of the NE Atlantic blue whiting (&lt;i&gt;Micromesistius poutassou&lt;/i&gt;)", "type" : "article-journal", "volume" : "8" }, "uris" : [ "http://www.mendeley.com/documents/?uuid=6b02bd6a-4b19-457a-94af-4d75bfcd3157" ] } ], "mendeley" : { "formattedCitation" : "(Payne &lt;i&gt;et al.&lt;/i&gt;, 2012)", "plainTextFormattedCitation" : "(Payne et al., 2012)", "previouslyFormattedCitation" : "(Payne &lt;i&gt;et al.&lt;/i&gt;, 2012)" }, "properties" : { "noteIndex" : 27 }, "schema" : "https://github.com/citation-style-language/schema/raw/master/csl-citation.json" }</w:instrText>
      </w:r>
      <w:r w:rsidR="002A3B1D">
        <w:rPr>
          <w:color w:val="000000" w:themeColor="text1"/>
        </w:rPr>
        <w:fldChar w:fldCharType="separate"/>
      </w:r>
      <w:r w:rsidR="002A3B1D" w:rsidRPr="002A3B1D">
        <w:rPr>
          <w:noProof/>
          <w:color w:val="000000" w:themeColor="text1"/>
        </w:rPr>
        <w:t xml:space="preserve">(Payne </w:t>
      </w:r>
      <w:r w:rsidR="006773E4" w:rsidRPr="006773E4">
        <w:rPr>
          <w:i/>
          <w:noProof/>
          <w:color w:val="000000" w:themeColor="text1"/>
        </w:rPr>
        <w:t>et al.</w:t>
      </w:r>
      <w:r w:rsidR="002A3B1D" w:rsidRPr="002A3B1D">
        <w:rPr>
          <w:noProof/>
          <w:color w:val="000000" w:themeColor="text1"/>
        </w:rPr>
        <w:t>, 2012)</w:t>
      </w:r>
      <w:r w:rsidR="002A3B1D">
        <w:rPr>
          <w:color w:val="000000" w:themeColor="text1"/>
        </w:rPr>
        <w:fldChar w:fldCharType="end"/>
      </w:r>
      <w:r w:rsidR="002A3B1D">
        <w:rPr>
          <w:color w:val="000000" w:themeColor="text1"/>
        </w:rPr>
        <w:t>.</w:t>
      </w:r>
      <w:r>
        <w:rPr>
          <w:color w:val="000000" w:themeColor="text1"/>
        </w:rPr>
        <w:t xml:space="preserve"> The hypothesis arises from</w:t>
      </w:r>
      <w:r w:rsidR="00A1749D">
        <w:rPr>
          <w:color w:val="000000" w:themeColor="text1"/>
        </w:rPr>
        <w:t xml:space="preserve"> the</w:t>
      </w:r>
      <w:r>
        <w:rPr>
          <w:color w:val="000000" w:themeColor="text1"/>
        </w:rPr>
        <w:t xml:space="preserve"> observation that mackerel distributions are typically </w:t>
      </w:r>
      <w:r w:rsidR="00A1749D">
        <w:rPr>
          <w:color w:val="000000" w:themeColor="text1"/>
        </w:rPr>
        <w:t xml:space="preserve">restricted to close to </w:t>
      </w:r>
      <w:r>
        <w:rPr>
          <w:color w:val="000000" w:themeColor="text1"/>
        </w:rPr>
        <w:t>th</w:t>
      </w:r>
      <w:r w:rsidR="002A3B1D">
        <w:rPr>
          <w:color w:val="000000" w:themeColor="text1"/>
        </w:rPr>
        <w:t>e Continental S</w:t>
      </w:r>
      <w:r w:rsidR="00A1749D">
        <w:rPr>
          <w:color w:val="000000" w:themeColor="text1"/>
        </w:rPr>
        <w:t xml:space="preserve">helf edge: in years </w:t>
      </w:r>
      <w:r w:rsidR="00A1749D">
        <w:rPr>
          <w:color w:val="000000" w:themeColor="text1"/>
        </w:rPr>
        <w:lastRenderedPageBreak/>
        <w:t>where the blue whiting distribution expands f</w:t>
      </w:r>
      <w:r w:rsidR="002A3B1D">
        <w:rPr>
          <w:color w:val="000000" w:themeColor="text1"/>
        </w:rPr>
        <w:t>ar to the west, beyond Rockall P</w:t>
      </w:r>
      <w:r w:rsidR="00A1749D">
        <w:rPr>
          <w:color w:val="000000" w:themeColor="text1"/>
        </w:rPr>
        <w:t xml:space="preserve">lateau, the larvae spawned in these regions </w:t>
      </w:r>
      <w:r w:rsidR="006D326A">
        <w:rPr>
          <w:color w:val="000000" w:themeColor="text1"/>
        </w:rPr>
        <w:t xml:space="preserve">would be </w:t>
      </w:r>
      <w:r w:rsidR="00A1749D">
        <w:rPr>
          <w:color w:val="000000" w:themeColor="text1"/>
        </w:rPr>
        <w:t>free from</w:t>
      </w:r>
      <w:r w:rsidR="002A3B1D">
        <w:rPr>
          <w:color w:val="000000" w:themeColor="text1"/>
        </w:rPr>
        <w:t xml:space="preserve"> predation by m</w:t>
      </w:r>
      <w:r w:rsidR="00A1749D">
        <w:rPr>
          <w:color w:val="000000" w:themeColor="text1"/>
        </w:rPr>
        <w:t>ackerel. There is some empirical evidence to support this</w:t>
      </w:r>
      <w:r w:rsidR="006D326A">
        <w:rPr>
          <w:color w:val="000000" w:themeColor="text1"/>
        </w:rPr>
        <w:t xml:space="preserve"> hypothesis</w:t>
      </w:r>
      <w:r w:rsidR="00A1749D">
        <w:rPr>
          <w:color w:val="000000" w:themeColor="text1"/>
        </w:rPr>
        <w:t xml:space="preserve">: large year classes of blue whiting in the mid-late 1990s are associated with the collapse of the SPG and </w:t>
      </w:r>
      <w:r w:rsidR="006D326A">
        <w:rPr>
          <w:color w:val="000000" w:themeColor="text1"/>
        </w:rPr>
        <w:t xml:space="preserve">therefore </w:t>
      </w:r>
      <w:r w:rsidR="00A1749D">
        <w:rPr>
          <w:color w:val="000000" w:themeColor="text1"/>
        </w:rPr>
        <w:t>an expanded spawning distribution. However, understanding the processes driving recruitment is notoriousl</w:t>
      </w:r>
      <w:r w:rsidR="006D326A">
        <w:rPr>
          <w:color w:val="000000" w:themeColor="text1"/>
        </w:rPr>
        <w:t xml:space="preserve">y tricky and much more work is </w:t>
      </w:r>
      <w:r w:rsidR="00A1749D">
        <w:rPr>
          <w:color w:val="000000" w:themeColor="text1"/>
        </w:rPr>
        <w:t>required to resolve this issue: nevertheless, the model and the results developed here can be expected to make a valuable contribution to understanding the recruitment dynamics of this stock</w:t>
      </w:r>
      <w:r w:rsidR="00A40DFA">
        <w:rPr>
          <w:color w:val="000000" w:themeColor="text1"/>
        </w:rPr>
        <w:t xml:space="preserve"> in the future</w:t>
      </w:r>
      <w:r w:rsidR="00A1749D">
        <w:rPr>
          <w:color w:val="000000" w:themeColor="text1"/>
        </w:rPr>
        <w:t>.</w:t>
      </w:r>
    </w:p>
    <w:p w14:paraId="28CA1D52" w14:textId="2496CBA2" w:rsidR="00870000" w:rsidRPr="00294BBF" w:rsidRDefault="00870000" w:rsidP="00BD12A0">
      <w:pPr>
        <w:pStyle w:val="Overskrift3"/>
        <w:rPr>
          <w:color w:val="000000" w:themeColor="text1"/>
        </w:rPr>
      </w:pPr>
      <w:r w:rsidRPr="00294BBF">
        <w:rPr>
          <w:color w:val="000000" w:themeColor="text1"/>
        </w:rPr>
        <w:t>Limitations</w:t>
      </w:r>
    </w:p>
    <w:p w14:paraId="0278DB21" w14:textId="1680CDA6" w:rsidR="00BF29E7" w:rsidRDefault="000C54AB" w:rsidP="00B815DC">
      <w:pPr>
        <w:rPr>
          <w:color w:val="000000" w:themeColor="text1"/>
        </w:rPr>
      </w:pPr>
      <w:r w:rsidRPr="00294BBF">
        <w:rPr>
          <w:color w:val="000000" w:themeColor="text1"/>
        </w:rPr>
        <w:t xml:space="preserve">The approach employed here to estimate the spatial distribution of blue whiting and the processes driving it has a number of limitations. </w:t>
      </w:r>
      <w:r w:rsidR="00AC3021" w:rsidRPr="00294BBF">
        <w:rPr>
          <w:color w:val="000000" w:themeColor="text1"/>
        </w:rPr>
        <w:t xml:space="preserve">In particular, our approach is limited by </w:t>
      </w:r>
      <w:r w:rsidR="00B815DC" w:rsidRPr="00294BBF">
        <w:rPr>
          <w:color w:val="000000" w:themeColor="text1"/>
        </w:rPr>
        <w:t>processes that are not inc</w:t>
      </w:r>
      <w:r w:rsidR="00AC3021" w:rsidRPr="00294BBF">
        <w:rPr>
          <w:color w:val="000000" w:themeColor="text1"/>
        </w:rPr>
        <w:t>luded in the modelling approach</w:t>
      </w:r>
      <w:r w:rsidR="009628B5" w:rsidRPr="00294BBF">
        <w:rPr>
          <w:color w:val="000000" w:themeColor="text1"/>
        </w:rPr>
        <w:t>,</w:t>
      </w:r>
      <w:r w:rsidR="00AC3021" w:rsidRPr="00294BBF">
        <w:rPr>
          <w:color w:val="000000" w:themeColor="text1"/>
        </w:rPr>
        <w:t xml:space="preserve"> which can affect </w:t>
      </w:r>
      <w:r w:rsidR="00973E8E" w:rsidRPr="00294BBF">
        <w:rPr>
          <w:color w:val="000000" w:themeColor="text1"/>
        </w:rPr>
        <w:t>how</w:t>
      </w:r>
      <w:r w:rsidR="00AC3021" w:rsidRPr="00294BBF">
        <w:rPr>
          <w:color w:val="000000" w:themeColor="text1"/>
        </w:rPr>
        <w:t xml:space="preserve"> the </w:t>
      </w:r>
      <w:r w:rsidR="002C4881" w:rsidRPr="00294BBF">
        <w:rPr>
          <w:color w:val="000000" w:themeColor="text1"/>
        </w:rPr>
        <w:t xml:space="preserve">potential </w:t>
      </w:r>
      <w:r w:rsidR="00AC3021" w:rsidRPr="00294BBF">
        <w:rPr>
          <w:color w:val="000000" w:themeColor="text1"/>
        </w:rPr>
        <w:t>niche</w:t>
      </w:r>
      <w:r w:rsidR="00973E8E" w:rsidRPr="00294BBF">
        <w:rPr>
          <w:color w:val="000000" w:themeColor="text1"/>
        </w:rPr>
        <w:t xml:space="preserve"> in environmental space</w:t>
      </w:r>
      <w:r w:rsidR="00AC3021" w:rsidRPr="00294BBF">
        <w:rPr>
          <w:color w:val="000000" w:themeColor="text1"/>
        </w:rPr>
        <w:t xml:space="preserve"> </w:t>
      </w:r>
      <w:r w:rsidR="00973E8E" w:rsidRPr="00294BBF">
        <w:rPr>
          <w:color w:val="000000" w:themeColor="text1"/>
        </w:rPr>
        <w:t>is</w:t>
      </w:r>
      <w:r w:rsidR="00B815DC" w:rsidRPr="00294BBF">
        <w:rPr>
          <w:color w:val="000000" w:themeColor="text1"/>
        </w:rPr>
        <w:t xml:space="preserve"> </w:t>
      </w:r>
      <w:r w:rsidR="002C4881" w:rsidRPr="00294BBF">
        <w:rPr>
          <w:color w:val="000000" w:themeColor="text1"/>
        </w:rPr>
        <w:t xml:space="preserve">realized </w:t>
      </w:r>
      <w:r w:rsidR="00FB57E9" w:rsidRPr="00294BBF">
        <w:rPr>
          <w:color w:val="000000" w:themeColor="text1"/>
        </w:rPr>
        <w:t xml:space="preserve">as a </w:t>
      </w:r>
      <w:r w:rsidR="00AC3021" w:rsidRPr="00294BBF">
        <w:rPr>
          <w:color w:val="000000" w:themeColor="text1"/>
        </w:rPr>
        <w:t>distribution</w:t>
      </w:r>
      <w:r w:rsidR="00973E8E" w:rsidRPr="00294BBF">
        <w:rPr>
          <w:color w:val="000000" w:themeColor="text1"/>
        </w:rPr>
        <w:t xml:space="preserve"> in geographical space.</w:t>
      </w:r>
      <w:r w:rsidR="00973E8E" w:rsidRPr="00294BBF">
        <w:rPr>
          <w:color w:val="000000" w:themeColor="text1"/>
        </w:rPr>
        <w:tab/>
      </w:r>
    </w:p>
    <w:p w14:paraId="657FB2BB" w14:textId="64C3D0AB" w:rsidR="00DB262A" w:rsidRDefault="00B815DC" w:rsidP="00B815DC">
      <w:pPr>
        <w:rPr>
          <w:color w:val="000000" w:themeColor="text1"/>
        </w:rPr>
      </w:pPr>
      <w:r w:rsidRPr="00294BBF">
        <w:rPr>
          <w:color w:val="000000" w:themeColor="text1"/>
        </w:rPr>
        <w:t xml:space="preserve">First of all, </w:t>
      </w:r>
      <w:r w:rsidR="00603E05" w:rsidRPr="00294BBF">
        <w:rPr>
          <w:color w:val="000000" w:themeColor="text1"/>
        </w:rPr>
        <w:t xml:space="preserve">it is unlikely that </w:t>
      </w:r>
      <w:r w:rsidR="00B42EC7">
        <w:rPr>
          <w:color w:val="000000" w:themeColor="text1"/>
        </w:rPr>
        <w:t>all factors determining the</w:t>
      </w:r>
      <w:r w:rsidR="00B42EC7" w:rsidRPr="00294BBF">
        <w:rPr>
          <w:color w:val="000000" w:themeColor="text1"/>
        </w:rPr>
        <w:t xml:space="preserve"> </w:t>
      </w:r>
      <w:r w:rsidR="00666601" w:rsidRPr="00294BBF">
        <w:rPr>
          <w:color w:val="000000" w:themeColor="text1"/>
        </w:rPr>
        <w:t>niche</w:t>
      </w:r>
      <w:r w:rsidR="00660EA6" w:rsidRPr="00294BBF">
        <w:rPr>
          <w:color w:val="000000" w:themeColor="text1"/>
        </w:rPr>
        <w:t xml:space="preserve"> </w:t>
      </w:r>
      <w:r w:rsidRPr="00294BBF">
        <w:rPr>
          <w:color w:val="000000" w:themeColor="text1"/>
        </w:rPr>
        <w:t xml:space="preserve">of blue whiting </w:t>
      </w:r>
      <w:r w:rsidR="00666601" w:rsidRPr="00294BBF">
        <w:rPr>
          <w:color w:val="000000" w:themeColor="text1"/>
        </w:rPr>
        <w:t xml:space="preserve">has been </w:t>
      </w:r>
      <w:r w:rsidRPr="00294BBF">
        <w:rPr>
          <w:color w:val="000000" w:themeColor="text1"/>
        </w:rPr>
        <w:t xml:space="preserve">captured </w:t>
      </w:r>
      <w:r w:rsidR="00666601" w:rsidRPr="00294BBF">
        <w:rPr>
          <w:color w:val="000000" w:themeColor="text1"/>
        </w:rPr>
        <w:t>by this approach. D</w:t>
      </w:r>
      <w:r w:rsidR="00757B68" w:rsidRPr="00294BBF">
        <w:rPr>
          <w:color w:val="000000" w:themeColor="text1"/>
        </w:rPr>
        <w:t>ue to the complexity of n</w:t>
      </w:r>
      <w:r w:rsidRPr="00294BBF">
        <w:rPr>
          <w:color w:val="000000" w:themeColor="text1"/>
        </w:rPr>
        <w:t>ature, one can never find all factors that determine a species niche</w:t>
      </w:r>
      <w:r w:rsidR="00B17E5B" w:rsidRPr="00294BBF">
        <w:rPr>
          <w:color w:val="000000" w:themeColor="text1"/>
        </w:rPr>
        <w:t xml:space="preserve"> </w:t>
      </w:r>
      <w:r w:rsidR="00B17E5B" w:rsidRPr="00294BBF">
        <w:rPr>
          <w:color w:val="000000" w:themeColor="text1"/>
        </w:rPr>
        <w:fldChar w:fldCharType="begin" w:fldLock="1"/>
      </w:r>
      <w:r w:rsidR="00E40F45" w:rsidRPr="00294BBF">
        <w:rPr>
          <w:color w:val="000000" w:themeColor="text1"/>
        </w:rPr>
        <w:instrText>ADDIN CSL_CITATION { "citationItems" : [ { "id" : "ITEM-1", "itemData" : { "DOI" : "10.1073/pnas.0901639106", "ISBN" : "1091-6490 (Electronic)\\n0027-8424 (Linking)", "ISSN" : "0027-8424", "PMID" : "19822750", "abstract" : "As the rate and magnitude of climate change accelerate, understanding the consequences becomes increasingly important. Species distribution models (SDMs) based on current ecological niche constraints are used to project future species distributions. These models contain assumptions that add to the uncertainty in model projections stemming from the structure of the models, the algorithms used to translate niche associations into distributional probabilities, the quality and quantity of data, and mismatches between the scales of modeling and data. We illustrate the application of SDMs using two climate models and two distributional algorithms, together with information on distributional shifts in vegetation types, to project fine-scale future distributions of 60 California landbird species. Most species are projected to decrease in distribution by 2070. Changes in total species richness vary over the state, with large losses of species in some \"hotspots\" of vulnerability. Differences in distributional shifts among species will change species co-occurrences, creating spatial variation in similarities between current and future assemblages. We use these analyses to consider how assumptions can be addressed and uncertainties reduced. SDMs can provide a useful way to incorporate future conditions into conservation and management practices and decisions, but the uncertainties of model projections must be balanced with the risks of taking the wrong actions or the costs of inaction. Doing this will require that the sources and magnitudes of uncertainty are documented, and that conservationists and resource managers be willing to act despite the uncertainties. The alternative, of ignoring the future, is not an option.", "author" : [ { "dropping-particle" : "", "family" : "Wiens", "given" : "John A.", "non-dropping-particle" : "", "parse-names" : false, "suffix" : "" }, { "dropping-particle" : "", "family" : "Stralberg", "given" : "Diana", "non-dropping-particle" : "", "parse-names" : false, "suffix" : "" }, { "dropping-particle" : "", "family" : "Jongsomjit", "given" : "Dennis", "non-dropping-particle" : "", "parse-names" : false, "suffix" : "" }, { "dropping-particle" : "", "family" : "Howell", "given" : "Christine A", "non-dropping-particle" : "", "parse-names" : false, "suffix" : "" }, { "dropping-particle" : "", "family" : "Snyder", "given" : "Mark A", "non-dropping-particle" : "", "parse-names" : false, "suffix" : "" } ], "container-title" : "Proceedings of the National Academy of Sciences of the United States of America", "id" : "ITEM-1", "issued" : { "date-parts" : [ [ "2009" ] ] }, "page" : "19729-19736", "title" : "Niches, models, and climate change: assessing the assumptions and uncertainties.", "type" : "article-journal", "volume" : "106" }, "uris" : [ "http://www.mendeley.com/documents/?uuid=cca9b023-4fb2-4840-bc95-1eef68ab9b92" ] } ], "mendeley" : { "formattedCitation" : "(Wiens &lt;i&gt;et al.&lt;/i&gt;, 2009)", "plainTextFormattedCitation" : "(Wiens et al., 2009)", "previouslyFormattedCitation" : "(Wiens &lt;i&gt;et al.&lt;/i&gt;, 2009)" }, "properties" : { "noteIndex" : 0 }, "schema" : "https://github.com/citation-style-language/schema/raw/master/csl-citation.json" }</w:instrText>
      </w:r>
      <w:r w:rsidR="00B17E5B" w:rsidRPr="00294BBF">
        <w:rPr>
          <w:color w:val="000000" w:themeColor="text1"/>
        </w:rPr>
        <w:fldChar w:fldCharType="separate"/>
      </w:r>
      <w:r w:rsidR="00E40F45" w:rsidRPr="00294BBF">
        <w:rPr>
          <w:noProof/>
          <w:color w:val="000000" w:themeColor="text1"/>
        </w:rPr>
        <w:t xml:space="preserve">(Wiens </w:t>
      </w:r>
      <w:r w:rsidR="006773E4" w:rsidRPr="006773E4">
        <w:rPr>
          <w:i/>
          <w:noProof/>
          <w:color w:val="000000" w:themeColor="text1"/>
        </w:rPr>
        <w:t>et al.</w:t>
      </w:r>
      <w:r w:rsidR="00E40F45" w:rsidRPr="00294BBF">
        <w:rPr>
          <w:noProof/>
          <w:color w:val="000000" w:themeColor="text1"/>
        </w:rPr>
        <w:t>, 2009)</w:t>
      </w:r>
      <w:r w:rsidR="00B17E5B" w:rsidRPr="00294BBF">
        <w:rPr>
          <w:color w:val="000000" w:themeColor="text1"/>
        </w:rPr>
        <w:fldChar w:fldCharType="end"/>
      </w:r>
      <w:r w:rsidR="00B17E5B" w:rsidRPr="00294BBF">
        <w:rPr>
          <w:color w:val="000000" w:themeColor="text1"/>
        </w:rPr>
        <w:t>,</w:t>
      </w:r>
      <w:r w:rsidRPr="00294BBF">
        <w:rPr>
          <w:color w:val="000000" w:themeColor="text1"/>
        </w:rPr>
        <w:t xml:space="preserve"> and even if one could, some relevant processes are difficult to </w:t>
      </w:r>
      <w:r w:rsidR="009628B5" w:rsidRPr="00294BBF">
        <w:rPr>
          <w:color w:val="000000" w:themeColor="text1"/>
        </w:rPr>
        <w:t xml:space="preserve">observe and </w:t>
      </w:r>
      <w:r w:rsidRPr="00294BBF">
        <w:rPr>
          <w:color w:val="000000" w:themeColor="text1"/>
        </w:rPr>
        <w:t xml:space="preserve">quantify, such as biotic interactions </w:t>
      </w:r>
      <w:r w:rsidRPr="00294BBF">
        <w:rPr>
          <w:rFonts w:eastAsia="Droid Sans Fallback"/>
          <w:color w:val="000000" w:themeColor="text1"/>
        </w:rPr>
        <w:t>(i.e. competition and predation)</w:t>
      </w:r>
      <w:r w:rsidRPr="00294BBF">
        <w:rPr>
          <w:color w:val="000000" w:themeColor="text1"/>
        </w:rPr>
        <w:t xml:space="preserve"> </w:t>
      </w:r>
      <w:r w:rsidRPr="00294BBF">
        <w:rPr>
          <w:rFonts w:eastAsia="Droid Sans Fallback"/>
          <w:color w:val="000000" w:themeColor="text1"/>
        </w:rPr>
        <w:t xml:space="preserve">or dispersal </w:t>
      </w:r>
      <w:r w:rsidR="00E45C24" w:rsidRPr="00294BBF">
        <w:rPr>
          <w:rFonts w:eastAsia="Droid Sans Fallback"/>
          <w:color w:val="000000" w:themeColor="text1"/>
        </w:rPr>
        <w:t xml:space="preserve">limitation </w:t>
      </w:r>
      <w:r w:rsidRPr="00294BBF">
        <w:rPr>
          <w:rFonts w:eastAsia="Droid Sans Fallback"/>
          <w:color w:val="000000" w:themeColor="text1"/>
        </w:rPr>
        <w:fldChar w:fldCharType="begin" w:fldLock="1"/>
      </w:r>
      <w:r w:rsidR="00E40F45" w:rsidRPr="00294BBF">
        <w:rPr>
          <w:rFonts w:eastAsia="Droid Sans Fallback"/>
          <w:color w:val="000000" w:themeColor="text1"/>
        </w:rPr>
        <w:instrText>ADDIN CSL_CITATION { "citationItems" : [ { "id" : "ITEM-1", "itemData" : { "DOI" : "10.1146/annurev.ecolsys.l", "ISBN" : "1543-592X", "ISSN" : "1543-592X", "PMID" : "15825738", "author" : [ { "dropping-particle" : "", "family" : "Elith", "given" : "Jane", "non-dropping-particle" : "", "parse-names" : false, "suffix" : "" }, { "dropping-particle" : "", "family" : "Leathwick", "given" : "John R.", "non-dropping-particle" : "", "parse-names" : false, "suffix" : "" } ], "container-title" : "Annu Rev Ecol Syst", "id" : "ITEM-1", "issue" : "2009", "issued" : { "date-parts" : [ [ "2009" ] ] }, "page" : "415-436", "title" : "Species Distribution Models: Ecological Explanation and Prediction Across Space and Time", "type" : "article-journal", "volume" : "40" }, "uris" : [ "http://www.mendeley.com/documents/?uuid=c439ebae-f57f-47ab-aed6-84f322ce098d", "http://www.mendeley.com/documents/?uuid=6643d15c-02a2-447b-a55e-8e0626b84fb8" ] }, { "id" : "ITEM-2", "itemData" : { "author" : [ { "dropping-particle" : "", "family" : "Colwell", "given" : "Robert K", "non-dropping-particle" : "", "parse-names" : false, "suffix" : "" }, { "dropping-particle" : "", "family" : "Rangel", "given" : "Thiago F", "non-dropping-particle" : "", "parse-names" : false, "suffix" : "" }, { "dropping-particle" : "", "family" : "Grinnell", "given" : "Joseph", "non-dropping-particle" : "", "parse-names" : false, "suffix" : "" }, { "dropping-particle" : "", "family" : "Elton", "given" : "Charles", "non-dropping-particle" : "", "parse-names" : false, "suffix" : "" } ], "container-title" : "Proceedings of the National Academy of Sciences", "id" : "ITEM-2", "issued" : { "date-parts" : [ [ "2009" ] ] }, "page" : "1-8", "title" : "Hutchinson\u2019s duality : The once and future niche", "type" : "article-journal", "volume" : "106" }, "uris" : [ "http://www.mendeley.com/documents/?uuid=ef28880e-c79d-4e69-bdc5-65ac60e509e7", "http://www.mendeley.com/documents/?uuid=aaf9c77e-4dfd-4f22-ae97-ea8e44891d27", "http://www.mendeley.com/documents/?uuid=d3312308-6b37-4bdb-bbf3-fa7117b6f549" ] } ], "mendeley" : { "formattedCitation" : "(Elith and Leathwick, 2009; Colwell &lt;i&gt;et al.&lt;/i&gt;, 2009)", "plainTextFormattedCitation" : "(Elith and Leathwick, 2009; Colwell et al., 2009)", "previouslyFormattedCitation" : "(Elith and Leathwick, 2009; Colwell &lt;i&gt;et al.&lt;/i&gt;, 2009)" }, "properties" : { "noteIndex" : 0 }, "schema" : "https://github.com/citation-style-language/schema/raw/master/csl-citation.json" }</w:instrText>
      </w:r>
      <w:r w:rsidRPr="00294BBF">
        <w:rPr>
          <w:rFonts w:eastAsia="Droid Sans Fallback"/>
          <w:color w:val="000000" w:themeColor="text1"/>
        </w:rPr>
        <w:fldChar w:fldCharType="separate"/>
      </w:r>
      <w:r w:rsidR="00E40F45" w:rsidRPr="00294BBF">
        <w:rPr>
          <w:rFonts w:eastAsia="Droid Sans Fallback"/>
          <w:noProof/>
          <w:color w:val="000000" w:themeColor="text1"/>
        </w:rPr>
        <w:t xml:space="preserve">(Elith and Leathwick, 2009; Colwell </w:t>
      </w:r>
      <w:r w:rsidR="006773E4" w:rsidRPr="006773E4">
        <w:rPr>
          <w:rFonts w:eastAsia="Droid Sans Fallback"/>
          <w:i/>
          <w:noProof/>
          <w:color w:val="000000" w:themeColor="text1"/>
        </w:rPr>
        <w:t>et al.</w:t>
      </w:r>
      <w:r w:rsidR="00E40F45" w:rsidRPr="00294BBF">
        <w:rPr>
          <w:rFonts w:eastAsia="Droid Sans Fallback"/>
          <w:noProof/>
          <w:color w:val="000000" w:themeColor="text1"/>
        </w:rPr>
        <w:t>, 2009)</w:t>
      </w:r>
      <w:r w:rsidRPr="00294BBF">
        <w:rPr>
          <w:rFonts w:eastAsia="Droid Sans Fallback"/>
          <w:color w:val="000000" w:themeColor="text1"/>
        </w:rPr>
        <w:fldChar w:fldCharType="end"/>
      </w:r>
      <w:r w:rsidRPr="00294BBF">
        <w:rPr>
          <w:rFonts w:eastAsia="Droid Sans Fallback"/>
          <w:color w:val="000000" w:themeColor="text1"/>
        </w:rPr>
        <w:t xml:space="preserve">. </w:t>
      </w:r>
      <w:r w:rsidR="003C4CED" w:rsidRPr="00294BBF">
        <w:rPr>
          <w:rFonts w:eastAsia="Droid Sans Fallback"/>
          <w:color w:val="000000" w:themeColor="text1"/>
        </w:rPr>
        <w:t xml:space="preserve">For example, </w:t>
      </w:r>
      <w:r w:rsidR="003C4CED" w:rsidRPr="00294BBF">
        <w:rPr>
          <w:color w:val="000000" w:themeColor="text1"/>
        </w:rPr>
        <w:t xml:space="preserve">our study cannot rule out that changes in the spawning distribution of blue whiting are caused by secondary processes resulting from changes in the marine environment that we have not characterised in our model, such as variations in the </w:t>
      </w:r>
      <w:proofErr w:type="spellStart"/>
      <w:r w:rsidR="003C4CED" w:rsidRPr="00294BBF">
        <w:rPr>
          <w:color w:val="000000" w:themeColor="text1"/>
        </w:rPr>
        <w:t>phyto</w:t>
      </w:r>
      <w:proofErr w:type="spellEnd"/>
      <w:r w:rsidR="003C4CED" w:rsidRPr="00294BBF">
        <w:rPr>
          <w:color w:val="000000" w:themeColor="text1"/>
        </w:rPr>
        <w:t xml:space="preserve">- and zooplankton composition and abundance and thus in the </w:t>
      </w:r>
      <w:r w:rsidR="003C4CED" w:rsidRPr="00294BBF">
        <w:rPr>
          <w:color w:val="000000" w:themeColor="text1"/>
        </w:rPr>
        <w:lastRenderedPageBreak/>
        <w:t xml:space="preserve">food conditions for blue whiting </w:t>
      </w:r>
      <w:r w:rsidR="003C4CED" w:rsidRPr="00294BBF">
        <w:rPr>
          <w:color w:val="000000" w:themeColor="text1"/>
        </w:rPr>
        <w:fldChar w:fldCharType="begin" w:fldLock="1"/>
      </w:r>
      <w:r w:rsidR="0044442D" w:rsidRPr="00294BBF">
        <w:rPr>
          <w:color w:val="000000" w:themeColor="text1"/>
        </w:rPr>
        <w:instrText>ADDIN CSL_CITATION { "citationItems" : [ { "id" : "ITEM-1", "itemData" : { "DOI" : "10.1080/17451000.2011.639778", "ISSN" : "1745-1000", "abstract" : "The Northeast Atlantic blue whiting (Micromesistius poutassou) stock has undergone striking changes in abundance in the last 15 years. The stock increased dramatically in the late 1990s due to a succession of eight unusually strong year classes and dropped again equally dramatically after 2005 when the recruitment collapsed to former levels. The North Atlantic subpolar gyre has previously been shown to have a strong influence on the behaviour of this stock: synchronous changes in the gyre and recruitment suggest a causal linkage and the possibility of forecasting recruitment. A range of mechanisms are reviewed that may explain these observed changes, with two major candidate hypotheses being identified. One hypothesis suggests that the large mackerel (Scomber scombrus) stock in this region may feed on the pre-recruits of blue whiting, with the spatial overlap between blue whiting and mackerel being regulated by the subpolar gyre. Alternatively, variations in the physical environment may have given rise to changes in the amount, type and availability of food for larvae and juveniles, impacting their growth and survival and therefore recruitment. It was not possible to draw firm conclusions about the validity of either of these hypotheses: nevertheless, forecasting recruitment to this stock may be possible in the future if the underlying mechanisms can be resolved", "author" : [ { "dropping-particle" : "", "family" : "Payne", "given" : "Mark R.", "non-dropping-particle" : "", "parse-names" : false, "suffix" : "" }, { "dropping-particle" : "", "family" : "Egan", "given" : "Afra", "non-dropping-particle" : "", "parse-names" : false, "suffix" : "" }, { "dropping-particle" : "", "family" : "F\u00e4ssler", "given" : "Sascha M. M.", "non-dropping-particle" : "", "parse-names" : false, "suffix" : "" }, { "dropping-particle" : "", "family" : "H\u00e1t\u00fan", "given" : "Hj\u00e1lmar", "non-dropping-particle" : "", "parse-names" : false, "suffix" : "" }, { "dropping-particle" : "", "family" : "Holst", "given" : "Jens Christian", "non-dropping-particle" : "", "parse-names" : false, "suffix" : "" }, { "dropping-particle" : "", "family" : "Jacobsen", "given" : "Jan Arge", "non-dropping-particle" : "", "parse-names" : false, "suffix" : "" }, { "dropping-particle" : "", "family" : "Slotte", "given" : "Aril", "non-dropping-particle" : "", "parse-names" : false, "suffix" : "" }, { "dropping-particle" : "", "family" : "Loeng", "given" : "Harald", "non-dropping-particle" : "", "parse-names" : false, "suffix" : "" } ], "container-title" : "Marine Biology Research", "id" : "ITEM-1", "issue" : "5-6", "issued" : { "date-parts" : [ [ "2012", "6" ] ] }, "page" : "475-487", "title" : "The rise and fall of the NE Atlantic blue whiting (&lt;i&gt;Micromesistius poutassou&lt;/i&gt;)", "type" : "article-journal", "volume" : "8" }, "uris" : [ "http://www.mendeley.com/documents/?uuid=6b02bd6a-4b19-457a-94af-4d75bfcd3157" ] }, { "id" : "ITEM-2", "itemData" : { "DOI" : "10.1139/F09-037", "ISBN" : "0706-652X", "ISSN" : "0706-652X", "abstract" : "The spawning stock of blue whiting (Micromesistius poutassou), an economically important pelagic gadoid in the North Atlantic Ocean, increased threefold after 1995. The reproductive success of the stock is largely determined during the very early stages of life, but little is known about the spawning dynamics of this species. Here we show that the spawning distribution of blue whiting is variable, regulated by the hydrography west of the British Isles. When the North Atlantic subpolar gyre is strong and spreads its cold, fresh water masses east over Rockall Plateau, the spawning is constrained along the European continental slope and in a southerly position near Porcupine Bank. When the gyre is weak and conditions are relatively saline and warm, the spawning distribution moves northwards along the slope and especially westwards covering Rockall Plateau. The apparent link between the spawning distribution and the subpolar gyre is the first step towards understanding the reproduction variability, which curr...", "author" : [ { "dropping-particle" : "", "family" : "H\u00e1t\u00fan", "given" : "Hj\u00e1lmar", "non-dropping-particle" : "", "parse-names" : false, "suffix" : "" }, { "dropping-particle" : "", "family" : "Payne", "given" : "Mark R.", "non-dropping-particle" : "", "parse-names" : false, "suffix" : "" }, { "dropping-particle" : "", "family" : "Jacobsen", "given" : "Jan Arge", "non-dropping-particle" : "", "parse-names" : false, "suffix" : "" } ], "container-title" : "Canadian Journal of Fisheries and Aquatic Sciences", "id" : "ITEM-2", "issue" : "5", "issued" : { "date-parts" : [ [ "2009" ] ] }, "page" : "759-770", "title" : "The North Atlantic subpolar gyre regulates the spawning distribution of blue whiting (&lt;i&gt;Micromesistius poutassou&lt;/i&gt;)", "type" : "article-journal", "volume" : "66" }, "uris" : [ "http://www.mendeley.com/documents/?uuid=64800076-bdad-4ea8-80e8-e6477e10c58a" ] } ], "mendeley" : { "formattedCitation" : "(H\u00e1t\u00fan, Payne and Jacobsen, 2009; Payne &lt;i&gt;et al.&lt;/i&gt;, 2012)", "manualFormatting" : "(Payne et al., 2012; H\u00e1t\u00fan et al., 2009a)", "plainTextFormattedCitation" : "(H\u00e1t\u00fan, Payne and Jacobsen, 2009; Payne et al., 2012)", "previouslyFormattedCitation" : "(H\u00e1t\u00fan, Payne and Jacobsen, 2009; Payne &lt;i&gt;et al.&lt;/i&gt;, 2012)" }, "properties" : { "noteIndex" : 0 }, "schema" : "https://github.com/citation-style-language/schema/raw/master/csl-citation.json" }</w:instrText>
      </w:r>
      <w:r w:rsidR="003C4CED" w:rsidRPr="00294BBF">
        <w:rPr>
          <w:color w:val="000000" w:themeColor="text1"/>
        </w:rPr>
        <w:fldChar w:fldCharType="separate"/>
      </w:r>
      <w:r w:rsidR="00A52400" w:rsidRPr="00294BBF">
        <w:rPr>
          <w:noProof/>
          <w:color w:val="000000" w:themeColor="text1"/>
        </w:rPr>
        <w:t xml:space="preserve">(Payne </w:t>
      </w:r>
      <w:r w:rsidR="006773E4" w:rsidRPr="006773E4">
        <w:rPr>
          <w:i/>
          <w:noProof/>
          <w:color w:val="000000" w:themeColor="text1"/>
        </w:rPr>
        <w:t>et al.</w:t>
      </w:r>
      <w:r w:rsidR="00A52400" w:rsidRPr="00294BBF">
        <w:rPr>
          <w:noProof/>
          <w:color w:val="000000" w:themeColor="text1"/>
        </w:rPr>
        <w:t>, 2012; Hátún</w:t>
      </w:r>
      <w:r w:rsidR="000F04DE" w:rsidRPr="00294BBF">
        <w:rPr>
          <w:noProof/>
          <w:color w:val="000000" w:themeColor="text1"/>
        </w:rPr>
        <w:t xml:space="preserve"> </w:t>
      </w:r>
      <w:r w:rsidR="006773E4" w:rsidRPr="006773E4">
        <w:rPr>
          <w:i/>
          <w:noProof/>
          <w:color w:val="000000" w:themeColor="text1"/>
        </w:rPr>
        <w:t>et al.</w:t>
      </w:r>
      <w:r w:rsidR="000F04DE" w:rsidRPr="00294BBF">
        <w:rPr>
          <w:noProof/>
          <w:color w:val="000000" w:themeColor="text1"/>
        </w:rPr>
        <w:t xml:space="preserve">, </w:t>
      </w:r>
      <w:r w:rsidR="00A52400" w:rsidRPr="00294BBF">
        <w:rPr>
          <w:noProof/>
          <w:color w:val="000000" w:themeColor="text1"/>
        </w:rPr>
        <w:t>2009</w:t>
      </w:r>
      <w:r w:rsidR="000C1E4B" w:rsidRPr="00294BBF">
        <w:rPr>
          <w:noProof/>
          <w:color w:val="000000" w:themeColor="text1"/>
        </w:rPr>
        <w:t>a</w:t>
      </w:r>
      <w:r w:rsidR="00A52400" w:rsidRPr="00294BBF">
        <w:rPr>
          <w:noProof/>
          <w:color w:val="000000" w:themeColor="text1"/>
        </w:rPr>
        <w:t>)</w:t>
      </w:r>
      <w:r w:rsidR="003C4CED" w:rsidRPr="00294BBF">
        <w:rPr>
          <w:color w:val="000000" w:themeColor="text1"/>
        </w:rPr>
        <w:fldChar w:fldCharType="end"/>
      </w:r>
      <w:r w:rsidR="003C4CED" w:rsidRPr="00294BBF">
        <w:rPr>
          <w:color w:val="000000" w:themeColor="text1"/>
        </w:rPr>
        <w:t>.</w:t>
      </w:r>
      <w:r w:rsidR="00497D0D" w:rsidRPr="00294BBF">
        <w:rPr>
          <w:rFonts w:eastAsia="Droid Sans Fallback"/>
          <w:color w:val="000000" w:themeColor="text1"/>
        </w:rPr>
        <w:t xml:space="preserve"> </w:t>
      </w:r>
      <w:r w:rsidR="00300E38" w:rsidRPr="00294BBF">
        <w:rPr>
          <w:color w:val="000000" w:themeColor="text1"/>
        </w:rPr>
        <w:t>Migration behaviour and other aspects of the life-history (such as the need to return to the feeding grounds) are also particularly problematic</w:t>
      </w:r>
      <w:r w:rsidR="003E4F9D">
        <w:rPr>
          <w:color w:val="000000" w:themeColor="text1"/>
        </w:rPr>
        <w:t xml:space="preserve"> (</w:t>
      </w:r>
      <w:r w:rsidR="00300E38" w:rsidRPr="00294BBF">
        <w:rPr>
          <w:color w:val="000000" w:themeColor="text1"/>
        </w:rPr>
        <w:t>although we have attempted to compensate for them in our model structure</w:t>
      </w:r>
      <w:r w:rsidR="003E4F9D">
        <w:rPr>
          <w:color w:val="000000" w:themeColor="text1"/>
        </w:rPr>
        <w:t>)</w:t>
      </w:r>
      <w:r w:rsidR="00300E38" w:rsidRPr="00294BBF">
        <w:rPr>
          <w:color w:val="000000" w:themeColor="text1"/>
        </w:rPr>
        <w:t>.</w:t>
      </w:r>
      <w:r w:rsidR="003E4F9D">
        <w:rPr>
          <w:color w:val="000000" w:themeColor="text1"/>
        </w:rPr>
        <w:t xml:space="preserve"> T</w:t>
      </w:r>
      <w:r w:rsidR="003C4CED" w:rsidRPr="00294BBF">
        <w:rPr>
          <w:color w:val="000000" w:themeColor="text1"/>
        </w:rPr>
        <w:t xml:space="preserve">hese and other processes can prevent the species from being in full equilibrium with the current climate, </w:t>
      </w:r>
      <w:r w:rsidR="00E33C7A">
        <w:rPr>
          <w:color w:val="000000" w:themeColor="text1"/>
        </w:rPr>
        <w:t>thereby</w:t>
      </w:r>
      <w:r w:rsidR="003C4CED" w:rsidRPr="00294BBF">
        <w:rPr>
          <w:color w:val="000000" w:themeColor="text1"/>
        </w:rPr>
        <w:t xml:space="preserve"> violating a </w:t>
      </w:r>
      <w:r w:rsidR="00507994">
        <w:rPr>
          <w:color w:val="000000" w:themeColor="text1"/>
        </w:rPr>
        <w:t xml:space="preserve">critical </w:t>
      </w:r>
      <w:r w:rsidR="003C4CED" w:rsidRPr="00294BBF">
        <w:rPr>
          <w:color w:val="000000" w:themeColor="text1"/>
        </w:rPr>
        <w:t xml:space="preserve">assumption of SDMs </w:t>
      </w:r>
      <w:r w:rsidR="003C4CED" w:rsidRPr="00294BBF">
        <w:rPr>
          <w:color w:val="000000" w:themeColor="text1"/>
        </w:rPr>
        <w:fldChar w:fldCharType="begin" w:fldLock="1"/>
      </w:r>
      <w:r w:rsidR="009766C0" w:rsidRPr="00294BBF">
        <w:rPr>
          <w:color w:val="000000" w:themeColor="text1"/>
        </w:rPr>
        <w:instrText>ADDIN CSL_CITATION { "citationItems" : [ { "id" : "ITEM-1", "itemData" : { "DOI" : "10.1890/11-1930.1", "ISBN" : "0012-9658", "ISSN" : "0012-9658", "PMID" : "7189", "abstract" : "McNamara and Dall (2011) identified novel relationships between the abundance of a species in different environments, the temporal properties of environmental change, and selection for or against dispersal. Here, the mathematics underlying these relationships in their two-environment model are investigated for arbitrary numbers of environments. The effect they described is quantified as the fitness-abundance covariance. The phase in the life cycle where the population is censused is crucial for the implications of the fitness-abundance covariance. These relationships are shown to connect to the population genetics literature on the Reduction Principle for the evolution of genetic systems and migration. Conditions that produce selection for increased unconditional dispersal are found to be new instances of departures from reduction described by the \"Principle of Partial Control\" proposed for the evolution of modifier genes. According to this principle, variation that only partially controls the processes that transform the transmitted information of organisms may be selected to increase these processes. Mathematical methods of Karlin, Friedland, and Elsner, Johnson, and Neumann, are central in generalizing the analysis. Analysis of the adaptive landscape of the model shows that the evolution of conditional dispersal is very sensitive to the spectrum of genetic variation the population is capable of producing, and suggests that empirical study of particular species will require an evaluation of its variational properties.", "author" : [ { "dropping-particle" : "", "family" : "Ara\u00fajo", "given" : "Miguel B.", "non-dropping-particle" : "", "parse-names" : false, "suffix" : "" }, { "dropping-particle" : "", "family" : "Peterson", "given" : "A. Townsend", "non-dropping-particle" : "", "parse-names" : false, "suffix" : "" } ], "container-title" : "Ecology", "id" : "ITEM-1", "issue" : "7", "issued" : { "date-parts" : [ [ "2012", "7", "22" ] ] }, "page" : "1527-1539", "title" : "Uses and misuses of bioclimatic envelope modeling", "type" : "article-journal", "volume" : "93" }, "uris" : [ "http://www.mendeley.com/documents/?uuid=57b466ae-5742-495e-b499-fd2239466148" ] }, { "id" : "ITEM-2", "itemData" : { "DOI" : "10.1016/S0304-3800(00)00354-9", "ISBN" : "0304-3800", "ISSN" : "03043800", "PMID" : "429", "abstract" : "With the rise of new powerful statistical techniques and GIS tools, the development of predictive habitat distribution models has rapidly increased in ecology. Such models are static and probabilistic in nature, since they statistically relate the geographical distribution of species or communities to their present environment. A wide array of models has been developed to cover aspects as diverse as biogeography, conservation biology, climate change research, and habitat or species management. In this paper, we present a review of predictive habitat distribution modeling. The variety of statistical techniques used is growing. Ordinary multiple regression and its generalized form (GLM) are very popular and are often used for modeling species distributions. Other methods include neural networks, ordination and classification methods, Bayesian models, locally weighted approaches (e.g. GAM), environmental envelopes or even combinations of these models. The selection of an appropriate method should not depend solely on statistical considerations. Some models are better suited to reflect theoretical findings on the shape and nature of the species' response (or realized niche). Conceptual considerations include e.g. the trade-off between optimizing accuracy versus optimizing generality. In the field of static distribution modeling, the latter is mostly related to selecting appropriate predictor variables and to designing an appropriate procedure for model selection. New methods, including threshold-independent measures (e.g. receiver operating characteristic (ROC)-plots) and resampling techniques (e.g. bootstrap, cross-validation) have been introduced in ecology for testing the accuracy of predictive models. The choice of an evaluation measure should be driven primarily by the goals of the study. This may possibly lead to the attribution of different weights to the various types of prediction errors (e.g. omission, commission or confusion). Testing the model in a wider range of situations (in space and time) will permit one to define the range of applications for which the model predictions are suitable. In turn, the qualification of the model depends primarily on the goals of the study that define the qualification criteria and on the usability of the model, rather than on statistics alone. ?? 2000 Elsevier Science B.V.", "author" : [ { "dropping-particle" : "", "family" : "Guisan", "given" : "Antoine", "non-dropping-particle" : "", "parse-names" : false, "suffix" : "" }, { "dropping-particle" : "", "family" : "Zimmermann", "given" : "Niklaus E", "non-dropping-particle" : "", "parse-names" : false, "suffix" : "" } ], "container-title" : "Ecological Modelling", "id" : "ITEM-2", "issue" : "2-3", "issued" : { "date-parts" : [ [ "2000" ] ] }, "page" : "147-186", "title" : "Predictive habitat distribution models in ecology", "type" : "article-journal", "volume" : "135" }, "uris" : [ "http://www.mendeley.com/documents/?uuid=9a64d3e6-8616-42a8-a748-6a3f64a545a0" ] } ], "mendeley" : { "formattedCitation" : "(Guisan and Zimmermann, 2000; Ara\u00fajo and Peterson, 2012)", "plainTextFormattedCitation" : "(Guisan and Zimmermann, 2000; Ara\u00fajo and Peterson, 2012)", "previouslyFormattedCitation" : "(Guisan and Zimmermann, 2000; Ara\u00fajo and Peterson, 2012)" }, "properties" : { "noteIndex" : 0 }, "schema" : "https://github.com/citation-style-language/schema/raw/master/csl-citation.json" }</w:instrText>
      </w:r>
      <w:r w:rsidR="003C4CED" w:rsidRPr="00294BBF">
        <w:rPr>
          <w:color w:val="000000" w:themeColor="text1"/>
        </w:rPr>
        <w:fldChar w:fldCharType="separate"/>
      </w:r>
      <w:r w:rsidR="009766C0" w:rsidRPr="00294BBF">
        <w:rPr>
          <w:noProof/>
          <w:color w:val="000000" w:themeColor="text1"/>
        </w:rPr>
        <w:t>(Guisan and Zimmermann, 2000; Araújo and Peterson, 2012)</w:t>
      </w:r>
      <w:r w:rsidR="003C4CED" w:rsidRPr="00294BBF">
        <w:rPr>
          <w:color w:val="000000" w:themeColor="text1"/>
        </w:rPr>
        <w:fldChar w:fldCharType="end"/>
      </w:r>
      <w:r w:rsidR="003C4CED" w:rsidRPr="00294BBF">
        <w:rPr>
          <w:color w:val="000000" w:themeColor="text1"/>
        </w:rPr>
        <w:t>.</w:t>
      </w:r>
    </w:p>
    <w:p w14:paraId="31EAA8FF" w14:textId="4749E519" w:rsidR="00057CEF" w:rsidRDefault="00A431A7" w:rsidP="00B815DC">
      <w:pPr>
        <w:rPr>
          <w:color w:val="000000" w:themeColor="text1"/>
        </w:rPr>
      </w:pPr>
      <w:r w:rsidRPr="00294BBF">
        <w:rPr>
          <w:rFonts w:eastAsia="Droid Sans Fallback"/>
          <w:color w:val="000000" w:themeColor="text1"/>
        </w:rPr>
        <w:t>Furthermore, l</w:t>
      </w:r>
      <w:r w:rsidR="00C206EE" w:rsidRPr="00294BBF">
        <w:rPr>
          <w:rFonts w:eastAsia="Droid Sans Fallback"/>
          <w:color w:val="000000" w:themeColor="text1"/>
        </w:rPr>
        <w:t>arval-</w:t>
      </w:r>
      <w:r w:rsidR="00870000" w:rsidRPr="00294BBF">
        <w:rPr>
          <w:rFonts w:eastAsia="Droid Sans Fallback"/>
          <w:color w:val="000000" w:themeColor="text1"/>
        </w:rPr>
        <w:t>presences are assumed to be recorded within physiologically suitable (environmental) conditions</w:t>
      </w:r>
      <w:r w:rsidR="009A7682">
        <w:rPr>
          <w:rFonts w:eastAsia="Droid Sans Fallback"/>
          <w:color w:val="000000" w:themeColor="text1"/>
        </w:rPr>
        <w:t>:</w:t>
      </w:r>
      <w:r w:rsidR="00870000" w:rsidRPr="00294BBF">
        <w:rPr>
          <w:rFonts w:eastAsia="Droid Sans Fallback"/>
          <w:color w:val="000000" w:themeColor="text1"/>
        </w:rPr>
        <w:t xml:space="preserve"> </w:t>
      </w:r>
      <w:r w:rsidR="00870000" w:rsidRPr="00294BBF">
        <w:rPr>
          <w:color w:val="000000" w:themeColor="text1"/>
        </w:rPr>
        <w:t>in practice however, larvae might have drifted away from their initial spawning location into regions beyond sui</w:t>
      </w:r>
      <w:r w:rsidR="008B0D8B" w:rsidRPr="00294BBF">
        <w:rPr>
          <w:color w:val="000000" w:themeColor="text1"/>
        </w:rPr>
        <w:t>table environmental conditions</w:t>
      </w:r>
      <w:r w:rsidR="009A7682">
        <w:rPr>
          <w:color w:val="000000" w:themeColor="text1"/>
        </w:rPr>
        <w:t xml:space="preserve"> for spawning</w:t>
      </w:r>
      <w:r w:rsidR="008B0D8B" w:rsidRPr="00294BBF">
        <w:rPr>
          <w:color w:val="000000" w:themeColor="text1"/>
        </w:rPr>
        <w:t>.</w:t>
      </w:r>
      <w:r w:rsidR="000F04DE" w:rsidRPr="00294BBF">
        <w:rPr>
          <w:b/>
          <w:color w:val="000000" w:themeColor="text1"/>
        </w:rPr>
        <w:t xml:space="preserve"> </w:t>
      </w:r>
      <w:r w:rsidR="00870000" w:rsidRPr="00294BBF">
        <w:rPr>
          <w:rStyle w:val="Svagfremhvning"/>
          <w:i w:val="0"/>
          <w:color w:val="000000" w:themeColor="text1"/>
        </w:rPr>
        <w:t xml:space="preserve">Nonetheless, it is possible that blue whiting (instinctively or </w:t>
      </w:r>
      <w:r w:rsidR="00E14A4E" w:rsidRPr="00294BBF">
        <w:rPr>
          <w:rStyle w:val="Svagfremhvning"/>
          <w:i w:val="0"/>
          <w:color w:val="000000" w:themeColor="text1"/>
        </w:rPr>
        <w:t>consciously</w:t>
      </w:r>
      <w:r w:rsidR="00870000" w:rsidRPr="00294BBF">
        <w:rPr>
          <w:rStyle w:val="Svagfremhvning"/>
          <w:i w:val="0"/>
          <w:color w:val="000000" w:themeColor="text1"/>
        </w:rPr>
        <w:t xml:space="preserve">) chose a region to spawn, where eggs and larvae are </w:t>
      </w:r>
      <w:r w:rsidR="00DE1BCF" w:rsidRPr="00294BBF">
        <w:rPr>
          <w:color w:val="000000" w:themeColor="text1"/>
          <w:lang w:val="en-US"/>
        </w:rPr>
        <w:t>likely to be</w:t>
      </w:r>
      <w:r w:rsidR="00DE1BCF" w:rsidRPr="00294BBF">
        <w:rPr>
          <w:rStyle w:val="Svagfremhvning"/>
          <w:i w:val="0"/>
          <w:color w:val="000000" w:themeColor="text1"/>
        </w:rPr>
        <w:t xml:space="preserve"> </w:t>
      </w:r>
      <w:r w:rsidR="00870000" w:rsidRPr="00294BBF">
        <w:rPr>
          <w:rStyle w:val="Svagfremhvning"/>
          <w:i w:val="0"/>
          <w:color w:val="000000" w:themeColor="text1"/>
        </w:rPr>
        <w:t>retained in a suitable environment or conversely where they drift within suitable water masses, as already hypothesised by</w:t>
      </w:r>
      <w:r w:rsidR="00870000" w:rsidRPr="00294BBF">
        <w:rPr>
          <w:color w:val="000000" w:themeColor="text1"/>
        </w:rPr>
        <w:t xml:space="preserve"> </w:t>
      </w:r>
      <w:r w:rsidR="00870000" w:rsidRPr="00294BBF">
        <w:rPr>
          <w:color w:val="000000" w:themeColor="text1"/>
        </w:rPr>
        <w:fldChar w:fldCharType="begin" w:fldLock="1"/>
      </w:r>
      <w:r w:rsidR="00E40F45" w:rsidRPr="00294BBF">
        <w:rPr>
          <w:color w:val="000000" w:themeColor="text1"/>
        </w:rPr>
        <w:instrText>ADDIN CSL_CITATION { "citationItems" : [ { "id" : "ITEM-1", "itemData" : { "author" : [ { "dropping-particle" : "", "family" : "Bailey", "given" : "R. S.", "non-dropping-particle" : "", "parse-names" : false, "suffix" : "" } ], "container-title" : "Advances in Marine Biology", "id" : "ITEM-1", "issued" : { "date-parts" : [ [ "1982" ] ] }, "page" : "257-355", "title" : "The population biology of blue whiting in the North Atlantic", "type" : "article-journal", "volume" : "19" }, "uris" : [ "http://www.mendeley.com/documents/?uuid=6d669d08-4d65-4bc6-9528-0a308ec660b1" ] } ], "mendeley" : { "formattedCitation" : "(Bailey, 1982)", "manualFormatting" : "Bailey (1982)", "plainTextFormattedCitation" : "(Bailey, 1982)", "previouslyFormattedCitation" : "(Bailey, 1982)" }, "properties" : { "noteIndex" : 0 }, "schema" : "https://github.com/citation-style-language/schema/raw/master/csl-citation.json" }</w:instrText>
      </w:r>
      <w:r w:rsidR="00870000" w:rsidRPr="00294BBF">
        <w:rPr>
          <w:color w:val="000000" w:themeColor="text1"/>
        </w:rPr>
        <w:fldChar w:fldCharType="separate"/>
      </w:r>
      <w:r w:rsidR="00870000" w:rsidRPr="00294BBF">
        <w:rPr>
          <w:noProof/>
          <w:color w:val="000000" w:themeColor="text1"/>
        </w:rPr>
        <w:t>Bailey (1982)</w:t>
      </w:r>
      <w:r w:rsidR="00870000" w:rsidRPr="00294BBF">
        <w:rPr>
          <w:color w:val="000000" w:themeColor="text1"/>
        </w:rPr>
        <w:fldChar w:fldCharType="end"/>
      </w:r>
      <w:r w:rsidR="00BD12A0" w:rsidRPr="00294BBF">
        <w:rPr>
          <w:color w:val="000000" w:themeColor="text1"/>
        </w:rPr>
        <w:t>.</w:t>
      </w:r>
    </w:p>
    <w:p w14:paraId="5B5D4B0B" w14:textId="77777777" w:rsidR="008C0D58" w:rsidRDefault="00B815DC" w:rsidP="00B815DC">
      <w:pPr>
        <w:rPr>
          <w:rFonts w:eastAsia="Droid Sans Fallback"/>
          <w:color w:val="000000" w:themeColor="text1"/>
        </w:rPr>
      </w:pPr>
      <w:r w:rsidRPr="00294BBF">
        <w:rPr>
          <w:color w:val="000000" w:themeColor="text1"/>
        </w:rPr>
        <w:t xml:space="preserve">Another </w:t>
      </w:r>
      <w:r w:rsidR="009628B5" w:rsidRPr="00294BBF">
        <w:rPr>
          <w:color w:val="000000" w:themeColor="text1"/>
        </w:rPr>
        <w:t>requirement</w:t>
      </w:r>
      <w:r w:rsidRPr="00294BBF">
        <w:rPr>
          <w:color w:val="000000" w:themeColor="text1"/>
        </w:rPr>
        <w:t xml:space="preserve"> of SDMs </w:t>
      </w:r>
      <w:r w:rsidR="009628B5" w:rsidRPr="00294BBF">
        <w:rPr>
          <w:color w:val="000000" w:themeColor="text1"/>
        </w:rPr>
        <w:t>is</w:t>
      </w:r>
      <w:r w:rsidRPr="00294BBF">
        <w:rPr>
          <w:color w:val="000000" w:themeColor="text1"/>
        </w:rPr>
        <w:t xml:space="preserve"> </w:t>
      </w:r>
      <w:r w:rsidR="007B0104" w:rsidRPr="00294BBF">
        <w:rPr>
          <w:color w:val="000000" w:themeColor="text1"/>
        </w:rPr>
        <w:t>that the</w:t>
      </w:r>
      <w:r w:rsidRPr="00294BBF">
        <w:rPr>
          <w:color w:val="000000" w:themeColor="text1"/>
        </w:rPr>
        <w:t xml:space="preserve"> environmental variables </w:t>
      </w:r>
      <w:r w:rsidR="00870000" w:rsidRPr="00294BBF">
        <w:rPr>
          <w:color w:val="000000" w:themeColor="text1"/>
        </w:rPr>
        <w:t>have appropriate</w:t>
      </w:r>
      <w:r w:rsidRPr="00294BBF">
        <w:rPr>
          <w:color w:val="000000" w:themeColor="text1"/>
        </w:rPr>
        <w:t xml:space="preserve"> temporal and spatial scales. The rather coarse spatial and temporal</w:t>
      </w:r>
      <w:r w:rsidR="00660EA6" w:rsidRPr="00294BBF">
        <w:rPr>
          <w:color w:val="000000" w:themeColor="text1"/>
        </w:rPr>
        <w:t xml:space="preserve"> </w:t>
      </w:r>
      <w:r w:rsidRPr="00294BBF">
        <w:rPr>
          <w:color w:val="000000" w:themeColor="text1"/>
        </w:rPr>
        <w:t>resolution of the temperature and salinity data might have overestimated potentially suitable spawning areas</w:t>
      </w:r>
      <w:r w:rsidR="00A073ED" w:rsidRPr="00294BBF">
        <w:rPr>
          <w:color w:val="000000" w:themeColor="text1"/>
        </w:rPr>
        <w:t xml:space="preserve"> (i.e. the realised niche)</w:t>
      </w:r>
      <w:r w:rsidR="00D6195A" w:rsidRPr="00294BBF">
        <w:rPr>
          <w:color w:val="000000" w:themeColor="text1"/>
        </w:rPr>
        <w:t xml:space="preserve"> </w:t>
      </w:r>
      <w:r w:rsidR="00A073ED" w:rsidRPr="00294BBF">
        <w:rPr>
          <w:color w:val="000000" w:themeColor="text1"/>
        </w:rPr>
        <w:t xml:space="preserve">and thus </w:t>
      </w:r>
      <w:r w:rsidR="009628B5" w:rsidRPr="00294BBF">
        <w:rPr>
          <w:color w:val="000000" w:themeColor="text1"/>
        </w:rPr>
        <w:t xml:space="preserve">inaccurately amplified </w:t>
      </w:r>
      <w:r w:rsidR="00D6195A" w:rsidRPr="00294BBF">
        <w:rPr>
          <w:color w:val="000000" w:themeColor="text1"/>
        </w:rPr>
        <w:t>the area of high</w:t>
      </w:r>
      <w:r w:rsidR="00C206EE" w:rsidRPr="00294BBF">
        <w:rPr>
          <w:color w:val="000000" w:themeColor="text1"/>
        </w:rPr>
        <w:t xml:space="preserve"> larval-</w:t>
      </w:r>
      <w:r w:rsidR="00A073ED" w:rsidRPr="00294BBF">
        <w:rPr>
          <w:color w:val="000000" w:themeColor="text1"/>
        </w:rPr>
        <w:t>observation probability</w:t>
      </w:r>
      <w:r w:rsidR="00944597" w:rsidRPr="00294BBF">
        <w:rPr>
          <w:color w:val="000000" w:themeColor="text1"/>
        </w:rPr>
        <w:t xml:space="preserve">. </w:t>
      </w:r>
      <w:r w:rsidR="00F21582" w:rsidRPr="00294BBF">
        <w:rPr>
          <w:rFonts w:eastAsia="Droid Sans Fallback"/>
          <w:color w:val="000000" w:themeColor="text1"/>
        </w:rPr>
        <w:t xml:space="preserve">An extension of this work would take into account multiple ocean analysis and </w:t>
      </w:r>
      <w:r w:rsidR="00AD1655" w:rsidRPr="00294BBF">
        <w:rPr>
          <w:rFonts w:eastAsia="Droid Sans Fallback"/>
          <w:color w:val="000000" w:themeColor="text1"/>
        </w:rPr>
        <w:t>reanalysis</w:t>
      </w:r>
      <w:r w:rsidR="00F21582" w:rsidRPr="00294BBF">
        <w:rPr>
          <w:rFonts w:eastAsia="Droid Sans Fallback"/>
          <w:color w:val="000000" w:themeColor="text1"/>
        </w:rPr>
        <w:t xml:space="preserve"> products, with the goal of assessing the relative importance of this source of uncertainty.</w:t>
      </w:r>
      <w:r w:rsidR="00C025A0" w:rsidRPr="00294BBF">
        <w:rPr>
          <w:rFonts w:eastAsia="Droid Sans Fallback"/>
          <w:color w:val="000000" w:themeColor="text1"/>
        </w:rPr>
        <w:t xml:space="preserve"> </w:t>
      </w:r>
    </w:p>
    <w:p w14:paraId="5078AD56" w14:textId="6F2A71E2" w:rsidR="00B815DC" w:rsidRPr="00294BBF" w:rsidRDefault="00423287" w:rsidP="00B815DC">
      <w:pPr>
        <w:rPr>
          <w:rFonts w:eastAsia="Droid Sans Fallback"/>
          <w:color w:val="000000" w:themeColor="text1"/>
        </w:rPr>
      </w:pPr>
      <w:r w:rsidRPr="00294BBF">
        <w:rPr>
          <w:rFonts w:eastAsia="Droid Sans Fallback"/>
          <w:color w:val="000000" w:themeColor="text1"/>
        </w:rPr>
        <w:t>O</w:t>
      </w:r>
      <w:r w:rsidR="00B815DC" w:rsidRPr="00294BBF">
        <w:rPr>
          <w:rFonts w:eastAsia="Droid Sans Fallback"/>
          <w:color w:val="000000" w:themeColor="text1"/>
        </w:rPr>
        <w:t>bservations of adult blue whiting during spawning</w:t>
      </w:r>
      <w:r w:rsidR="00486E73" w:rsidRPr="00294BBF">
        <w:rPr>
          <w:rFonts w:eastAsia="Droid Sans Fallback"/>
          <w:color w:val="000000" w:themeColor="text1"/>
        </w:rPr>
        <w:t xml:space="preserve"> from both scientific surveys and fisheries data, however,</w:t>
      </w:r>
      <w:r w:rsidR="00B815DC" w:rsidRPr="00294BBF">
        <w:rPr>
          <w:rFonts w:eastAsia="Droid Sans Fallback"/>
          <w:color w:val="000000" w:themeColor="text1"/>
        </w:rPr>
        <w:t xml:space="preserve"> </w:t>
      </w:r>
      <w:r w:rsidRPr="00294BBF">
        <w:rPr>
          <w:rFonts w:eastAsia="Droid Sans Fallback"/>
          <w:color w:val="000000" w:themeColor="text1"/>
        </w:rPr>
        <w:t xml:space="preserve">also </w:t>
      </w:r>
      <w:r w:rsidR="00486E73" w:rsidRPr="00294BBF">
        <w:rPr>
          <w:rFonts w:eastAsia="Droid Sans Fallback"/>
          <w:color w:val="000000" w:themeColor="text1"/>
        </w:rPr>
        <w:t xml:space="preserve">struggle to </w:t>
      </w:r>
      <w:r w:rsidR="00B815DC" w:rsidRPr="00294BBF">
        <w:rPr>
          <w:rFonts w:eastAsia="Droid Sans Fallback"/>
          <w:color w:val="000000" w:themeColor="text1"/>
        </w:rPr>
        <w:t xml:space="preserve">characterize their spawning habitat properly. </w:t>
      </w:r>
      <w:r w:rsidR="00424289" w:rsidRPr="00294BBF">
        <w:rPr>
          <w:rFonts w:eastAsia="Droid Sans Fallback"/>
          <w:color w:val="000000" w:themeColor="text1"/>
        </w:rPr>
        <w:t>The s</w:t>
      </w:r>
      <w:r w:rsidR="00AD1655" w:rsidRPr="00294BBF">
        <w:rPr>
          <w:rFonts w:eastAsia="Droid Sans Fallback"/>
          <w:color w:val="000000" w:themeColor="text1"/>
        </w:rPr>
        <w:t>pecies</w:t>
      </w:r>
      <w:r w:rsidR="00424289" w:rsidRPr="00294BBF">
        <w:rPr>
          <w:rFonts w:eastAsia="Droid Sans Fallback"/>
          <w:color w:val="000000" w:themeColor="text1"/>
        </w:rPr>
        <w:t xml:space="preserve"> distribution model de</w:t>
      </w:r>
      <w:r w:rsidR="00C206EE" w:rsidRPr="00294BBF">
        <w:rPr>
          <w:rFonts w:eastAsia="Droid Sans Fallback"/>
          <w:color w:val="000000" w:themeColor="text1"/>
        </w:rPr>
        <w:t>veloped here is based on larval-</w:t>
      </w:r>
      <w:r w:rsidR="00424289" w:rsidRPr="00294BBF">
        <w:rPr>
          <w:rFonts w:eastAsia="Droid Sans Fallback"/>
          <w:color w:val="000000" w:themeColor="text1"/>
        </w:rPr>
        <w:t xml:space="preserve">observations, and is </w:t>
      </w:r>
      <w:r w:rsidR="00424289" w:rsidRPr="00294BBF">
        <w:rPr>
          <w:rFonts w:eastAsia="Droid Sans Fallback"/>
          <w:color w:val="000000" w:themeColor="text1"/>
        </w:rPr>
        <w:lastRenderedPageBreak/>
        <w:t>therefore a very direct proxy for spawning distribution. However, while d</w:t>
      </w:r>
      <w:r w:rsidR="00B815DC" w:rsidRPr="00294BBF">
        <w:rPr>
          <w:rFonts w:eastAsia="Droid Sans Fallback"/>
          <w:color w:val="000000" w:themeColor="text1"/>
        </w:rPr>
        <w:t>ata obtained from fisheries and scientific surveys</w:t>
      </w:r>
      <w:r w:rsidR="00424289" w:rsidRPr="00294BBF">
        <w:rPr>
          <w:rFonts w:eastAsia="Droid Sans Fallback"/>
          <w:color w:val="000000" w:themeColor="text1"/>
        </w:rPr>
        <w:t xml:space="preserve"> </w:t>
      </w:r>
      <w:r w:rsidR="00B815DC" w:rsidRPr="00294BBF">
        <w:rPr>
          <w:rFonts w:eastAsia="Droid Sans Fallback"/>
          <w:color w:val="000000" w:themeColor="text1"/>
        </w:rPr>
        <w:t>provide a snapshot of the</w:t>
      </w:r>
      <w:r w:rsidR="00424289" w:rsidRPr="00294BBF">
        <w:rPr>
          <w:rFonts w:eastAsia="Droid Sans Fallback"/>
          <w:color w:val="000000" w:themeColor="text1"/>
        </w:rPr>
        <w:t xml:space="preserve"> adult </w:t>
      </w:r>
      <w:r w:rsidR="00B815DC" w:rsidRPr="00294BBF">
        <w:rPr>
          <w:rFonts w:eastAsia="Droid Sans Fallback"/>
          <w:color w:val="000000" w:themeColor="text1"/>
        </w:rPr>
        <w:t>distribution</w:t>
      </w:r>
      <w:r w:rsidR="00424289" w:rsidRPr="00294BBF">
        <w:rPr>
          <w:rFonts w:eastAsia="Droid Sans Fallback"/>
          <w:color w:val="000000" w:themeColor="text1"/>
        </w:rPr>
        <w:t>,</w:t>
      </w:r>
      <w:r w:rsidR="00B815DC" w:rsidRPr="00294BBF">
        <w:rPr>
          <w:rFonts w:eastAsia="Droid Sans Fallback"/>
          <w:color w:val="000000" w:themeColor="text1"/>
        </w:rPr>
        <w:t xml:space="preserve"> it is ambiguous whether observed individuals </w:t>
      </w:r>
      <w:r w:rsidR="00BD1A65" w:rsidRPr="00294BBF">
        <w:rPr>
          <w:rFonts w:eastAsia="Droid Sans Fallback"/>
          <w:color w:val="000000" w:themeColor="text1"/>
        </w:rPr>
        <w:t xml:space="preserve">are </w:t>
      </w:r>
      <w:r w:rsidR="006F4BE0" w:rsidRPr="00294BBF">
        <w:rPr>
          <w:rFonts w:eastAsia="Droid Sans Fallback"/>
          <w:color w:val="000000" w:themeColor="text1"/>
        </w:rPr>
        <w:t>spawning or migrating. Th</w:t>
      </w:r>
      <w:r w:rsidR="000C56E5" w:rsidRPr="00294BBF">
        <w:rPr>
          <w:rFonts w:eastAsia="Droid Sans Fallback"/>
          <w:color w:val="000000" w:themeColor="text1"/>
        </w:rPr>
        <w:t xml:space="preserve">e lack of distinction between these two processes </w:t>
      </w:r>
      <w:r w:rsidR="00B815DC" w:rsidRPr="00294BBF">
        <w:rPr>
          <w:rFonts w:eastAsia="Droid Sans Fallback"/>
          <w:color w:val="000000" w:themeColor="text1"/>
        </w:rPr>
        <w:t>crea</w:t>
      </w:r>
      <w:r w:rsidR="006F4BE0" w:rsidRPr="00294BBF">
        <w:rPr>
          <w:rFonts w:eastAsia="Droid Sans Fallback"/>
          <w:color w:val="000000" w:themeColor="text1"/>
        </w:rPr>
        <w:t>tes</w:t>
      </w:r>
      <w:r w:rsidR="00B815DC" w:rsidRPr="00294BBF">
        <w:rPr>
          <w:rFonts w:eastAsia="Droid Sans Fallback"/>
          <w:color w:val="000000" w:themeColor="text1"/>
        </w:rPr>
        <w:t xml:space="preserve"> uncertainty in the correct geographic representation of the spawning adults</w:t>
      </w:r>
      <w:r w:rsidR="009D6D29" w:rsidRPr="00294BBF">
        <w:rPr>
          <w:rFonts w:eastAsia="Droid Sans Fallback"/>
          <w:color w:val="000000" w:themeColor="text1"/>
        </w:rPr>
        <w:t xml:space="preserve">, and also explains the partial mismatch in places between the modelled </w:t>
      </w:r>
      <w:r w:rsidR="002D143D" w:rsidRPr="00294BBF">
        <w:rPr>
          <w:rFonts w:eastAsia="Droid Sans Fallback"/>
          <w:color w:val="000000" w:themeColor="text1"/>
        </w:rPr>
        <w:t xml:space="preserve">suitable </w:t>
      </w:r>
      <w:r w:rsidR="009D6D29" w:rsidRPr="00294BBF">
        <w:rPr>
          <w:rFonts w:eastAsia="Droid Sans Fallback"/>
          <w:color w:val="000000" w:themeColor="text1"/>
        </w:rPr>
        <w:t xml:space="preserve">habitat </w:t>
      </w:r>
      <w:r w:rsidR="00E22183" w:rsidRPr="00294BBF">
        <w:rPr>
          <w:rFonts w:eastAsia="Droid Sans Fallback"/>
          <w:color w:val="000000" w:themeColor="text1"/>
        </w:rPr>
        <w:t xml:space="preserve">(from CPR observations) </w:t>
      </w:r>
      <w:r w:rsidR="000C56E5" w:rsidRPr="00294BBF">
        <w:rPr>
          <w:rFonts w:eastAsia="Droid Sans Fallback"/>
          <w:color w:val="000000" w:themeColor="text1"/>
        </w:rPr>
        <w:t>and observations from scientific surveys/</w:t>
      </w:r>
      <w:r w:rsidR="009D6D29" w:rsidRPr="00294BBF">
        <w:rPr>
          <w:rFonts w:eastAsia="Droid Sans Fallback"/>
          <w:color w:val="000000" w:themeColor="text1"/>
        </w:rPr>
        <w:t>fisheries</w:t>
      </w:r>
      <w:r w:rsidR="000C56E5" w:rsidRPr="00294BBF">
        <w:rPr>
          <w:rFonts w:eastAsia="Droid Sans Fallback"/>
          <w:color w:val="000000" w:themeColor="text1"/>
        </w:rPr>
        <w:t xml:space="preserve"> (e.g. Fig</w:t>
      </w:r>
      <w:r w:rsidR="00C920CB" w:rsidRPr="00294BBF">
        <w:rPr>
          <w:rFonts w:eastAsia="Droid Sans Fallback"/>
          <w:color w:val="000000" w:themeColor="text1"/>
        </w:rPr>
        <w:t>.</w:t>
      </w:r>
      <w:r w:rsidR="008A7F42" w:rsidRPr="00294BBF">
        <w:rPr>
          <w:rFonts w:eastAsia="Droid Sans Fallback"/>
          <w:color w:val="000000" w:themeColor="text1"/>
        </w:rPr>
        <w:t xml:space="preserve"> 10</w:t>
      </w:r>
      <w:r w:rsidR="000C56E5" w:rsidRPr="00294BBF">
        <w:rPr>
          <w:rFonts w:eastAsia="Droid Sans Fallback"/>
          <w:color w:val="000000" w:themeColor="text1"/>
        </w:rPr>
        <w:t>)</w:t>
      </w:r>
      <w:r w:rsidR="00B815DC" w:rsidRPr="00294BBF">
        <w:rPr>
          <w:rFonts w:eastAsia="Droid Sans Fallback"/>
          <w:color w:val="000000" w:themeColor="text1"/>
        </w:rPr>
        <w:t xml:space="preserve">. </w:t>
      </w:r>
      <w:r w:rsidR="00222F07" w:rsidRPr="00294BBF">
        <w:rPr>
          <w:rFonts w:eastAsia="Droid Sans Fallback"/>
          <w:color w:val="000000" w:themeColor="text1"/>
        </w:rPr>
        <w:t>Nevertheless, the general agreement between the model and the adult observations is satisfying, and increases our confidence in the results.</w:t>
      </w:r>
    </w:p>
    <w:p w14:paraId="0C53C153" w14:textId="042C522A" w:rsidR="00870000" w:rsidRPr="00294BBF" w:rsidRDefault="00870000" w:rsidP="00BD12A0">
      <w:pPr>
        <w:pStyle w:val="Overskrift3"/>
        <w:rPr>
          <w:color w:val="000000" w:themeColor="text1"/>
        </w:rPr>
      </w:pPr>
      <w:r w:rsidRPr="00294BBF">
        <w:rPr>
          <w:color w:val="000000" w:themeColor="text1"/>
        </w:rPr>
        <w:t>Outlook</w:t>
      </w:r>
    </w:p>
    <w:p w14:paraId="12A3B866" w14:textId="4BA713DF" w:rsidR="00B815DC" w:rsidRPr="00294BBF" w:rsidRDefault="00B815DC" w:rsidP="00A6775F">
      <w:pPr>
        <w:rPr>
          <w:color w:val="000000" w:themeColor="text1"/>
          <w:lang w:val="en-US"/>
        </w:rPr>
      </w:pPr>
      <w:r w:rsidRPr="00294BBF">
        <w:rPr>
          <w:color w:val="000000" w:themeColor="text1"/>
        </w:rPr>
        <w:t xml:space="preserve">In this study, the observed changes of the spawning distribution of blue whiting </w:t>
      </w:r>
      <w:r w:rsidR="00321A66" w:rsidRPr="00294BBF">
        <w:rPr>
          <w:color w:val="000000" w:themeColor="text1"/>
        </w:rPr>
        <w:t xml:space="preserve">have been clearly linked to </w:t>
      </w:r>
      <w:r w:rsidRPr="00294BBF">
        <w:rPr>
          <w:color w:val="000000" w:themeColor="text1"/>
        </w:rPr>
        <w:t>inter-annual variations in the marine environment.</w:t>
      </w:r>
      <w:r w:rsidR="00E60C6B" w:rsidRPr="00294BBF">
        <w:rPr>
          <w:color w:val="000000" w:themeColor="text1"/>
        </w:rPr>
        <w:t xml:space="preserve"> </w:t>
      </w:r>
      <w:r w:rsidR="00321A66" w:rsidRPr="00294BBF">
        <w:rPr>
          <w:rFonts w:cs="Times New Roman"/>
          <w:color w:val="000000" w:themeColor="text1"/>
        </w:rPr>
        <w:t>T</w:t>
      </w:r>
      <w:r w:rsidRPr="00294BBF">
        <w:rPr>
          <w:rFonts w:cs="Times New Roman"/>
          <w:color w:val="000000" w:themeColor="text1"/>
        </w:rPr>
        <w:t xml:space="preserve">he North Atlantic subpolar gyre region </w:t>
      </w:r>
      <w:r w:rsidR="008C0D58">
        <w:rPr>
          <w:rFonts w:cs="Times New Roman"/>
          <w:color w:val="000000" w:themeColor="text1"/>
        </w:rPr>
        <w:t xml:space="preserve">is </w:t>
      </w:r>
      <w:r w:rsidRPr="00294BBF">
        <w:rPr>
          <w:rFonts w:cs="Times New Roman"/>
          <w:color w:val="000000" w:themeColor="text1"/>
        </w:rPr>
        <w:t xml:space="preserve">one of the most predictable marine regions worldwide </w:t>
      </w:r>
      <w:r w:rsidRPr="00294BBF">
        <w:rPr>
          <w:rFonts w:cs="Times New Roman"/>
          <w:color w:val="000000" w:themeColor="text1"/>
        </w:rPr>
        <w:fldChar w:fldCharType="begin" w:fldLock="1"/>
      </w:r>
      <w:r w:rsidR="00E40F45" w:rsidRPr="00294BBF">
        <w:rPr>
          <w:rFonts w:cs="Times New Roman"/>
          <w:color w:val="000000" w:themeColor="text1"/>
        </w:rPr>
        <w:instrText>ADDIN CSL_CITATION { "citationItems" : [ { "id" : "ITEM-1", "itemData" : { "DOI" : "10.1175/JCLI-D-11-00633.1", "author" : [ { "dropping-particle" : "", "family" : "Matei", "given" : "Daniela", "non-dropping-particle" : "", "parse-names" : false, "suffix" : "" }, { "dropping-particle" : "", "family" : "Pohlmann", "given" : "H", "non-dropping-particle" : "", "parse-names" : false, "suffix" : "" }, { "dropping-particle" : "", "family" : "Jungclaus", "given" : "J", "non-dropping-particle" : "", "parse-names" : false, "suffix" : "" }, { "dropping-particle" : "", "family" : "M\u00fcller", "given" : "W", "non-dropping-particle" : "", "parse-names" : false, "suffix" : "" }, { "dropping-particle" : "", "family" : "Haak", "given" : "H", "non-dropping-particle" : "", "parse-names" : false, "suffix" : "" }, { "dropping-particle" : "", "family" : "Marotzke", "given" : "J.", "non-dropping-particle" : "", "parse-names" : false, "suffix" : "" } ], "container-title" : "Journal of Climate", "id" : "ITEM-1", "issued" : { "date-parts" : [ [ "2012" ] ] }, "page" : "8502-8523", "title" : "Two Tales of Initializing Decadal Climate Prediction Experiments with the ECHAM5 / MPI-OM Model", "type" : "article-journal", "volume" : "25" }, "uris" : [ "http://www.mendeley.com/documents/?uuid=e17f7215-0483-4df3-b363-7ab4a1bcf79d", "http://www.mendeley.com/documents/?uuid=7d508e31-70b2-4cf8-99ef-44b0a6abce13" ] }, { "id" : "ITEM-2", "itemData" : { "DOI" : "10.1175/BAMS-D-12-00241.1", "ISBN" : "0003-0007", "ISSN" : "0003-0007", "abstract" : "This paper provides an update on research in the relatively new and fast-moving field of decadal climate prediction, and addresses the use of decadal climate predictions not only for potential users of such information but also for improving our understanding of processes in the climate system. External forcing influences the predictions throughout, but their contributions to predictive skill become dominant after most of the improved skill from initialization with observations vanishes after about 6\u20139 years. Recent multimodel results suggest that there is relatively more decadal predictive skill in the North Atlantic, western Pacific, and Indian Oceans than in other regions of the world oceans. Aspects of decadal variability of SSTs, like the mid-1970s shift in the Pacific, the mid-1990s shift in the northern North Atlantic and western Pacific, and the early-2000s hiatus, are better represented in initialized hindcasts compared to uninitialized simulations. There is evidence of higher skill in initialize...", "author" : [ { "dropping-particle" : "", "family" : "Meehl", "given" : "Gerald A.", "non-dropping-particle" : "", "parse-names" : false, "suffix" : "" }, { "dropping-particle" : "", "family" : "Goddard", "given" : "Lisa", "non-dropping-particle" : "", "parse-names" : false, "suffix" : "" }, { "dropping-particle" : "", "family" : "Boer", "given" : "George", "non-dropping-particle" : "", "parse-names" : false, "suffix" : "" }, { "dropping-particle" : "", "family" : "Burgman", "given" : "Robert", "non-dropping-particle" : "", "parse-names" : false, "suffix" : "" }, { "dropping-particle" : "", "family" : "Branstator", "given" : "Grant", "non-dropping-particle" : "", "parse-names" : false, "suffix" : "" }, { "dropping-particle" : "", "family" : "Cassou", "given" : "Christophe", "non-dropping-particle" : "", "parse-names" : false, "suffix" : "" }, { "dropping-particle" : "", "family" : "Corti", "given" : "Susanna", "non-dropping-particle" : "", "parse-names" : false, "suffix" : "" }, { "dropping-particle" : "", "family" : "Danabasoglu", "given" : "Gokhan", "non-dropping-particle" : "", "parse-names" : false, "suffix" : "" }, { "dropping-particle" : "", "family" : "Doblas-Reyes", "given" : "Francisco", "non-dropping-particle" : "", "parse-names" : false, "suffix" : "" }, { "dropping-particle" : "", "family" : "Hawkins", "given" : "Ed", "non-dropping-particle" : "", "parse-names" : false, "suffix" : "" }, { "dropping-particle" : "", "family" : "Karspeck", "given" : "Alicia", "non-dropping-particle" : "", "parse-names" : false, "suffix" : "" }, { "dropping-particle" : "", "family" : "Kimoto", "given" : "Masahide", "non-dropping-particle" : "", "parse-names" : false, "suffix" : "" }, { "dropping-particle" : "", "family" : "Kumar", "given" : "Arun", "non-dropping-particle" : "", "parse-names" : false, "suffix" : "" }, { "dropping-particle" : "", "family" : "Matei", "given" : "Daniela", "non-dropping-particle" : "", "parse-names" : false, "suffix" : "" }, { "dropping-particle" : "", "family" : "Mignot", "given" : "Juliette", "non-dropping-particle" : "", "parse-names" : false, "suffix" : "" }, { "dropping-particle" : "", "family" : "Msadek", "given" : "Rym", "non-dropping-particle" : "", "parse-names" : false, "suffix" : "" }, { "dropping-particle" : "", "family" : "Navarra", "given" : "Antonio", "non-dropping-particle" : "", "parse-names" : false, "suffix" : "" }, { "dropping-particle" : "", "family" : "Pohlmann", "given" : "Holger", "non-dropping-particle" : "", "parse-names" : false, "suffix" : "" }, { "dropping-particle" : "", "family" : "Rienecker", "given" : "Michele", "non-dropping-particle" : "", "parse-names" : false, "suffix" : "" }, { "dropping-particle" : "", "family" : "Rosati", "given" : "Tony", "non-dropping-particle" : "", "parse-names" : false, "suffix" : "" }, { "dropping-particle" : "", "family" : "Schneider", "given" : "Edwin", "non-dropping-particle" : "", "parse-names" : false, "suffix" : "" }, { "dropping-particle" : "", "family" : "Smith", "given" : "Doug", "non-dropping-particle" : "", "parse-names" : false, "suffix" : "" }, { "dropping-particle" : "", "family" : "Sutton", "given" : "Rowan", "non-dropping-particle" : "", "parse-names" : false, "suffix" : "" }, { "dropping-particle" : "", "family" : "Teng", "given" : "Haiyan", "non-dropping-particle" : "", "parse-names" : false, "suffix" : "" }, { "dropping-particle" : "", "family" : "Oldenborgh", "given" : "Geert Jan", "non-dropping-particle" : "van", "parse-names" : false, "suffix" : "" }, { "dropping-particle" : "", "family" : "Vecchi", "given" : "Gabriel", "non-dropping-particle" : "", "parse-names" : false, "suffix" : "" }, { "dropping-particle" : "", "family" : "Yeager", "given" : "Stephen", "non-dropping-particle" : "", "parse-names" : false, "suffix" : "" } ], "container-title" : "Bulletin of the American Meteorological Society", "id" : "ITEM-2", "issue" : "2", "issued" : { "date-parts" : [ [ "2014", "2" ] ] }, "note" : "HIGHLY CITED paper", "page" : "243-267", "title" : "Decadal Climate Prediction: An Update from the Trenches", "type" : "article-journal", "volume" : "95" }, "uris" : [ "http://www.mendeley.com/documents/?uuid=12498c08-73c2-445e-a980-5d6bba524220", "http://www.mendeley.com/documents/?uuid=77596f4e-1a67-4b8d-9dca-36c45ede39c0" ] } ], "mendeley" : { "formattedCitation" : "(Matei &lt;i&gt;et al.&lt;/i&gt;, 2012; Meehl &lt;i&gt;et al.&lt;/i&gt;, 2014)", "plainTextFormattedCitation" : "(Matei et al., 2012; Meehl et al., 2014)", "previouslyFormattedCitation" : "(Matei &lt;i&gt;et al.&lt;/i&gt;, 2012; Meehl &lt;i&gt;et al.&lt;/i&gt;, 2014)" }, "properties" : { "noteIndex" : 0 }, "schema" : "https://github.com/citation-style-language/schema/raw/master/csl-citation.json" }</w:instrText>
      </w:r>
      <w:r w:rsidRPr="00294BBF">
        <w:rPr>
          <w:rFonts w:cs="Times New Roman"/>
          <w:color w:val="000000" w:themeColor="text1"/>
        </w:rPr>
        <w:fldChar w:fldCharType="separate"/>
      </w:r>
      <w:r w:rsidR="00E40F45" w:rsidRPr="00294BBF">
        <w:rPr>
          <w:rFonts w:cs="Times New Roman"/>
          <w:noProof/>
          <w:color w:val="000000" w:themeColor="text1"/>
        </w:rPr>
        <w:t xml:space="preserve">(Matei </w:t>
      </w:r>
      <w:r w:rsidR="006773E4" w:rsidRPr="006773E4">
        <w:rPr>
          <w:rFonts w:cs="Times New Roman"/>
          <w:i/>
          <w:noProof/>
          <w:color w:val="000000" w:themeColor="text1"/>
        </w:rPr>
        <w:t>et al.</w:t>
      </w:r>
      <w:r w:rsidR="00E40F45" w:rsidRPr="00294BBF">
        <w:rPr>
          <w:rFonts w:cs="Times New Roman"/>
          <w:noProof/>
          <w:color w:val="000000" w:themeColor="text1"/>
        </w:rPr>
        <w:t xml:space="preserve">, 2012; Meehl </w:t>
      </w:r>
      <w:r w:rsidR="006773E4" w:rsidRPr="006773E4">
        <w:rPr>
          <w:rFonts w:cs="Times New Roman"/>
          <w:i/>
          <w:noProof/>
          <w:color w:val="000000" w:themeColor="text1"/>
        </w:rPr>
        <w:t>et al.</w:t>
      </w:r>
      <w:r w:rsidR="00E40F45" w:rsidRPr="00294BBF">
        <w:rPr>
          <w:rFonts w:cs="Times New Roman"/>
          <w:noProof/>
          <w:color w:val="000000" w:themeColor="text1"/>
        </w:rPr>
        <w:t>, 2014)</w:t>
      </w:r>
      <w:r w:rsidRPr="00294BBF">
        <w:rPr>
          <w:rFonts w:cs="Times New Roman"/>
          <w:color w:val="000000" w:themeColor="text1"/>
        </w:rPr>
        <w:fldChar w:fldCharType="end"/>
      </w:r>
      <w:r w:rsidR="00B92707" w:rsidRPr="00294BBF">
        <w:rPr>
          <w:rFonts w:cs="Times New Roman"/>
          <w:color w:val="000000" w:themeColor="text1"/>
        </w:rPr>
        <w:t xml:space="preserve"> and therefore opens the door to forecasting this distribution. In particular</w:t>
      </w:r>
      <w:r w:rsidRPr="00294BBF">
        <w:rPr>
          <w:rFonts w:cs="Times New Roman"/>
          <w:color w:val="000000" w:themeColor="text1"/>
        </w:rPr>
        <w:t xml:space="preserve">, the switch from one marine climatic regime to </w:t>
      </w:r>
      <w:r w:rsidR="00B92707" w:rsidRPr="00294BBF">
        <w:rPr>
          <w:rFonts w:cs="Times New Roman"/>
          <w:color w:val="000000" w:themeColor="text1"/>
        </w:rPr>
        <w:t xml:space="preserve">another could be a key starting point: </w:t>
      </w:r>
      <w:r w:rsidRPr="00294BBF">
        <w:rPr>
          <w:rFonts w:cs="Times New Roman"/>
          <w:color w:val="000000" w:themeColor="text1"/>
        </w:rPr>
        <w:t xml:space="preserve">modelling studies </w:t>
      </w:r>
      <w:r w:rsidR="00B92707" w:rsidRPr="00294BBF">
        <w:rPr>
          <w:rFonts w:cs="Times New Roman"/>
          <w:color w:val="000000" w:themeColor="text1"/>
        </w:rPr>
        <w:t xml:space="preserve">have shown the ability to </w:t>
      </w:r>
      <w:r w:rsidRPr="00294BBF">
        <w:rPr>
          <w:rFonts w:cs="Times New Roman"/>
          <w:color w:val="000000" w:themeColor="text1"/>
        </w:rPr>
        <w:t xml:space="preserve">retrospectively predict the mid-1990s contraction of the SPG </w:t>
      </w:r>
      <w:r w:rsidRPr="00294BBF">
        <w:rPr>
          <w:rFonts w:cs="Times New Roman"/>
          <w:color w:val="000000" w:themeColor="text1"/>
        </w:rPr>
        <w:fldChar w:fldCharType="begin" w:fldLock="1"/>
      </w:r>
      <w:r w:rsidR="00E40F45" w:rsidRPr="00294BBF">
        <w:rPr>
          <w:rFonts w:cs="Times New Roman"/>
          <w:color w:val="000000" w:themeColor="text1"/>
        </w:rPr>
        <w:instrText>ADDIN CSL_CITATION { "citationItems" : [ { "id" : "ITEM-1", "itemData" : { "DOI" : "10.1002/grl.50585", "ISBN" : "1944-8007", "ISSN" : "00948276", "abstract" : "In decadal predictability studies, the subpolar Atlantic stands out as a region of high potential and real predictability. Since local temperature and salinity variations in the region are for a large part controlled by ocean dynamics, skillful predictability of the local ocean dynamics is a prerequisite to obtain multiyear predictability of other variables such as sea surface temperature. In this study, we discuss the predictability of the main ocean current system in the region, the subpolar gyre. From perfect model hindcasts exploiting initial condition information only from realistic ocean observation locations, we find that predictability is increased when Argo subsurface data are included. In our real-world experiments with initialized hindcasts, the observed decline in subpolar gyre strength of the mid-1990s is reproduced well and we find predictability of the subpolar gyre up to 2 years ahead, comparable to the skill of a damped persistence model.", "author" : [ { "dropping-particle" : "", "family" : "Wouters", "given" : "B.", "non-dropping-particle" : "", "parse-names" : false, "suffix" : "" }, { "dropping-particle" : "", "family" : "Hazeleger", "given" : "W.", "non-dropping-particle" : "", "parse-names" : false, "suffix" : "" }, { "dropping-particle" : "", "family" : "Drijfhout", "given" : "S.", "non-dropping-particle" : "", "parse-names" : false, "suffix" : "" }, { "dropping-particle" : "", "family" : "Oldenborgh", "given" : "G. J.", "non-dropping-particle" : "Van", "parse-names" : false, "suffix" : "" }, { "dropping-particle" : "", "family" : "Guemas", "given" : "V.", "non-dropping-particle" : "", "parse-names" : false, "suffix" : "" } ], "container-title" : "Geophysical Research Letters", "id" : "ITEM-1", "issue" : "12", "issued" : { "date-parts" : [ [ "2013" ] ] }, "page" : "3080-3084", "title" : "Multiyear predictability of the North Atlantic subpolar gyre", "type" : "article-journal", "volume" : "40" }, "uris" : [ "http://www.mendeley.com/documents/?uuid=79949735-643d-4aea-8626-9ba0b6c25f00", "http://www.mendeley.com/documents/?uuid=a016bb8f-e79d-427f-af2b-4b664af1d44a" ] }, { "id" : "ITEM-2", "itemData" : { "DOI" : "10.1175/JCLI-D-13-00476.1", "ISSN" : "08948755", "abstract" : "Decadal prediction experiments were conducted as part of phase 5 of the CoupledModel Intercomparison Project (CMIP5) using theGFDL ClimateModel, version 2.1 (CM2.1) forecast system. The abrupt warming of the North Atlantic Subpolar Gyre (SPG) that was observed in the mid-1990s is considered as a case study to evaluate forecast capabilities and better understand the reasons for the observed changes. Initializing theCM2.1 coupled systemproduces high skill in retrospectively predicting themid-1990s shift,which is not captured by the uninitialized forecasts.All the hindcasts initialized in the early 1990s showawarming of the SPG; however, only the ensemble-mean hindcasts initialized in 1995 and 1996 are able to reproduce the observed abrupt warming and the associated decrease and contraction of the SPG. Examination of the physical mechanisms responsible for the successful retrospective predictions indicates that initializing the ocean is key to predicting themid-1990s warming. The successful initialized forecasts showan increasedAtlanticmeridional overturning circulation and North Atlantic Current transport, which drive an increased advection of warm saline subtropical waters northward, leading to a westward shift of the subpolar front and, subsequently, a warming and spindown of the SPG. Significant seasonal climate impacts are predicted as the SPG warms, including a reduced sea ice con- centration over the Arctic, an enhanced warming over the central United States during summer and fall, and a northward shift of themean ITCZ.These climate anomalies are similar to those observed during awarmphase of the Atlanticmultidecadal oscillation, which is encouraging for future predictions of North Atlantic climate. 1.", "author" : [ { "dropping-particle" : "", "family" : "Msadek", "given" : "Rym", "non-dropping-particle" : "", "parse-names" : false, "suffix" : "" }, { "dropping-particle" : "", "family" : "Delworth", "given" : "T. L.", "non-dropping-particle" : "", "parse-names" : false, "suffix" : "" }, { "dropping-particle" : "", "family" : "Rosati", "given" : "A.", "non-dropping-particle" : "", "parse-names" : false, "suffix" : "" }, { "dropping-particle" : "", "family" : "Anderson", "given" : "W.", "non-dropping-particle" : "", "parse-names" : false, "suffix" : "" }, { "dropping-particle" : "", "family" : "Vecchi", "given" : "G.", "non-dropping-particle" : "", "parse-names" : false, "suffix" : "" }, { "dropping-particle" : "", "family" : "Chang", "given" : "Y. S.", "non-dropping-particle" : "", "parse-names" : false, "suffix" : "" }, { "dropping-particle" : "", "family" : "Dixon", "given" : "K.", "non-dropping-particle" : "", "parse-names" : false, "suffix" : "" }, { "dropping-particle" : "", "family" : "Gudgel", "given" : "R. G.", "non-dropping-particle" : "", "parse-names" : false, "suffix" : "" }, { "dropping-particle" : "", "family" : "Stern", "given" : "W.", "non-dropping-particle" : "", "parse-names" : false, "suffix" : "" }, { "dropping-particle" : "", "family" : "Wittenberg", "given" : "A.", "non-dropping-particle" : "", "parse-names" : false, "suffix" : "" }, { "dropping-particle" : "", "family" : "Yang", "given" : "X.", "non-dropping-particle" : "", "parse-names" : false, "suffix" : "" }, { "dropping-particle" : "", "family" : "Zeng", "given" : "F.", "non-dropping-particle" : "", "parse-names" : false, "suffix" : "" }, { "dropping-particle" : "", "family" : "Zhang", "given" : "R.", "non-dropping-particle" : "", "parse-names" : false, "suffix" : "" }, { "dropping-particle" : "", "family" : "Zhang", "given" : "S.", "non-dropping-particle" : "", "parse-names" : false, "suffix" : "" } ], "container-title" : "Journal of Climate", "id" : "ITEM-2", "issue" : "17", "issued" : { "date-parts" : [ [ "2014" ] ] }, "page" : "6472-6496", "title" : "Predicting a decadal shift in North Atlantic climate variability using the GFDL forecast system", "type" : "article-journal", "volume" : "27" }, "uris" : [ "http://www.mendeley.com/documents/?uuid=dee14d73-1016-44ca-b786-eb7c243d67c5", "http://www.mendeley.com/documents/?uuid=7d77528f-43d9-4e1e-b8b8-08205a3b4b6b" ] } ], "mendeley" : { "formattedCitation" : "(Wouters &lt;i&gt;et al.&lt;/i&gt;, 2013; Msadek &lt;i&gt;et al.&lt;/i&gt;, 2014)", "plainTextFormattedCitation" : "(Wouters et al., 2013; Msadek et al., 2014)", "previouslyFormattedCitation" : "(Wouters &lt;i&gt;et al.&lt;/i&gt;, 2013; Msadek &lt;i&gt;et al.&lt;/i&gt;, 2014)" }, "properties" : { "noteIndex" : 0 }, "schema" : "https://github.com/citation-style-language/schema/raw/master/csl-citation.json" }</w:instrText>
      </w:r>
      <w:r w:rsidRPr="00294BBF">
        <w:rPr>
          <w:rFonts w:cs="Times New Roman"/>
          <w:color w:val="000000" w:themeColor="text1"/>
        </w:rPr>
        <w:fldChar w:fldCharType="separate"/>
      </w:r>
      <w:r w:rsidR="00E40F45" w:rsidRPr="00294BBF">
        <w:rPr>
          <w:rFonts w:cs="Times New Roman"/>
          <w:noProof/>
          <w:color w:val="000000" w:themeColor="text1"/>
        </w:rPr>
        <w:t xml:space="preserve">(Wouters </w:t>
      </w:r>
      <w:r w:rsidR="006773E4" w:rsidRPr="006773E4">
        <w:rPr>
          <w:rFonts w:cs="Times New Roman"/>
          <w:i/>
          <w:noProof/>
          <w:color w:val="000000" w:themeColor="text1"/>
        </w:rPr>
        <w:t>et al.</w:t>
      </w:r>
      <w:r w:rsidR="00E40F45" w:rsidRPr="00294BBF">
        <w:rPr>
          <w:rFonts w:cs="Times New Roman"/>
          <w:noProof/>
          <w:color w:val="000000" w:themeColor="text1"/>
        </w:rPr>
        <w:t xml:space="preserve">, 2013; Msadek </w:t>
      </w:r>
      <w:r w:rsidR="006773E4" w:rsidRPr="006773E4">
        <w:rPr>
          <w:rFonts w:cs="Times New Roman"/>
          <w:i/>
          <w:noProof/>
          <w:color w:val="000000" w:themeColor="text1"/>
        </w:rPr>
        <w:t>et al.</w:t>
      </w:r>
      <w:r w:rsidR="00E40F45" w:rsidRPr="00294BBF">
        <w:rPr>
          <w:rFonts w:cs="Times New Roman"/>
          <w:noProof/>
          <w:color w:val="000000" w:themeColor="text1"/>
        </w:rPr>
        <w:t>, 2014)</w:t>
      </w:r>
      <w:r w:rsidRPr="00294BBF">
        <w:rPr>
          <w:rFonts w:cs="Times New Roman"/>
          <w:color w:val="000000" w:themeColor="text1"/>
        </w:rPr>
        <w:fldChar w:fldCharType="end"/>
      </w:r>
      <w:r w:rsidRPr="00294BBF">
        <w:rPr>
          <w:rFonts w:cs="Times New Roman"/>
          <w:color w:val="000000" w:themeColor="text1"/>
        </w:rPr>
        <w:t xml:space="preserve"> and</w:t>
      </w:r>
      <w:r w:rsidR="00B96006" w:rsidRPr="00294BBF">
        <w:rPr>
          <w:rFonts w:cs="Times New Roman"/>
          <w:color w:val="000000" w:themeColor="text1"/>
        </w:rPr>
        <w:t xml:space="preserve"> the associated increase in the </w:t>
      </w:r>
      <w:r w:rsidR="002D143D" w:rsidRPr="00294BBF">
        <w:rPr>
          <w:rFonts w:cs="Times New Roman"/>
          <w:color w:val="000000" w:themeColor="text1"/>
        </w:rPr>
        <w:t>upper 500 m heat content up to five</w:t>
      </w:r>
      <w:r w:rsidR="00B96006" w:rsidRPr="00294BBF">
        <w:rPr>
          <w:rFonts w:cs="Times New Roman"/>
          <w:color w:val="000000" w:themeColor="text1"/>
        </w:rPr>
        <w:t xml:space="preserve"> years in advance </w:t>
      </w:r>
      <w:r w:rsidR="00B96006" w:rsidRPr="00294BBF">
        <w:rPr>
          <w:rFonts w:cs="Times New Roman"/>
          <w:color w:val="000000" w:themeColor="text1"/>
        </w:rPr>
        <w:fldChar w:fldCharType="begin" w:fldLock="1"/>
      </w:r>
      <w:r w:rsidR="00E40F45" w:rsidRPr="00294BBF">
        <w:rPr>
          <w:rFonts w:cs="Times New Roman"/>
          <w:color w:val="000000" w:themeColor="text1"/>
        </w:rPr>
        <w:instrText>ADDIN CSL_CITATION { "citationItems" : [ { "id" : "ITEM-1", "itemData" : { "DOI" : "10.1007/s00382-017-3649-2", "ISBN" : "0123456789", "ISSN" : "0930-7575", "author" : [ { "dropping-particle" : "", "family" : "Robson", "given" : "Jon", "non-dropping-particle" : "", "parse-names" : false, "suffix" : "" }, { "dropping-particle" : "", "family" : "Polo", "given" : "Irene", "non-dropping-particle" : "", "parse-names" : false, "suffix" : "" }, { "dropping-particle" : "", "family" : "Hodson", "given" : "Dan L. R.", "non-dropping-particle" : "", "parse-names" : false, "suffix" : "" }, { "dropping-particle" : "", "family" : "Stevens", "given" : "David P.", "non-dropping-particle" : "", "parse-names" : false, "suffix" : "" }, { "dropping-particle" : "", "family" : "Shaffrey", "given" : "Len C.", "non-dropping-particle" : "", "parse-names" : false, "suffix" : "" } ], "container-title" : "Climate Dynamics", "id" : "ITEM-1", "issue" : "0", "issued" : { "date-parts" : [ [ "2017", "6", "12" ] ] }, "page" : "1-17", "publisher" : "Springer Berlin Heidelberg", "title" : "Decadal prediction of the North Atlantic subpolar gyre in the HiGEM high-resolution climate model", "type" : "article-journal", "volume" : "0" }, "uris" : [ "http://www.mendeley.com/documents/?uuid=2ab26305-2c6f-44b0-8746-6d603b732cd7" ] } ], "mendeley" : { "formattedCitation" : "(Robson &lt;i&gt;et al.&lt;/i&gt;, 2017)", "plainTextFormattedCitation" : "(Robson et al., 2017)", "previouslyFormattedCitation" : "(Robson &lt;i&gt;et al.&lt;/i&gt;, 2017)" }, "properties" : { "noteIndex" : 0 }, "schema" : "https://github.com/citation-style-language/schema/raw/master/csl-citation.json" }</w:instrText>
      </w:r>
      <w:r w:rsidR="00B96006" w:rsidRPr="00294BBF">
        <w:rPr>
          <w:rFonts w:cs="Times New Roman"/>
          <w:color w:val="000000" w:themeColor="text1"/>
        </w:rPr>
        <w:fldChar w:fldCharType="separate"/>
      </w:r>
      <w:r w:rsidR="00E40F45" w:rsidRPr="00294BBF">
        <w:rPr>
          <w:rFonts w:cs="Times New Roman"/>
          <w:noProof/>
          <w:color w:val="000000" w:themeColor="text1"/>
        </w:rPr>
        <w:t xml:space="preserve">(Robson </w:t>
      </w:r>
      <w:r w:rsidR="006773E4" w:rsidRPr="006773E4">
        <w:rPr>
          <w:rFonts w:cs="Times New Roman"/>
          <w:i/>
          <w:noProof/>
          <w:color w:val="000000" w:themeColor="text1"/>
        </w:rPr>
        <w:t>et al.</w:t>
      </w:r>
      <w:r w:rsidR="00E40F45" w:rsidRPr="00294BBF">
        <w:rPr>
          <w:rFonts w:cs="Times New Roman"/>
          <w:noProof/>
          <w:color w:val="000000" w:themeColor="text1"/>
        </w:rPr>
        <w:t>, 2017)</w:t>
      </w:r>
      <w:r w:rsidR="00B96006" w:rsidRPr="00294BBF">
        <w:rPr>
          <w:rFonts w:cs="Times New Roman"/>
          <w:color w:val="000000" w:themeColor="text1"/>
        </w:rPr>
        <w:fldChar w:fldCharType="end"/>
      </w:r>
      <w:r w:rsidR="00B96006" w:rsidRPr="00294BBF">
        <w:rPr>
          <w:rFonts w:cs="Times New Roman"/>
          <w:color w:val="000000" w:themeColor="text1"/>
        </w:rPr>
        <w:t xml:space="preserve">. Consequently, </w:t>
      </w:r>
      <w:r w:rsidRPr="00294BBF">
        <w:rPr>
          <w:rFonts w:cs="Times New Roman"/>
          <w:color w:val="000000" w:themeColor="text1"/>
        </w:rPr>
        <w:t>the onset of warmer and more saline conditions in the spawn</w:t>
      </w:r>
      <w:r w:rsidR="00E60C6B" w:rsidRPr="00294BBF">
        <w:rPr>
          <w:rFonts w:cs="Times New Roman"/>
          <w:color w:val="000000" w:themeColor="text1"/>
        </w:rPr>
        <w:t>ing region of blue whiting</w:t>
      </w:r>
      <w:r w:rsidR="00641599" w:rsidRPr="00294BBF">
        <w:rPr>
          <w:rFonts w:cs="Times New Roman"/>
          <w:color w:val="000000" w:themeColor="text1"/>
        </w:rPr>
        <w:t xml:space="preserve"> and </w:t>
      </w:r>
      <w:r w:rsidR="00A6775F" w:rsidRPr="00294BBF">
        <w:rPr>
          <w:rFonts w:cs="Times New Roman"/>
          <w:color w:val="000000" w:themeColor="text1"/>
        </w:rPr>
        <w:t>an expanded spawning distribution of this species</w:t>
      </w:r>
      <w:r w:rsidR="00B96006" w:rsidRPr="00294BBF">
        <w:rPr>
          <w:rFonts w:cs="Times New Roman"/>
          <w:color w:val="000000" w:themeColor="text1"/>
        </w:rPr>
        <w:t xml:space="preserve"> could potentially be predicted</w:t>
      </w:r>
      <w:r w:rsidR="00E60C6B" w:rsidRPr="00294BBF">
        <w:rPr>
          <w:rFonts w:cs="Times New Roman"/>
          <w:color w:val="000000" w:themeColor="text1"/>
        </w:rPr>
        <w:t>. The</w:t>
      </w:r>
      <w:r w:rsidRPr="00294BBF">
        <w:rPr>
          <w:rFonts w:cs="Times New Roman"/>
          <w:color w:val="000000" w:themeColor="text1"/>
        </w:rPr>
        <w:t xml:space="preserve"> high predictive potential of the marine </w:t>
      </w:r>
      <w:r w:rsidR="00FD490A" w:rsidRPr="00294BBF">
        <w:rPr>
          <w:rFonts w:cs="Times New Roman"/>
          <w:color w:val="000000" w:themeColor="text1"/>
        </w:rPr>
        <w:t xml:space="preserve">environment </w:t>
      </w:r>
      <w:r w:rsidRPr="00294BBF">
        <w:rPr>
          <w:rFonts w:cs="Times New Roman"/>
          <w:color w:val="000000" w:themeColor="text1"/>
        </w:rPr>
        <w:t xml:space="preserve">in </w:t>
      </w:r>
      <w:r w:rsidRPr="00294BBF">
        <w:rPr>
          <w:color w:val="000000" w:themeColor="text1"/>
        </w:rPr>
        <w:t>the spawning region of blue whiting</w:t>
      </w:r>
      <w:r w:rsidR="00E60C6B" w:rsidRPr="00294BBF">
        <w:rPr>
          <w:color w:val="000000" w:themeColor="text1"/>
        </w:rPr>
        <w:t>,</w:t>
      </w:r>
      <w:r w:rsidRPr="00294BBF">
        <w:rPr>
          <w:color w:val="000000" w:themeColor="text1"/>
        </w:rPr>
        <w:t xml:space="preserve"> </w:t>
      </w:r>
      <w:r w:rsidRPr="00294BBF">
        <w:rPr>
          <w:rFonts w:cs="Times New Roman"/>
          <w:color w:val="000000" w:themeColor="text1"/>
        </w:rPr>
        <w:t xml:space="preserve">coupled with the persistence of salinity at </w:t>
      </w:r>
      <w:r w:rsidR="00E60C6B" w:rsidRPr="00294BBF">
        <w:rPr>
          <w:rFonts w:cs="Times New Roman"/>
          <w:color w:val="000000" w:themeColor="text1"/>
        </w:rPr>
        <w:t>depth</w:t>
      </w:r>
      <w:r w:rsidRPr="00294BBF">
        <w:rPr>
          <w:rFonts w:cs="Times New Roman"/>
          <w:color w:val="000000" w:themeColor="text1"/>
        </w:rPr>
        <w:t xml:space="preserve">, might </w:t>
      </w:r>
      <w:r w:rsidR="003060A4">
        <w:rPr>
          <w:rFonts w:cs="Times New Roman"/>
          <w:color w:val="000000" w:themeColor="text1"/>
        </w:rPr>
        <w:t xml:space="preserve">therefore </w:t>
      </w:r>
      <w:r w:rsidRPr="00294BBF">
        <w:rPr>
          <w:rFonts w:cs="Times New Roman"/>
          <w:color w:val="000000" w:themeColor="text1"/>
        </w:rPr>
        <w:t xml:space="preserve">enable us to forecast the extent of blue </w:t>
      </w:r>
      <w:r w:rsidRPr="00294BBF">
        <w:rPr>
          <w:rFonts w:cs="Times New Roman"/>
          <w:color w:val="000000" w:themeColor="text1"/>
        </w:rPr>
        <w:lastRenderedPageBreak/>
        <w:t xml:space="preserve">whiting’s spawning distribution at time scales relevant for the </w:t>
      </w:r>
      <w:r w:rsidR="004B2587" w:rsidRPr="00294BBF">
        <w:rPr>
          <w:rFonts w:cs="Times New Roman"/>
          <w:color w:val="000000" w:themeColor="text1"/>
        </w:rPr>
        <w:t>monitoring and management</w:t>
      </w:r>
      <w:r w:rsidR="002A1BE1">
        <w:rPr>
          <w:rFonts w:cs="Times New Roman"/>
          <w:color w:val="000000" w:themeColor="text1"/>
        </w:rPr>
        <w:t xml:space="preserve"> of this stock.</w:t>
      </w:r>
    </w:p>
    <w:p w14:paraId="2DE5EB29" w14:textId="77777777" w:rsidR="00B815DC" w:rsidRPr="00294BBF" w:rsidRDefault="00B815DC" w:rsidP="00B815DC">
      <w:pPr>
        <w:spacing w:before="200"/>
        <w:rPr>
          <w:b/>
          <w:color w:val="000000" w:themeColor="text1"/>
          <w:lang w:val="en-US"/>
        </w:rPr>
      </w:pPr>
    </w:p>
    <w:p w14:paraId="5B5DDA9B" w14:textId="6A8E0521" w:rsidR="00760A33" w:rsidRPr="00294BBF" w:rsidRDefault="00BD12A0" w:rsidP="00906D59">
      <w:pPr>
        <w:pStyle w:val="Overskrift1"/>
        <w:jc w:val="left"/>
        <w:rPr>
          <w:color w:val="000000" w:themeColor="text1"/>
          <w:lang w:val="en-US"/>
        </w:rPr>
      </w:pPr>
      <w:r w:rsidRPr="00294BBF">
        <w:rPr>
          <w:color w:val="000000" w:themeColor="text1"/>
          <w:lang w:val="en-US"/>
        </w:rPr>
        <w:t>REFERENCES</w:t>
      </w:r>
      <w:r w:rsidR="002A3B1D">
        <w:rPr>
          <w:color w:val="000000" w:themeColor="text1"/>
          <w:lang w:val="en-US"/>
        </w:rPr>
        <w:t xml:space="preserve"> </w:t>
      </w:r>
    </w:p>
    <w:p w14:paraId="29715983" w14:textId="36C86602" w:rsidR="002A3B1D" w:rsidRPr="002A3B1D" w:rsidRDefault="00041FF2" w:rsidP="002A3B1D">
      <w:pPr>
        <w:widowControl w:val="0"/>
        <w:autoSpaceDE w:val="0"/>
        <w:autoSpaceDN w:val="0"/>
        <w:adjustRightInd w:val="0"/>
        <w:spacing w:line="240" w:lineRule="auto"/>
        <w:ind w:left="480" w:hanging="480"/>
        <w:rPr>
          <w:rFonts w:cs="Times New Roman"/>
          <w:noProof/>
          <w:szCs w:val="24"/>
        </w:rPr>
      </w:pPr>
      <w:r w:rsidRPr="00294BBF">
        <w:rPr>
          <w:rFonts w:eastAsiaTheme="minorHAnsi"/>
          <w:b/>
          <w:color w:val="000000" w:themeColor="text1"/>
          <w:lang w:val="en-US" w:eastAsia="en-US" w:bidi="ar-SA"/>
        </w:rPr>
        <w:fldChar w:fldCharType="begin" w:fldLock="1"/>
      </w:r>
      <w:r w:rsidRPr="00294BBF">
        <w:rPr>
          <w:rFonts w:eastAsiaTheme="minorHAnsi"/>
          <w:b/>
          <w:color w:val="000000" w:themeColor="text1"/>
          <w:lang w:val="en-US" w:eastAsia="en-US" w:bidi="ar-SA"/>
        </w:rPr>
        <w:instrText xml:space="preserve">ADDIN Mendeley Bibliography CSL_BIBLIOGRAPHY </w:instrText>
      </w:r>
      <w:r w:rsidRPr="00294BBF">
        <w:rPr>
          <w:rFonts w:eastAsiaTheme="minorHAnsi"/>
          <w:b/>
          <w:color w:val="000000" w:themeColor="text1"/>
          <w:lang w:val="en-US" w:eastAsia="en-US" w:bidi="ar-SA"/>
        </w:rPr>
        <w:fldChar w:fldCharType="separate"/>
      </w:r>
      <w:r w:rsidR="002A3B1D" w:rsidRPr="002A3B1D">
        <w:rPr>
          <w:rFonts w:cs="Times New Roman"/>
          <w:noProof/>
          <w:szCs w:val="24"/>
        </w:rPr>
        <w:t>Ådlandsvik, B., Coombs, S. H., Sundby, S. and Temple, G. (2001). Buoyancy and vertical distribution of eggs and larvae of blue whiting (</w:t>
      </w:r>
      <w:r w:rsidR="002A3B1D" w:rsidRPr="002A3B1D">
        <w:rPr>
          <w:rFonts w:cs="Times New Roman"/>
          <w:i/>
          <w:iCs/>
          <w:noProof/>
          <w:szCs w:val="24"/>
        </w:rPr>
        <w:t>Micromesistius poutassou</w:t>
      </w:r>
      <w:r w:rsidR="002A3B1D" w:rsidRPr="002A3B1D">
        <w:rPr>
          <w:rFonts w:cs="Times New Roman"/>
          <w:noProof/>
          <w:szCs w:val="24"/>
        </w:rPr>
        <w:t xml:space="preserve">): observations and modelling. </w:t>
      </w:r>
      <w:r w:rsidR="002A3B1D" w:rsidRPr="002A3B1D">
        <w:rPr>
          <w:rFonts w:cs="Times New Roman"/>
          <w:i/>
          <w:iCs/>
          <w:noProof/>
          <w:szCs w:val="24"/>
        </w:rPr>
        <w:t>Fisheries Research</w:t>
      </w:r>
      <w:r w:rsidR="002A3B1D" w:rsidRPr="002A3B1D">
        <w:rPr>
          <w:rFonts w:cs="Times New Roman"/>
          <w:noProof/>
          <w:szCs w:val="24"/>
        </w:rPr>
        <w:t xml:space="preserve">  50</w:t>
      </w:r>
      <w:r w:rsidR="002A3B1D" w:rsidRPr="002A3B1D">
        <w:rPr>
          <w:rFonts w:cs="Times New Roman"/>
          <w:b/>
          <w:bCs/>
          <w:noProof/>
          <w:szCs w:val="24"/>
        </w:rPr>
        <w:t xml:space="preserve">, </w:t>
      </w:r>
      <w:r w:rsidR="002A3B1D" w:rsidRPr="002A3B1D">
        <w:rPr>
          <w:rFonts w:cs="Times New Roman"/>
          <w:noProof/>
          <w:szCs w:val="24"/>
        </w:rPr>
        <w:t>59–72. doi:10.1016/S0165-7836(00)00242-3</w:t>
      </w:r>
    </w:p>
    <w:p w14:paraId="7C83AE1C"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Allouche, O., Tsoar, A. and Kadmon, R. (2006). Assessing the accuracy of species distribution models: Prevalence, kappa and the true skill statistic (TSS). </w:t>
      </w:r>
      <w:r w:rsidRPr="002A3B1D">
        <w:rPr>
          <w:rFonts w:cs="Times New Roman"/>
          <w:i/>
          <w:iCs/>
          <w:noProof/>
          <w:szCs w:val="24"/>
        </w:rPr>
        <w:t>Journal of Applied Ecology</w:t>
      </w:r>
      <w:r w:rsidRPr="002A3B1D">
        <w:rPr>
          <w:rFonts w:cs="Times New Roman"/>
          <w:noProof/>
          <w:szCs w:val="24"/>
        </w:rPr>
        <w:t xml:space="preserve">  43</w:t>
      </w:r>
      <w:r w:rsidRPr="002A3B1D">
        <w:rPr>
          <w:rFonts w:cs="Times New Roman"/>
          <w:b/>
          <w:bCs/>
          <w:noProof/>
          <w:szCs w:val="24"/>
        </w:rPr>
        <w:t xml:space="preserve">, </w:t>
      </w:r>
      <w:r w:rsidRPr="002A3B1D">
        <w:rPr>
          <w:rFonts w:cs="Times New Roman"/>
          <w:noProof/>
          <w:szCs w:val="24"/>
        </w:rPr>
        <w:t>1223–1232. doi:10.1111/j.1365-2664.2006.01214.x</w:t>
      </w:r>
    </w:p>
    <w:p w14:paraId="62BB58DD"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Amante, C. and Eakins, B. W. (2009). </w:t>
      </w:r>
      <w:r w:rsidRPr="002A3B1D">
        <w:rPr>
          <w:rFonts w:cs="Times New Roman"/>
          <w:i/>
          <w:iCs/>
          <w:noProof/>
          <w:szCs w:val="24"/>
        </w:rPr>
        <w:t>ETOPO1 1 Arc-Minute Global Relief Model: Procedures, Data Sources and Analysis. NOAA Technical Memorandum NESDIS NGDC 24</w:t>
      </w:r>
      <w:r w:rsidRPr="002A3B1D">
        <w:rPr>
          <w:rFonts w:cs="Times New Roman"/>
          <w:noProof/>
          <w:szCs w:val="24"/>
        </w:rPr>
        <w:t xml:space="preserve">. </w:t>
      </w:r>
    </w:p>
    <w:p w14:paraId="484CF751"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Anderson, D. R. (2008). </w:t>
      </w:r>
      <w:r w:rsidRPr="002A3B1D">
        <w:rPr>
          <w:rFonts w:cs="Times New Roman"/>
          <w:i/>
          <w:iCs/>
          <w:noProof/>
          <w:szCs w:val="24"/>
        </w:rPr>
        <w:t>Model based inference in the life sciences: A primer on evidence</w:t>
      </w:r>
      <w:r w:rsidRPr="002A3B1D">
        <w:rPr>
          <w:rFonts w:cs="Times New Roman"/>
          <w:noProof/>
          <w:szCs w:val="24"/>
        </w:rPr>
        <w:t>. New York: Springer Science &amp; Business Media.</w:t>
      </w:r>
    </w:p>
    <w:p w14:paraId="4BB8C0E2"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Araújo, M. B. and Guisan, A. (2006). Five (or so) challenges for species distribution modelling. </w:t>
      </w:r>
      <w:r w:rsidRPr="002A3B1D">
        <w:rPr>
          <w:rFonts w:cs="Times New Roman"/>
          <w:i/>
          <w:iCs/>
          <w:noProof/>
          <w:szCs w:val="24"/>
        </w:rPr>
        <w:t>Journal of Biogeography</w:t>
      </w:r>
      <w:r w:rsidRPr="002A3B1D">
        <w:rPr>
          <w:rFonts w:cs="Times New Roman"/>
          <w:noProof/>
          <w:szCs w:val="24"/>
        </w:rPr>
        <w:t xml:space="preserve">  33</w:t>
      </w:r>
      <w:r w:rsidRPr="002A3B1D">
        <w:rPr>
          <w:rFonts w:cs="Times New Roman"/>
          <w:b/>
          <w:bCs/>
          <w:noProof/>
          <w:szCs w:val="24"/>
        </w:rPr>
        <w:t xml:space="preserve">, </w:t>
      </w:r>
      <w:r w:rsidRPr="002A3B1D">
        <w:rPr>
          <w:rFonts w:cs="Times New Roman"/>
          <w:noProof/>
          <w:szCs w:val="24"/>
        </w:rPr>
        <w:t>1677–1688. doi:10.1111/j.1365-2699.2006.01584.x</w:t>
      </w:r>
    </w:p>
    <w:p w14:paraId="09CC6B82"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Araújo, M. B. and Peterson, A. T. (2012). Uses and misuses of bioclimatic envelope modeling. </w:t>
      </w:r>
      <w:r w:rsidRPr="002A3B1D">
        <w:rPr>
          <w:rFonts w:cs="Times New Roman"/>
          <w:i/>
          <w:iCs/>
          <w:noProof/>
          <w:szCs w:val="24"/>
        </w:rPr>
        <w:t>Ecology</w:t>
      </w:r>
      <w:r w:rsidRPr="002A3B1D">
        <w:rPr>
          <w:rFonts w:cs="Times New Roman"/>
          <w:noProof/>
          <w:szCs w:val="24"/>
        </w:rPr>
        <w:t xml:space="preserve">  93</w:t>
      </w:r>
      <w:r w:rsidRPr="002A3B1D">
        <w:rPr>
          <w:rFonts w:cs="Times New Roman"/>
          <w:b/>
          <w:bCs/>
          <w:noProof/>
          <w:szCs w:val="24"/>
        </w:rPr>
        <w:t xml:space="preserve">, </w:t>
      </w:r>
      <w:r w:rsidRPr="002A3B1D">
        <w:rPr>
          <w:rFonts w:cs="Times New Roman"/>
          <w:noProof/>
          <w:szCs w:val="24"/>
        </w:rPr>
        <w:t>1527–1539. doi:10.1890/11-1930.1</w:t>
      </w:r>
    </w:p>
    <w:p w14:paraId="0244FFB2"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Augustin, N. H., Sauleau, E. A. and Wood, S. N. (2012). On quantile quantile plots for generalized linear models. </w:t>
      </w:r>
      <w:r w:rsidRPr="002A3B1D">
        <w:rPr>
          <w:rFonts w:cs="Times New Roman"/>
          <w:i/>
          <w:iCs/>
          <w:noProof/>
          <w:szCs w:val="24"/>
        </w:rPr>
        <w:t>Computational Statistics and Data Analysis</w:t>
      </w:r>
      <w:r w:rsidRPr="002A3B1D">
        <w:rPr>
          <w:rFonts w:cs="Times New Roman"/>
          <w:noProof/>
          <w:szCs w:val="24"/>
        </w:rPr>
        <w:t xml:space="preserve">  56</w:t>
      </w:r>
      <w:r w:rsidRPr="002A3B1D">
        <w:rPr>
          <w:rFonts w:cs="Times New Roman"/>
          <w:b/>
          <w:bCs/>
          <w:noProof/>
          <w:szCs w:val="24"/>
        </w:rPr>
        <w:t xml:space="preserve">, </w:t>
      </w:r>
      <w:r w:rsidRPr="002A3B1D">
        <w:rPr>
          <w:rFonts w:cs="Times New Roman"/>
          <w:noProof/>
          <w:szCs w:val="24"/>
        </w:rPr>
        <w:t>2404–2409. doi:10.1016/j.csda.2012.01.026</w:t>
      </w:r>
    </w:p>
    <w:p w14:paraId="2C11FC3F"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Bailey, M. C. and Heath, M. R. (2001). Spatial variability in the growth rate of blue whiting (</w:t>
      </w:r>
      <w:r w:rsidRPr="002A3B1D">
        <w:rPr>
          <w:rFonts w:cs="Times New Roman"/>
          <w:i/>
          <w:iCs/>
          <w:noProof/>
          <w:szCs w:val="24"/>
        </w:rPr>
        <w:t>Micromesistius poutassou</w:t>
      </w:r>
      <w:r w:rsidRPr="002A3B1D">
        <w:rPr>
          <w:rFonts w:cs="Times New Roman"/>
          <w:noProof/>
          <w:szCs w:val="24"/>
        </w:rPr>
        <w:t xml:space="preserve">) larvae at the shelf edge west of the UK. </w:t>
      </w:r>
      <w:r w:rsidRPr="002A3B1D">
        <w:rPr>
          <w:rFonts w:cs="Times New Roman"/>
          <w:i/>
          <w:iCs/>
          <w:noProof/>
          <w:szCs w:val="24"/>
        </w:rPr>
        <w:t>Fisheries Research</w:t>
      </w:r>
      <w:r w:rsidRPr="002A3B1D">
        <w:rPr>
          <w:rFonts w:cs="Times New Roman"/>
          <w:noProof/>
          <w:szCs w:val="24"/>
        </w:rPr>
        <w:t xml:space="preserve">  50</w:t>
      </w:r>
      <w:r w:rsidRPr="002A3B1D">
        <w:rPr>
          <w:rFonts w:cs="Times New Roman"/>
          <w:b/>
          <w:bCs/>
          <w:noProof/>
          <w:szCs w:val="24"/>
        </w:rPr>
        <w:t xml:space="preserve">, </w:t>
      </w:r>
      <w:r w:rsidRPr="002A3B1D">
        <w:rPr>
          <w:rFonts w:cs="Times New Roman"/>
          <w:noProof/>
          <w:szCs w:val="24"/>
        </w:rPr>
        <w:t>73–87. doi:10.1016/S0165-7836(00)00243-5</w:t>
      </w:r>
    </w:p>
    <w:p w14:paraId="4906D9A6"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Bailey, R. S. (1970). Blue Whiting Stocks in the North-East Atlantic. </w:t>
      </w:r>
      <w:r w:rsidRPr="002A3B1D">
        <w:rPr>
          <w:rFonts w:cs="Times New Roman"/>
          <w:i/>
          <w:iCs/>
          <w:noProof/>
          <w:szCs w:val="24"/>
        </w:rPr>
        <w:t>Scottish Fisheries Bulletin</w:t>
      </w:r>
      <w:r w:rsidRPr="002A3B1D">
        <w:rPr>
          <w:rFonts w:cs="Times New Roman"/>
          <w:noProof/>
          <w:szCs w:val="24"/>
        </w:rPr>
        <w:t xml:space="preserve">  33</w:t>
      </w:r>
      <w:r w:rsidRPr="002A3B1D">
        <w:rPr>
          <w:rFonts w:cs="Times New Roman"/>
          <w:b/>
          <w:bCs/>
          <w:noProof/>
          <w:szCs w:val="24"/>
        </w:rPr>
        <w:t xml:space="preserve">, </w:t>
      </w:r>
      <w:r w:rsidRPr="002A3B1D">
        <w:rPr>
          <w:rFonts w:cs="Times New Roman"/>
          <w:noProof/>
          <w:szCs w:val="24"/>
        </w:rPr>
        <w:t>4–8.</w:t>
      </w:r>
    </w:p>
    <w:p w14:paraId="26D8A134"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Bailey, R. S. (1982). The population biology of blue whiting in the North Atlantic. </w:t>
      </w:r>
      <w:r w:rsidRPr="002A3B1D">
        <w:rPr>
          <w:rFonts w:cs="Times New Roman"/>
          <w:i/>
          <w:iCs/>
          <w:noProof/>
          <w:szCs w:val="24"/>
        </w:rPr>
        <w:t>Advances in Marine Biology</w:t>
      </w:r>
      <w:r w:rsidRPr="002A3B1D">
        <w:rPr>
          <w:rFonts w:cs="Times New Roman"/>
          <w:noProof/>
          <w:szCs w:val="24"/>
        </w:rPr>
        <w:t xml:space="preserve">  19</w:t>
      </w:r>
      <w:r w:rsidRPr="002A3B1D">
        <w:rPr>
          <w:rFonts w:cs="Times New Roman"/>
          <w:b/>
          <w:bCs/>
          <w:noProof/>
          <w:szCs w:val="24"/>
        </w:rPr>
        <w:t xml:space="preserve">, </w:t>
      </w:r>
      <w:r w:rsidRPr="002A3B1D">
        <w:rPr>
          <w:rFonts w:cs="Times New Roman"/>
          <w:noProof/>
          <w:szCs w:val="24"/>
        </w:rPr>
        <w:t>257–355.</w:t>
      </w:r>
    </w:p>
    <w:p w14:paraId="5FAD10F2" w14:textId="77777777" w:rsidR="002A3B1D" w:rsidRPr="00957FB1" w:rsidRDefault="002A3B1D" w:rsidP="002A3B1D">
      <w:pPr>
        <w:widowControl w:val="0"/>
        <w:autoSpaceDE w:val="0"/>
        <w:autoSpaceDN w:val="0"/>
        <w:adjustRightInd w:val="0"/>
        <w:spacing w:line="240" w:lineRule="auto"/>
        <w:ind w:left="480" w:hanging="480"/>
        <w:rPr>
          <w:rFonts w:cs="Times New Roman"/>
          <w:noProof/>
          <w:szCs w:val="24"/>
          <w:lang w:val="en-US"/>
        </w:rPr>
      </w:pPr>
      <w:r w:rsidRPr="002A3B1D">
        <w:rPr>
          <w:rFonts w:cs="Times New Roman"/>
          <w:noProof/>
          <w:szCs w:val="24"/>
        </w:rPr>
        <w:t xml:space="preserve">Bainbridge, V. and Cooper, G. (1973). The distribution and abundance of the larvae of the blue whiting, Micromestistius poutassou (Risso), in the north-east Atlantic, </w:t>
      </w:r>
      <w:r w:rsidRPr="002A3B1D">
        <w:rPr>
          <w:rFonts w:cs="Times New Roman"/>
          <w:noProof/>
          <w:szCs w:val="24"/>
        </w:rPr>
        <w:lastRenderedPageBreak/>
        <w:t xml:space="preserve">1948-1970. </w:t>
      </w:r>
      <w:r w:rsidRPr="00957FB1">
        <w:rPr>
          <w:rFonts w:cs="Times New Roman"/>
          <w:i/>
          <w:iCs/>
          <w:noProof/>
          <w:szCs w:val="24"/>
          <w:lang w:val="en-US"/>
        </w:rPr>
        <w:t>Bull. Mar. Ecol.</w:t>
      </w:r>
      <w:r w:rsidRPr="00957FB1">
        <w:rPr>
          <w:rFonts w:cs="Times New Roman"/>
          <w:noProof/>
          <w:szCs w:val="24"/>
          <w:lang w:val="en-US"/>
        </w:rPr>
        <w:t xml:space="preserve">  8</w:t>
      </w:r>
      <w:r w:rsidRPr="00957FB1">
        <w:rPr>
          <w:rFonts w:cs="Times New Roman"/>
          <w:b/>
          <w:bCs/>
          <w:noProof/>
          <w:szCs w:val="24"/>
          <w:lang w:val="en-US"/>
        </w:rPr>
        <w:t xml:space="preserve">, </w:t>
      </w:r>
      <w:r w:rsidRPr="00957FB1">
        <w:rPr>
          <w:rFonts w:cs="Times New Roman"/>
          <w:noProof/>
          <w:szCs w:val="24"/>
          <w:lang w:val="en-US"/>
        </w:rPr>
        <w:t>99–114.</w:t>
      </w:r>
    </w:p>
    <w:p w14:paraId="0D6FF194" w14:textId="35E1AAAA"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957FB1">
        <w:rPr>
          <w:rFonts w:cs="Times New Roman"/>
          <w:noProof/>
          <w:szCs w:val="24"/>
          <w:lang w:val="en-US"/>
        </w:rPr>
        <w:t xml:space="preserve">Batten, S. D., Clarke, R., Flinkman, J., Hays, G., </w:t>
      </w:r>
      <w:r w:rsidR="006773E4" w:rsidRPr="00957FB1">
        <w:rPr>
          <w:rFonts w:cs="Times New Roman"/>
          <w:i/>
          <w:noProof/>
          <w:szCs w:val="24"/>
          <w:lang w:val="en-US"/>
        </w:rPr>
        <w:t>et al.</w:t>
      </w:r>
      <w:r w:rsidRPr="00957FB1">
        <w:rPr>
          <w:rFonts w:cs="Times New Roman"/>
          <w:noProof/>
          <w:szCs w:val="24"/>
          <w:lang w:val="en-US"/>
        </w:rPr>
        <w:t xml:space="preserve"> </w:t>
      </w:r>
      <w:r w:rsidRPr="002A3B1D">
        <w:rPr>
          <w:rFonts w:cs="Times New Roman"/>
          <w:noProof/>
          <w:szCs w:val="24"/>
        </w:rPr>
        <w:t xml:space="preserve">(2003). CPR sampling: the technical background, materials and methods, and issues of consistency and comparability. </w:t>
      </w:r>
      <w:r w:rsidRPr="002A3B1D">
        <w:rPr>
          <w:rFonts w:cs="Times New Roman"/>
          <w:i/>
          <w:iCs/>
          <w:noProof/>
          <w:szCs w:val="24"/>
        </w:rPr>
        <w:t>Progress in Oceanography</w:t>
      </w:r>
      <w:r w:rsidRPr="002A3B1D">
        <w:rPr>
          <w:rFonts w:cs="Times New Roman"/>
          <w:noProof/>
          <w:szCs w:val="24"/>
        </w:rPr>
        <w:t xml:space="preserve">  58</w:t>
      </w:r>
      <w:r w:rsidRPr="002A3B1D">
        <w:rPr>
          <w:rFonts w:cs="Times New Roman"/>
          <w:b/>
          <w:bCs/>
          <w:noProof/>
          <w:szCs w:val="24"/>
        </w:rPr>
        <w:t xml:space="preserve">, </w:t>
      </w:r>
      <w:r w:rsidRPr="002A3B1D">
        <w:rPr>
          <w:rFonts w:cs="Times New Roman"/>
          <w:noProof/>
          <w:szCs w:val="24"/>
        </w:rPr>
        <w:t>193–215. doi:10.1016/j.pocean.2003.08.004</w:t>
      </w:r>
    </w:p>
    <w:p w14:paraId="1A937031" w14:textId="1D1786DB"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Bivand, R. S. and Lewin-Koh, N. (2015). maptools: Tools for Reading and Handling Spatial Objects.</w:t>
      </w:r>
      <w:r w:rsidR="00C82141" w:rsidRPr="00C82141">
        <w:t xml:space="preserve"> </w:t>
      </w:r>
      <w:r w:rsidR="00C82141" w:rsidRPr="00C82141">
        <w:rPr>
          <w:rFonts w:cs="Times New Roman"/>
          <w:noProof/>
          <w:szCs w:val="24"/>
        </w:rPr>
        <w:t>URL: CRAN.R-project.org/package=maptools</w:t>
      </w:r>
    </w:p>
    <w:p w14:paraId="2543CED6"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Burnham, K. P., Anderson, D. R. and Huyvaert, K. P. (2011). AIC model selection and multimodel inference in behavioral ecology: Some background, observations, and comparisons. </w:t>
      </w:r>
      <w:r w:rsidRPr="002A3B1D">
        <w:rPr>
          <w:rFonts w:cs="Times New Roman"/>
          <w:i/>
          <w:iCs/>
          <w:noProof/>
          <w:szCs w:val="24"/>
        </w:rPr>
        <w:t>Behavioral Ecology and Sociobiology</w:t>
      </w:r>
      <w:r w:rsidRPr="002A3B1D">
        <w:rPr>
          <w:rFonts w:cs="Times New Roman"/>
          <w:noProof/>
          <w:szCs w:val="24"/>
        </w:rPr>
        <w:t xml:space="preserve">  65</w:t>
      </w:r>
      <w:r w:rsidRPr="002A3B1D">
        <w:rPr>
          <w:rFonts w:cs="Times New Roman"/>
          <w:b/>
          <w:bCs/>
          <w:noProof/>
          <w:szCs w:val="24"/>
        </w:rPr>
        <w:t xml:space="preserve">, </w:t>
      </w:r>
      <w:r w:rsidRPr="002A3B1D">
        <w:rPr>
          <w:rFonts w:cs="Times New Roman"/>
          <w:noProof/>
          <w:szCs w:val="24"/>
        </w:rPr>
        <w:t>23–35. doi:10.1007/s00265-010-1029-6</w:t>
      </w:r>
    </w:p>
    <w:p w14:paraId="3562A2B6"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Colwell, R. K., Rangel, T. F., Grinnell, J. and Elton, C. (2009). Hutchinson’s duality : The once and future niche. </w:t>
      </w:r>
      <w:r w:rsidRPr="002A3B1D">
        <w:rPr>
          <w:rFonts w:cs="Times New Roman"/>
          <w:i/>
          <w:iCs/>
          <w:noProof/>
          <w:szCs w:val="24"/>
        </w:rPr>
        <w:t>Proceedings of the National Academy of Sciences</w:t>
      </w:r>
      <w:r w:rsidRPr="002A3B1D">
        <w:rPr>
          <w:rFonts w:cs="Times New Roman"/>
          <w:noProof/>
          <w:szCs w:val="24"/>
        </w:rPr>
        <w:t xml:space="preserve">  106</w:t>
      </w:r>
      <w:r w:rsidRPr="002A3B1D">
        <w:rPr>
          <w:rFonts w:cs="Times New Roman"/>
          <w:b/>
          <w:bCs/>
          <w:noProof/>
          <w:szCs w:val="24"/>
        </w:rPr>
        <w:t xml:space="preserve">, </w:t>
      </w:r>
      <w:r w:rsidRPr="002A3B1D">
        <w:rPr>
          <w:rFonts w:cs="Times New Roman"/>
          <w:noProof/>
          <w:szCs w:val="24"/>
        </w:rPr>
        <w:t>1–8.</w:t>
      </w:r>
    </w:p>
    <w:p w14:paraId="2408F816"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Coombs, S. H., Pipe, R. K. and Mitchell, C. E. (1981). The Vertical Distribution of Eggs and Larvae of Blue Whiting (</w:t>
      </w:r>
      <w:r w:rsidRPr="002A3B1D">
        <w:rPr>
          <w:rFonts w:cs="Times New Roman"/>
          <w:i/>
          <w:iCs/>
          <w:noProof/>
          <w:szCs w:val="24"/>
        </w:rPr>
        <w:t>Micromesistius poutassou</w:t>
      </w:r>
      <w:r w:rsidRPr="002A3B1D">
        <w:rPr>
          <w:rFonts w:cs="Times New Roman"/>
          <w:noProof/>
          <w:szCs w:val="24"/>
        </w:rPr>
        <w:t>) and Mackerel (</w:t>
      </w:r>
      <w:r w:rsidRPr="002A3B1D">
        <w:rPr>
          <w:rFonts w:cs="Times New Roman"/>
          <w:i/>
          <w:iCs/>
          <w:noProof/>
          <w:szCs w:val="24"/>
        </w:rPr>
        <w:t>Scomber Scombrus</w:t>
      </w:r>
      <w:r w:rsidRPr="002A3B1D">
        <w:rPr>
          <w:rFonts w:cs="Times New Roman"/>
          <w:noProof/>
          <w:szCs w:val="24"/>
        </w:rPr>
        <w:t xml:space="preserve">) in the Eastern North Atlantic and North Sea. </w:t>
      </w:r>
      <w:r w:rsidRPr="002A3B1D">
        <w:rPr>
          <w:rFonts w:cs="Times New Roman"/>
          <w:i/>
          <w:iCs/>
          <w:noProof/>
          <w:szCs w:val="24"/>
        </w:rPr>
        <w:t>Rapports et Procès- Verbeaux des Réunions. Conseil International pour l’Exploration de la Mer</w:t>
      </w:r>
      <w:r w:rsidRPr="002A3B1D">
        <w:rPr>
          <w:rFonts w:cs="Times New Roman"/>
          <w:noProof/>
          <w:szCs w:val="24"/>
        </w:rPr>
        <w:t xml:space="preserve">  178</w:t>
      </w:r>
      <w:r w:rsidRPr="002A3B1D">
        <w:rPr>
          <w:rFonts w:cs="Times New Roman"/>
          <w:b/>
          <w:bCs/>
          <w:noProof/>
          <w:szCs w:val="24"/>
        </w:rPr>
        <w:t xml:space="preserve">, </w:t>
      </w:r>
      <w:r w:rsidRPr="002A3B1D">
        <w:rPr>
          <w:rFonts w:cs="Times New Roman"/>
          <w:noProof/>
          <w:szCs w:val="24"/>
        </w:rPr>
        <w:t>188–195.</w:t>
      </w:r>
    </w:p>
    <w:p w14:paraId="072220EA"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Elith, J. and Leathwick, J. R. (2009). Species Distribution Models: Ecological Explanation and Prediction Across Space and Time. </w:t>
      </w:r>
      <w:r w:rsidRPr="002A3B1D">
        <w:rPr>
          <w:rFonts w:cs="Times New Roman"/>
          <w:i/>
          <w:iCs/>
          <w:noProof/>
          <w:szCs w:val="24"/>
        </w:rPr>
        <w:t>Annu Rev Ecol Syst</w:t>
      </w:r>
      <w:r w:rsidRPr="002A3B1D">
        <w:rPr>
          <w:rFonts w:cs="Times New Roman"/>
          <w:noProof/>
          <w:szCs w:val="24"/>
        </w:rPr>
        <w:t xml:space="preserve">  40</w:t>
      </w:r>
      <w:r w:rsidRPr="002A3B1D">
        <w:rPr>
          <w:rFonts w:cs="Times New Roman"/>
          <w:b/>
          <w:bCs/>
          <w:noProof/>
          <w:szCs w:val="24"/>
        </w:rPr>
        <w:t xml:space="preserve">, </w:t>
      </w:r>
      <w:r w:rsidRPr="002A3B1D">
        <w:rPr>
          <w:rFonts w:cs="Times New Roman"/>
          <w:noProof/>
          <w:szCs w:val="24"/>
        </w:rPr>
        <w:t>415–436. doi:10.1146/annurev.ecolsys.l</w:t>
      </w:r>
    </w:p>
    <w:p w14:paraId="435557F8"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Freeman, E. A. and Moisen, G. G. (2008). A comparison of the performance of threshold criteria for binary classification in terms of predicted prevalence and kappa. </w:t>
      </w:r>
      <w:r w:rsidRPr="002A3B1D">
        <w:rPr>
          <w:rFonts w:cs="Times New Roman"/>
          <w:i/>
          <w:iCs/>
          <w:noProof/>
          <w:szCs w:val="24"/>
        </w:rPr>
        <w:t>Ecological Modelling</w:t>
      </w:r>
      <w:r w:rsidRPr="002A3B1D">
        <w:rPr>
          <w:rFonts w:cs="Times New Roman"/>
          <w:noProof/>
          <w:szCs w:val="24"/>
        </w:rPr>
        <w:t xml:space="preserve">  217</w:t>
      </w:r>
      <w:r w:rsidRPr="002A3B1D">
        <w:rPr>
          <w:rFonts w:cs="Times New Roman"/>
          <w:b/>
          <w:bCs/>
          <w:noProof/>
          <w:szCs w:val="24"/>
        </w:rPr>
        <w:t xml:space="preserve">, </w:t>
      </w:r>
      <w:r w:rsidRPr="002A3B1D">
        <w:rPr>
          <w:rFonts w:cs="Times New Roman"/>
          <w:noProof/>
          <w:szCs w:val="24"/>
        </w:rPr>
        <w:t>48–58. doi:10.1016/j.ecolmodel.2008.05.015</w:t>
      </w:r>
    </w:p>
    <w:p w14:paraId="3C1CB051"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Good, S. A., Martin, M. J. and Rayner, N. A. (2013). EN4: Quality controlled ocean temperature and salinity profiles and monthly objective analyses with uncertainty estimates. </w:t>
      </w:r>
      <w:r w:rsidRPr="002A3B1D">
        <w:rPr>
          <w:rFonts w:cs="Times New Roman"/>
          <w:i/>
          <w:iCs/>
          <w:noProof/>
          <w:szCs w:val="24"/>
        </w:rPr>
        <w:t>Journal of Geophysical Research: Oceans</w:t>
      </w:r>
      <w:r w:rsidRPr="002A3B1D">
        <w:rPr>
          <w:rFonts w:cs="Times New Roman"/>
          <w:noProof/>
          <w:szCs w:val="24"/>
        </w:rPr>
        <w:t xml:space="preserve">  118</w:t>
      </w:r>
      <w:r w:rsidRPr="002A3B1D">
        <w:rPr>
          <w:rFonts w:cs="Times New Roman"/>
          <w:b/>
          <w:bCs/>
          <w:noProof/>
          <w:szCs w:val="24"/>
        </w:rPr>
        <w:t xml:space="preserve">, </w:t>
      </w:r>
      <w:r w:rsidRPr="002A3B1D">
        <w:rPr>
          <w:rFonts w:cs="Times New Roman"/>
          <w:noProof/>
          <w:szCs w:val="24"/>
        </w:rPr>
        <w:t>6704–6716. doi:10.1002/2013JC009067</w:t>
      </w:r>
    </w:p>
    <w:p w14:paraId="33A4EA7E"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Guisan, A. and Zimmermann, N. E. (2000). Predictive habitat distribution models in ecology. </w:t>
      </w:r>
      <w:r w:rsidRPr="002A3B1D">
        <w:rPr>
          <w:rFonts w:cs="Times New Roman"/>
          <w:i/>
          <w:iCs/>
          <w:noProof/>
          <w:szCs w:val="24"/>
        </w:rPr>
        <w:t>Ecological Modelling</w:t>
      </w:r>
      <w:r w:rsidRPr="002A3B1D">
        <w:rPr>
          <w:rFonts w:cs="Times New Roman"/>
          <w:noProof/>
          <w:szCs w:val="24"/>
        </w:rPr>
        <w:t xml:space="preserve">  135</w:t>
      </w:r>
      <w:r w:rsidRPr="002A3B1D">
        <w:rPr>
          <w:rFonts w:cs="Times New Roman"/>
          <w:b/>
          <w:bCs/>
          <w:noProof/>
          <w:szCs w:val="24"/>
        </w:rPr>
        <w:t xml:space="preserve">, </w:t>
      </w:r>
      <w:r w:rsidRPr="002A3B1D">
        <w:rPr>
          <w:rFonts w:cs="Times New Roman"/>
          <w:noProof/>
          <w:szCs w:val="24"/>
        </w:rPr>
        <w:t>147–186. doi:10.1016/S0304-3800(00)00354-9</w:t>
      </w:r>
    </w:p>
    <w:p w14:paraId="58C4C029" w14:textId="37C55BC3"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Hátún, H., Payne, M. R., Beaugrand, G., Reid, P. C., </w:t>
      </w:r>
      <w:r w:rsidR="006773E4" w:rsidRPr="006773E4">
        <w:rPr>
          <w:rFonts w:cs="Times New Roman"/>
          <w:i/>
          <w:noProof/>
          <w:szCs w:val="24"/>
        </w:rPr>
        <w:t>et al.</w:t>
      </w:r>
      <w:r w:rsidRPr="002A3B1D">
        <w:rPr>
          <w:rFonts w:cs="Times New Roman"/>
          <w:noProof/>
          <w:szCs w:val="24"/>
        </w:rPr>
        <w:t xml:space="preserve"> (2009</w:t>
      </w:r>
      <w:r w:rsidR="00C82141">
        <w:rPr>
          <w:rFonts w:cs="Times New Roman"/>
          <w:noProof/>
          <w:szCs w:val="24"/>
        </w:rPr>
        <w:t>a</w:t>
      </w:r>
      <w:r w:rsidRPr="002A3B1D">
        <w:rPr>
          <w:rFonts w:cs="Times New Roman"/>
          <w:noProof/>
          <w:szCs w:val="24"/>
        </w:rPr>
        <w:t xml:space="preserve">). Large bio-geographical shifts in the north-eastern Atlantic Ocean: From the subpolar gyre, via plankton, to blue whiting and pilot whales. </w:t>
      </w:r>
      <w:r w:rsidRPr="002A3B1D">
        <w:rPr>
          <w:rFonts w:cs="Times New Roman"/>
          <w:i/>
          <w:iCs/>
          <w:noProof/>
          <w:szCs w:val="24"/>
        </w:rPr>
        <w:t>Progress in Oceanography</w:t>
      </w:r>
      <w:r w:rsidRPr="002A3B1D">
        <w:rPr>
          <w:rFonts w:cs="Times New Roman"/>
          <w:noProof/>
          <w:szCs w:val="24"/>
        </w:rPr>
        <w:t xml:space="preserve">  80</w:t>
      </w:r>
      <w:r w:rsidRPr="002A3B1D">
        <w:rPr>
          <w:rFonts w:cs="Times New Roman"/>
          <w:b/>
          <w:bCs/>
          <w:noProof/>
          <w:szCs w:val="24"/>
        </w:rPr>
        <w:t xml:space="preserve">, </w:t>
      </w:r>
      <w:r w:rsidRPr="002A3B1D">
        <w:rPr>
          <w:rFonts w:cs="Times New Roman"/>
          <w:noProof/>
          <w:szCs w:val="24"/>
        </w:rPr>
        <w:t>149–162. doi:10.1016/j.pocean.2009.03.001</w:t>
      </w:r>
    </w:p>
    <w:p w14:paraId="0F0CBD50" w14:textId="1576595E"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Hátún, H., Payne, M. R. and Jacobsen, J. A. (2009</w:t>
      </w:r>
      <w:r w:rsidR="00C82141">
        <w:rPr>
          <w:rFonts w:cs="Times New Roman"/>
          <w:noProof/>
          <w:szCs w:val="24"/>
        </w:rPr>
        <w:t>b</w:t>
      </w:r>
      <w:r w:rsidRPr="002A3B1D">
        <w:rPr>
          <w:rFonts w:cs="Times New Roman"/>
          <w:noProof/>
          <w:szCs w:val="24"/>
        </w:rPr>
        <w:t>). The North Atlantic subpolar gyre regulates the spawning distribution of blue whiting (</w:t>
      </w:r>
      <w:r w:rsidRPr="002A3B1D">
        <w:rPr>
          <w:rFonts w:cs="Times New Roman"/>
          <w:i/>
          <w:iCs/>
          <w:noProof/>
          <w:szCs w:val="24"/>
        </w:rPr>
        <w:t>Micromesistius poutassou</w:t>
      </w:r>
      <w:r w:rsidRPr="002A3B1D">
        <w:rPr>
          <w:rFonts w:cs="Times New Roman"/>
          <w:noProof/>
          <w:szCs w:val="24"/>
        </w:rPr>
        <w:t xml:space="preserve">). </w:t>
      </w:r>
      <w:r w:rsidRPr="002A3B1D">
        <w:rPr>
          <w:rFonts w:cs="Times New Roman"/>
          <w:i/>
          <w:iCs/>
          <w:noProof/>
          <w:szCs w:val="24"/>
        </w:rPr>
        <w:t>Canadian Journal of Fisheries and Aquatic Sciences</w:t>
      </w:r>
      <w:r w:rsidRPr="002A3B1D">
        <w:rPr>
          <w:rFonts w:cs="Times New Roman"/>
          <w:noProof/>
          <w:szCs w:val="24"/>
        </w:rPr>
        <w:t xml:space="preserve">  66</w:t>
      </w:r>
      <w:r w:rsidRPr="002A3B1D">
        <w:rPr>
          <w:rFonts w:cs="Times New Roman"/>
          <w:b/>
          <w:bCs/>
          <w:noProof/>
          <w:szCs w:val="24"/>
        </w:rPr>
        <w:t xml:space="preserve">, </w:t>
      </w:r>
      <w:r w:rsidRPr="002A3B1D">
        <w:rPr>
          <w:rFonts w:cs="Times New Roman"/>
          <w:noProof/>
          <w:szCs w:val="24"/>
        </w:rPr>
        <w:t xml:space="preserve">759–770. </w:t>
      </w:r>
      <w:r w:rsidRPr="002A3B1D">
        <w:rPr>
          <w:rFonts w:cs="Times New Roman"/>
          <w:noProof/>
          <w:szCs w:val="24"/>
        </w:rPr>
        <w:lastRenderedPageBreak/>
        <w:t>doi:10.1139/F09-037</w:t>
      </w:r>
    </w:p>
    <w:p w14:paraId="76C7666C" w14:textId="0CBFC231"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Hátún, H., Sandø, A. B., Drange, H., Hansen, B., </w:t>
      </w:r>
      <w:r w:rsidR="006773E4" w:rsidRPr="006773E4">
        <w:rPr>
          <w:rFonts w:cs="Times New Roman"/>
          <w:i/>
          <w:noProof/>
          <w:szCs w:val="24"/>
        </w:rPr>
        <w:t>et al.</w:t>
      </w:r>
      <w:r w:rsidRPr="002A3B1D">
        <w:rPr>
          <w:rFonts w:cs="Times New Roman"/>
          <w:noProof/>
          <w:szCs w:val="24"/>
        </w:rPr>
        <w:t xml:space="preserve"> (2005). Circulation Influence of the Atlantic Subpolar Gyre on the Thermohaline Circulation. </w:t>
      </w:r>
      <w:r w:rsidRPr="002A3B1D">
        <w:rPr>
          <w:rFonts w:cs="Times New Roman"/>
          <w:i/>
          <w:iCs/>
          <w:noProof/>
          <w:szCs w:val="24"/>
        </w:rPr>
        <w:t>Science</w:t>
      </w:r>
      <w:r w:rsidRPr="002A3B1D">
        <w:rPr>
          <w:rFonts w:cs="Times New Roman"/>
          <w:noProof/>
          <w:szCs w:val="24"/>
        </w:rPr>
        <w:t xml:space="preserve">  309</w:t>
      </w:r>
      <w:r w:rsidRPr="002A3B1D">
        <w:rPr>
          <w:rFonts w:cs="Times New Roman"/>
          <w:b/>
          <w:bCs/>
          <w:noProof/>
          <w:szCs w:val="24"/>
        </w:rPr>
        <w:t xml:space="preserve">, </w:t>
      </w:r>
      <w:r w:rsidRPr="002A3B1D">
        <w:rPr>
          <w:rFonts w:cs="Times New Roman"/>
          <w:noProof/>
          <w:szCs w:val="24"/>
        </w:rPr>
        <w:t>1841–1844. doi:10.1126/science.1116723</w:t>
      </w:r>
    </w:p>
    <w:p w14:paraId="5AB13E8F"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Henderson, G. T. D. (1953). Continuous Plankton Records: The young fish and eggs, 1932-39 and 1946-49. </w:t>
      </w:r>
      <w:r w:rsidRPr="002A3B1D">
        <w:rPr>
          <w:rFonts w:cs="Times New Roman"/>
          <w:i/>
          <w:iCs/>
          <w:noProof/>
          <w:szCs w:val="24"/>
        </w:rPr>
        <w:t>Hull Bulletins of Marine Ecology</w:t>
      </w:r>
      <w:r w:rsidRPr="002A3B1D">
        <w:rPr>
          <w:rFonts w:cs="Times New Roman"/>
          <w:noProof/>
          <w:szCs w:val="24"/>
        </w:rPr>
        <w:t xml:space="preserve">  3</w:t>
      </w:r>
      <w:r w:rsidRPr="002A3B1D">
        <w:rPr>
          <w:rFonts w:cs="Times New Roman"/>
          <w:b/>
          <w:bCs/>
          <w:noProof/>
          <w:szCs w:val="24"/>
        </w:rPr>
        <w:t xml:space="preserve">, </w:t>
      </w:r>
      <w:r w:rsidRPr="002A3B1D">
        <w:rPr>
          <w:rFonts w:cs="Times New Roman"/>
          <w:noProof/>
          <w:szCs w:val="24"/>
        </w:rPr>
        <w:t>215–252.</w:t>
      </w:r>
    </w:p>
    <w:p w14:paraId="5CB9E16B" w14:textId="682A323D"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Hijmans, R. J. (2016). raster: Geographic Data Analysis and Modeling.</w:t>
      </w:r>
      <w:r w:rsidR="00C82141" w:rsidRPr="00C82141">
        <w:t xml:space="preserve"> </w:t>
      </w:r>
      <w:r w:rsidR="00C82141" w:rsidRPr="00C82141">
        <w:rPr>
          <w:rFonts w:cs="Times New Roman"/>
          <w:noProof/>
          <w:szCs w:val="24"/>
        </w:rPr>
        <w:t>URL: http://cran.r-project.org/package=raster</w:t>
      </w:r>
    </w:p>
    <w:p w14:paraId="6209AE2B"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Hillgruber, N. and Kloppmann, M. (1999). Distribution and feeding of blue whiting </w:t>
      </w:r>
      <w:r w:rsidRPr="002A3B1D">
        <w:rPr>
          <w:rFonts w:cs="Times New Roman"/>
          <w:i/>
          <w:iCs/>
          <w:noProof/>
          <w:szCs w:val="24"/>
        </w:rPr>
        <w:t>Micromesistius poutassou</w:t>
      </w:r>
      <w:r w:rsidRPr="002A3B1D">
        <w:rPr>
          <w:rFonts w:cs="Times New Roman"/>
          <w:noProof/>
          <w:szCs w:val="24"/>
        </w:rPr>
        <w:t xml:space="preserve"> larvae in relation to different water masses in the Porcupine Bank area, west of Ireland. </w:t>
      </w:r>
      <w:r w:rsidRPr="002A3B1D">
        <w:rPr>
          <w:rFonts w:cs="Times New Roman"/>
          <w:i/>
          <w:iCs/>
          <w:noProof/>
          <w:szCs w:val="24"/>
        </w:rPr>
        <w:t>Marine Ecology Progress Series</w:t>
      </w:r>
      <w:r w:rsidRPr="002A3B1D">
        <w:rPr>
          <w:rFonts w:cs="Times New Roman"/>
          <w:noProof/>
          <w:szCs w:val="24"/>
        </w:rPr>
        <w:t xml:space="preserve">  187</w:t>
      </w:r>
      <w:r w:rsidRPr="002A3B1D">
        <w:rPr>
          <w:rFonts w:cs="Times New Roman"/>
          <w:b/>
          <w:bCs/>
          <w:noProof/>
          <w:szCs w:val="24"/>
        </w:rPr>
        <w:t xml:space="preserve">, </w:t>
      </w:r>
      <w:r w:rsidRPr="002A3B1D">
        <w:rPr>
          <w:rFonts w:cs="Times New Roman"/>
          <w:noProof/>
          <w:szCs w:val="24"/>
        </w:rPr>
        <w:t>213–225. doi:10.3354/meps187213</w:t>
      </w:r>
    </w:p>
    <w:p w14:paraId="286BA1D5"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Hillgruber, N. and Kloppmann, M. (2000). Vertical distribution and feeding of larval blue whiting in turbulent waters above Porcupine Bank. </w:t>
      </w:r>
      <w:r w:rsidRPr="002A3B1D">
        <w:rPr>
          <w:rFonts w:cs="Times New Roman"/>
          <w:i/>
          <w:iCs/>
          <w:noProof/>
          <w:szCs w:val="24"/>
        </w:rPr>
        <w:t>Journal of Fish Biology</w:t>
      </w:r>
      <w:r w:rsidRPr="002A3B1D">
        <w:rPr>
          <w:rFonts w:cs="Times New Roman"/>
          <w:noProof/>
          <w:szCs w:val="24"/>
        </w:rPr>
        <w:t xml:space="preserve">  57</w:t>
      </w:r>
      <w:r w:rsidRPr="002A3B1D">
        <w:rPr>
          <w:rFonts w:cs="Times New Roman"/>
          <w:b/>
          <w:bCs/>
          <w:noProof/>
          <w:szCs w:val="24"/>
        </w:rPr>
        <w:t xml:space="preserve">, </w:t>
      </w:r>
      <w:r w:rsidRPr="002A3B1D">
        <w:rPr>
          <w:rFonts w:cs="Times New Roman"/>
          <w:noProof/>
          <w:szCs w:val="24"/>
        </w:rPr>
        <w:t>1290–1311. doi:10.1111/j.1095-8649.2000.tb00488.x</w:t>
      </w:r>
    </w:p>
    <w:p w14:paraId="442C25AC"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Horn, B. K. P. (1981). Hill Shading and the Reflectance Map. </w:t>
      </w:r>
      <w:r w:rsidRPr="002A3B1D">
        <w:rPr>
          <w:rFonts w:cs="Times New Roman"/>
          <w:i/>
          <w:iCs/>
          <w:noProof/>
          <w:szCs w:val="24"/>
        </w:rPr>
        <w:t>Proceedings of the IEEE</w:t>
      </w:r>
      <w:r w:rsidRPr="002A3B1D">
        <w:rPr>
          <w:rFonts w:cs="Times New Roman"/>
          <w:noProof/>
          <w:szCs w:val="24"/>
        </w:rPr>
        <w:t xml:space="preserve">  69</w:t>
      </w:r>
      <w:r w:rsidRPr="002A3B1D">
        <w:rPr>
          <w:rFonts w:cs="Times New Roman"/>
          <w:b/>
          <w:bCs/>
          <w:noProof/>
          <w:szCs w:val="24"/>
        </w:rPr>
        <w:t xml:space="preserve">, </w:t>
      </w:r>
      <w:r w:rsidRPr="002A3B1D">
        <w:rPr>
          <w:rFonts w:cs="Times New Roman"/>
          <w:noProof/>
          <w:szCs w:val="24"/>
        </w:rPr>
        <w:t>14–47.</w:t>
      </w:r>
    </w:p>
    <w:p w14:paraId="6CAE0149"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ICES (1996). </w:t>
      </w:r>
      <w:r w:rsidRPr="002A3B1D">
        <w:rPr>
          <w:rFonts w:cs="Times New Roman"/>
          <w:i/>
          <w:iCs/>
          <w:noProof/>
          <w:szCs w:val="24"/>
        </w:rPr>
        <w:t>Report Of the Joint Norwegian-Russian Acoustic Survey on Blue Blue Whiting during Spring 1996. ICES CM H:12</w:t>
      </w:r>
      <w:r w:rsidRPr="002A3B1D">
        <w:rPr>
          <w:rFonts w:cs="Times New Roman"/>
          <w:noProof/>
          <w:szCs w:val="24"/>
        </w:rPr>
        <w:t xml:space="preserve">. </w:t>
      </w:r>
    </w:p>
    <w:p w14:paraId="6A744A7F"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ICES (2007). </w:t>
      </w:r>
      <w:r w:rsidRPr="002A3B1D">
        <w:rPr>
          <w:rFonts w:cs="Times New Roman"/>
          <w:i/>
          <w:iCs/>
          <w:noProof/>
          <w:szCs w:val="24"/>
        </w:rPr>
        <w:t>Report of the Planning Group on Northeast Atlantic Pelagic Ecosystem Surveys (PGNAPES). ICES CM 2007/RMC:07</w:t>
      </w:r>
      <w:r w:rsidRPr="002A3B1D">
        <w:rPr>
          <w:rFonts w:cs="Times New Roman"/>
          <w:noProof/>
          <w:szCs w:val="24"/>
        </w:rPr>
        <w:t xml:space="preserve">. </w:t>
      </w:r>
    </w:p>
    <w:p w14:paraId="0A5AE972"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ICES (2015). </w:t>
      </w:r>
      <w:r w:rsidRPr="002A3B1D">
        <w:rPr>
          <w:rFonts w:cs="Times New Roman"/>
          <w:i/>
          <w:iCs/>
          <w:noProof/>
          <w:szCs w:val="24"/>
        </w:rPr>
        <w:t>Report of the Working Group on Widely Distributed Stocks (WGWIDE), 25 August - 31 August 2015, Pasaia, Spain. ICES CM 2015/ACOM: 5</w:t>
      </w:r>
      <w:r w:rsidRPr="002A3B1D">
        <w:rPr>
          <w:rFonts w:cs="Times New Roman"/>
          <w:noProof/>
          <w:szCs w:val="24"/>
        </w:rPr>
        <w:t xml:space="preserve">. </w:t>
      </w:r>
    </w:p>
    <w:p w14:paraId="5CBA5ED4"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ICES (2016a). </w:t>
      </w:r>
      <w:r w:rsidRPr="002A3B1D">
        <w:rPr>
          <w:rFonts w:cs="Times New Roman"/>
          <w:i/>
          <w:iCs/>
          <w:noProof/>
          <w:szCs w:val="24"/>
        </w:rPr>
        <w:t>Report of the Working Group on Widely Distributed Stocks (WGWIDE). ICES CM 2016/ACOM:16</w:t>
      </w:r>
      <w:r w:rsidRPr="002A3B1D">
        <w:rPr>
          <w:rFonts w:cs="Times New Roman"/>
          <w:noProof/>
          <w:szCs w:val="24"/>
        </w:rPr>
        <w:t xml:space="preserve">. </w:t>
      </w:r>
    </w:p>
    <w:p w14:paraId="74D4CF7E"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ICES (2016b). </w:t>
      </w:r>
      <w:r w:rsidRPr="002A3B1D">
        <w:rPr>
          <w:rFonts w:cs="Times New Roman"/>
          <w:i/>
          <w:iCs/>
          <w:noProof/>
          <w:szCs w:val="24"/>
        </w:rPr>
        <w:t>Stock Annex for Blue Whiting (Subareas I-IX, XI I and XIV). ICES Stock Annex 2016.</w:t>
      </w:r>
      <w:r w:rsidRPr="002A3B1D">
        <w:rPr>
          <w:rFonts w:cs="Times New Roman"/>
          <w:noProof/>
          <w:szCs w:val="24"/>
        </w:rPr>
        <w:t xml:space="preserve"> </w:t>
      </w:r>
    </w:p>
    <w:p w14:paraId="232904DE"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ICES (2014). Widely distributed and migratory stocks. Blue Whiting (Subareas I – IX , XII , and XIV). ICES (International Council for the Exploration of the Sea). In </w:t>
      </w:r>
      <w:r w:rsidRPr="002A3B1D">
        <w:rPr>
          <w:rFonts w:cs="Times New Roman"/>
          <w:i/>
          <w:iCs/>
          <w:noProof/>
          <w:szCs w:val="24"/>
        </w:rPr>
        <w:t>ICES Advice 2014 Book 9</w:t>
      </w:r>
      <w:r w:rsidRPr="002A3B1D">
        <w:rPr>
          <w:rFonts w:cs="Times New Roman"/>
          <w:noProof/>
          <w:szCs w:val="24"/>
        </w:rPr>
        <w:t>. pp. 1–14.</w:t>
      </w:r>
    </w:p>
    <w:p w14:paraId="77AC884B"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Kearney, M. and Porter, W. (2009). Mechanistic niche modelling: Combining physiological and spatial data to predict species’ ranges. </w:t>
      </w:r>
      <w:r w:rsidRPr="002A3B1D">
        <w:rPr>
          <w:rFonts w:cs="Times New Roman"/>
          <w:i/>
          <w:iCs/>
          <w:noProof/>
          <w:szCs w:val="24"/>
        </w:rPr>
        <w:t>Ecology Letters</w:t>
      </w:r>
      <w:r w:rsidRPr="002A3B1D">
        <w:rPr>
          <w:rFonts w:cs="Times New Roman"/>
          <w:noProof/>
          <w:szCs w:val="24"/>
        </w:rPr>
        <w:t xml:space="preserve">  12</w:t>
      </w:r>
      <w:r w:rsidRPr="002A3B1D">
        <w:rPr>
          <w:rFonts w:cs="Times New Roman"/>
          <w:b/>
          <w:bCs/>
          <w:noProof/>
          <w:szCs w:val="24"/>
        </w:rPr>
        <w:t xml:space="preserve">, </w:t>
      </w:r>
      <w:r w:rsidRPr="002A3B1D">
        <w:rPr>
          <w:rFonts w:cs="Times New Roman"/>
          <w:noProof/>
          <w:szCs w:val="24"/>
        </w:rPr>
        <w:t>334–350. doi:10.1111/j.1461-0248.2008.01277.x</w:t>
      </w:r>
    </w:p>
    <w:p w14:paraId="30F5A8AC" w14:textId="77777777" w:rsidR="002A3B1D" w:rsidRPr="002110D3" w:rsidRDefault="002A3B1D" w:rsidP="002A3B1D">
      <w:pPr>
        <w:widowControl w:val="0"/>
        <w:autoSpaceDE w:val="0"/>
        <w:autoSpaceDN w:val="0"/>
        <w:adjustRightInd w:val="0"/>
        <w:spacing w:line="240" w:lineRule="auto"/>
        <w:ind w:left="480" w:hanging="480"/>
        <w:rPr>
          <w:rFonts w:cs="Times New Roman"/>
          <w:noProof/>
          <w:szCs w:val="24"/>
          <w:lang w:val="de-DE"/>
        </w:rPr>
      </w:pPr>
      <w:r w:rsidRPr="002A3B1D">
        <w:rPr>
          <w:rFonts w:cs="Times New Roman"/>
          <w:noProof/>
          <w:szCs w:val="24"/>
        </w:rPr>
        <w:t xml:space="preserve">Liu, C., White, M. and Newell, G. (2011). Measuring and comparing the accuracy of species distribution models with presence-absence data. </w:t>
      </w:r>
      <w:r w:rsidRPr="002110D3">
        <w:rPr>
          <w:rFonts w:cs="Times New Roman"/>
          <w:i/>
          <w:iCs/>
          <w:noProof/>
          <w:szCs w:val="24"/>
          <w:lang w:val="de-DE"/>
        </w:rPr>
        <w:t>Ecography</w:t>
      </w:r>
      <w:r w:rsidRPr="002110D3">
        <w:rPr>
          <w:rFonts w:cs="Times New Roman"/>
          <w:noProof/>
          <w:szCs w:val="24"/>
          <w:lang w:val="de-DE"/>
        </w:rPr>
        <w:t xml:space="preserve">  34</w:t>
      </w:r>
      <w:r w:rsidRPr="002110D3">
        <w:rPr>
          <w:rFonts w:cs="Times New Roman"/>
          <w:b/>
          <w:bCs/>
          <w:noProof/>
          <w:szCs w:val="24"/>
          <w:lang w:val="de-DE"/>
        </w:rPr>
        <w:t xml:space="preserve">, </w:t>
      </w:r>
      <w:r w:rsidRPr="002110D3">
        <w:rPr>
          <w:rFonts w:cs="Times New Roman"/>
          <w:noProof/>
          <w:szCs w:val="24"/>
          <w:lang w:val="de-DE"/>
        </w:rPr>
        <w:t>232–243. doi:10.1111/j.1600-0587.2010.06354.x</w:t>
      </w:r>
    </w:p>
    <w:p w14:paraId="5B5498E3" w14:textId="3D776A3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110D3">
        <w:rPr>
          <w:rFonts w:cs="Times New Roman"/>
          <w:noProof/>
          <w:szCs w:val="24"/>
          <w:lang w:val="de-DE"/>
        </w:rPr>
        <w:lastRenderedPageBreak/>
        <w:t xml:space="preserve">Matei, D., Pohlmann, H., Jungclaus, J., Müller, W., </w:t>
      </w:r>
      <w:r w:rsidR="006773E4" w:rsidRPr="002110D3">
        <w:rPr>
          <w:rFonts w:cs="Times New Roman"/>
          <w:i/>
          <w:noProof/>
          <w:szCs w:val="24"/>
          <w:lang w:val="de-DE"/>
        </w:rPr>
        <w:t>et al.</w:t>
      </w:r>
      <w:r w:rsidRPr="002110D3">
        <w:rPr>
          <w:rFonts w:cs="Times New Roman"/>
          <w:noProof/>
          <w:szCs w:val="24"/>
          <w:lang w:val="de-DE"/>
        </w:rPr>
        <w:t xml:space="preserve"> </w:t>
      </w:r>
      <w:r w:rsidRPr="002A3B1D">
        <w:rPr>
          <w:rFonts w:cs="Times New Roman"/>
          <w:noProof/>
          <w:szCs w:val="24"/>
        </w:rPr>
        <w:t xml:space="preserve">(2012). Two Tales of Initializing Decadal Climate Prediction Experiments with the ECHAM5 / MPI-OM Model. </w:t>
      </w:r>
      <w:r w:rsidRPr="002A3B1D">
        <w:rPr>
          <w:rFonts w:cs="Times New Roman"/>
          <w:i/>
          <w:iCs/>
          <w:noProof/>
          <w:szCs w:val="24"/>
        </w:rPr>
        <w:t>Journal of Climate</w:t>
      </w:r>
      <w:r w:rsidRPr="002A3B1D">
        <w:rPr>
          <w:rFonts w:cs="Times New Roman"/>
          <w:noProof/>
          <w:szCs w:val="24"/>
        </w:rPr>
        <w:t xml:space="preserve">  25</w:t>
      </w:r>
      <w:r w:rsidRPr="002A3B1D">
        <w:rPr>
          <w:rFonts w:cs="Times New Roman"/>
          <w:b/>
          <w:bCs/>
          <w:noProof/>
          <w:szCs w:val="24"/>
        </w:rPr>
        <w:t xml:space="preserve">, </w:t>
      </w:r>
      <w:r w:rsidRPr="002A3B1D">
        <w:rPr>
          <w:rFonts w:cs="Times New Roman"/>
          <w:noProof/>
          <w:szCs w:val="24"/>
        </w:rPr>
        <w:t>8502–8523. doi:10.1175/JCLI-D-11-00633.1</w:t>
      </w:r>
    </w:p>
    <w:p w14:paraId="577A2477" w14:textId="15DC381C"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Meehl, G. A., Goddard, L., Boer, G., Burgman, R., </w:t>
      </w:r>
      <w:r w:rsidR="006773E4" w:rsidRPr="006773E4">
        <w:rPr>
          <w:rFonts w:cs="Times New Roman"/>
          <w:i/>
          <w:noProof/>
          <w:szCs w:val="24"/>
        </w:rPr>
        <w:t>et al.</w:t>
      </w:r>
      <w:r w:rsidRPr="002A3B1D">
        <w:rPr>
          <w:rFonts w:cs="Times New Roman"/>
          <w:noProof/>
          <w:szCs w:val="24"/>
        </w:rPr>
        <w:t xml:space="preserve"> (2014). Decadal Climate Prediction: An Update from the Trenches. </w:t>
      </w:r>
      <w:r w:rsidRPr="002A3B1D">
        <w:rPr>
          <w:rFonts w:cs="Times New Roman"/>
          <w:i/>
          <w:iCs/>
          <w:noProof/>
          <w:szCs w:val="24"/>
        </w:rPr>
        <w:t>Bulletin of the American Meteorological Society</w:t>
      </w:r>
      <w:r w:rsidRPr="002A3B1D">
        <w:rPr>
          <w:rFonts w:cs="Times New Roman"/>
          <w:noProof/>
          <w:szCs w:val="24"/>
        </w:rPr>
        <w:t xml:space="preserve">  95</w:t>
      </w:r>
      <w:r w:rsidRPr="002A3B1D">
        <w:rPr>
          <w:rFonts w:cs="Times New Roman"/>
          <w:b/>
          <w:bCs/>
          <w:noProof/>
          <w:szCs w:val="24"/>
        </w:rPr>
        <w:t xml:space="preserve">, </w:t>
      </w:r>
      <w:r w:rsidRPr="002A3B1D">
        <w:rPr>
          <w:rFonts w:cs="Times New Roman"/>
          <w:noProof/>
          <w:szCs w:val="24"/>
        </w:rPr>
        <w:t>243–267. doi:10.1175/BAMS-D-12-00241.1</w:t>
      </w:r>
    </w:p>
    <w:p w14:paraId="03D5C792" w14:textId="7B38E772"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Msadek, R., Delworth, T. L., Rosati, A., Anderson, W., </w:t>
      </w:r>
      <w:r w:rsidR="006773E4" w:rsidRPr="006773E4">
        <w:rPr>
          <w:rFonts w:cs="Times New Roman"/>
          <w:i/>
          <w:noProof/>
          <w:szCs w:val="24"/>
        </w:rPr>
        <w:t>et al.</w:t>
      </w:r>
      <w:r w:rsidRPr="002A3B1D">
        <w:rPr>
          <w:rFonts w:cs="Times New Roman"/>
          <w:noProof/>
          <w:szCs w:val="24"/>
        </w:rPr>
        <w:t xml:space="preserve"> (2014). Predicting a decadal shift in North Atlantic climate variability using the GFDL forecast system. </w:t>
      </w:r>
      <w:r w:rsidRPr="002A3B1D">
        <w:rPr>
          <w:rFonts w:cs="Times New Roman"/>
          <w:i/>
          <w:iCs/>
          <w:noProof/>
          <w:szCs w:val="24"/>
        </w:rPr>
        <w:t>Journal of Climate</w:t>
      </w:r>
      <w:r w:rsidRPr="002A3B1D">
        <w:rPr>
          <w:rFonts w:cs="Times New Roman"/>
          <w:noProof/>
          <w:szCs w:val="24"/>
        </w:rPr>
        <w:t xml:space="preserve">  27</w:t>
      </w:r>
      <w:r w:rsidRPr="002A3B1D">
        <w:rPr>
          <w:rFonts w:cs="Times New Roman"/>
          <w:b/>
          <w:bCs/>
          <w:noProof/>
          <w:szCs w:val="24"/>
        </w:rPr>
        <w:t xml:space="preserve">, </w:t>
      </w:r>
      <w:r w:rsidRPr="002A3B1D">
        <w:rPr>
          <w:rFonts w:cs="Times New Roman"/>
          <w:noProof/>
          <w:szCs w:val="24"/>
        </w:rPr>
        <w:t>6472–6496. doi:10.1175/JCLI-D-13-00476.1</w:t>
      </w:r>
    </w:p>
    <w:p w14:paraId="3B55D374"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NEAFC (2013). </w:t>
      </w:r>
      <w:r w:rsidRPr="002A3B1D">
        <w:rPr>
          <w:rFonts w:cs="Times New Roman"/>
          <w:i/>
          <w:iCs/>
          <w:noProof/>
          <w:szCs w:val="24"/>
        </w:rPr>
        <w:t>Report from the NEAFC Working Group on Collating Information on the Distribution of All Life Stages of Blue Whiting in the North-East Atlantic and the Distribution of Catches from the Stock, London, 26 – 28 November 2013</w:t>
      </w:r>
      <w:r w:rsidRPr="002A3B1D">
        <w:rPr>
          <w:rFonts w:cs="Times New Roman"/>
          <w:noProof/>
          <w:szCs w:val="24"/>
        </w:rPr>
        <w:t xml:space="preserve">. </w:t>
      </w:r>
    </w:p>
    <w:p w14:paraId="669DD172" w14:textId="06126E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110D3">
        <w:rPr>
          <w:rFonts w:cs="Times New Roman"/>
          <w:noProof/>
          <w:szCs w:val="24"/>
          <w:lang w:val="da-DK"/>
        </w:rPr>
        <w:t xml:space="preserve">Payne, M. R., Egan, A., Fässler, S. M. M., Hátún, H., </w:t>
      </w:r>
      <w:r w:rsidR="006773E4" w:rsidRPr="002110D3">
        <w:rPr>
          <w:rFonts w:cs="Times New Roman"/>
          <w:i/>
          <w:noProof/>
          <w:szCs w:val="24"/>
          <w:lang w:val="da-DK"/>
        </w:rPr>
        <w:t>et al.</w:t>
      </w:r>
      <w:r w:rsidRPr="002110D3">
        <w:rPr>
          <w:rFonts w:cs="Times New Roman"/>
          <w:noProof/>
          <w:szCs w:val="24"/>
          <w:lang w:val="da-DK"/>
        </w:rPr>
        <w:t xml:space="preserve"> </w:t>
      </w:r>
      <w:r w:rsidRPr="002A3B1D">
        <w:rPr>
          <w:rFonts w:cs="Times New Roman"/>
          <w:noProof/>
          <w:szCs w:val="24"/>
        </w:rPr>
        <w:t>(2012). The rise and fall of the NE Atlantic blue whiting (</w:t>
      </w:r>
      <w:r w:rsidRPr="002A3B1D">
        <w:rPr>
          <w:rFonts w:cs="Times New Roman"/>
          <w:i/>
          <w:iCs/>
          <w:noProof/>
          <w:szCs w:val="24"/>
        </w:rPr>
        <w:t>Micromesistius poutassou</w:t>
      </w:r>
      <w:r w:rsidRPr="002A3B1D">
        <w:rPr>
          <w:rFonts w:cs="Times New Roman"/>
          <w:noProof/>
          <w:szCs w:val="24"/>
        </w:rPr>
        <w:t xml:space="preserve">). </w:t>
      </w:r>
      <w:r w:rsidRPr="002A3B1D">
        <w:rPr>
          <w:rFonts w:cs="Times New Roman"/>
          <w:i/>
          <w:iCs/>
          <w:noProof/>
          <w:szCs w:val="24"/>
        </w:rPr>
        <w:t>Marine Biology Research</w:t>
      </w:r>
      <w:r w:rsidRPr="002A3B1D">
        <w:rPr>
          <w:rFonts w:cs="Times New Roman"/>
          <w:noProof/>
          <w:szCs w:val="24"/>
        </w:rPr>
        <w:t xml:space="preserve">  8</w:t>
      </w:r>
      <w:r w:rsidRPr="002A3B1D">
        <w:rPr>
          <w:rFonts w:cs="Times New Roman"/>
          <w:b/>
          <w:bCs/>
          <w:noProof/>
          <w:szCs w:val="24"/>
        </w:rPr>
        <w:t xml:space="preserve">, </w:t>
      </w:r>
      <w:r w:rsidRPr="002A3B1D">
        <w:rPr>
          <w:rFonts w:cs="Times New Roman"/>
          <w:noProof/>
          <w:szCs w:val="24"/>
        </w:rPr>
        <w:t>475–487. doi:10.1080/17451000.2011.639778</w:t>
      </w:r>
    </w:p>
    <w:p w14:paraId="4F78E71E"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Pointin, F. and Payne, M. R. (2014). A Resolution to the Blue Whiting (Micromesistius poutassou) Population Paradox? </w:t>
      </w:r>
      <w:r w:rsidRPr="002A3B1D">
        <w:rPr>
          <w:rFonts w:cs="Times New Roman"/>
          <w:i/>
          <w:iCs/>
          <w:noProof/>
          <w:szCs w:val="24"/>
        </w:rPr>
        <w:t>PloS ONE</w:t>
      </w:r>
      <w:r w:rsidRPr="002A3B1D">
        <w:rPr>
          <w:rFonts w:cs="Times New Roman"/>
          <w:noProof/>
          <w:szCs w:val="24"/>
        </w:rPr>
        <w:t xml:space="preserve">  9</w:t>
      </w:r>
      <w:r w:rsidRPr="002A3B1D">
        <w:rPr>
          <w:rFonts w:cs="Times New Roman"/>
          <w:b/>
          <w:bCs/>
          <w:noProof/>
          <w:szCs w:val="24"/>
        </w:rPr>
        <w:t xml:space="preserve">, </w:t>
      </w:r>
      <w:r w:rsidRPr="002A3B1D">
        <w:rPr>
          <w:rFonts w:cs="Times New Roman"/>
          <w:noProof/>
          <w:szCs w:val="24"/>
        </w:rPr>
        <w:t>1–11. doi:10.1371/journal.pone.0106237</w:t>
      </w:r>
    </w:p>
    <w:p w14:paraId="6C474888"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Polonsky, A. S. (1968). Materials on the biology of Poutassou. </w:t>
      </w:r>
      <w:r w:rsidRPr="00957FB1">
        <w:rPr>
          <w:rFonts w:cs="Times New Roman"/>
          <w:noProof/>
          <w:szCs w:val="24"/>
          <w:lang w:val="da-DK"/>
        </w:rPr>
        <w:t xml:space="preserve">In </w:t>
      </w:r>
      <w:r w:rsidRPr="00957FB1">
        <w:rPr>
          <w:rFonts w:cs="Times New Roman"/>
          <w:i/>
          <w:iCs/>
          <w:noProof/>
          <w:szCs w:val="24"/>
          <w:lang w:val="da-DK"/>
        </w:rPr>
        <w:t xml:space="preserve">Rapports et Procès- verbeaux des Réunions. </w:t>
      </w:r>
      <w:r w:rsidRPr="002A3B1D">
        <w:rPr>
          <w:rFonts w:cs="Times New Roman"/>
          <w:i/>
          <w:iCs/>
          <w:noProof/>
          <w:szCs w:val="24"/>
        </w:rPr>
        <w:t>Conseil International pour l’Exploration de la Mer</w:t>
      </w:r>
      <w:r w:rsidRPr="002A3B1D">
        <w:rPr>
          <w:rFonts w:cs="Times New Roman"/>
          <w:noProof/>
          <w:szCs w:val="24"/>
        </w:rPr>
        <w:t>. pp. 105–108.</w:t>
      </w:r>
    </w:p>
    <w:p w14:paraId="05B6730F"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Pörtner, H. O. and Peck, M. A. (2010). Climate change effects on fishes and fisheries: Towards a cause-and-effect understanding. </w:t>
      </w:r>
      <w:r w:rsidRPr="002A3B1D">
        <w:rPr>
          <w:rFonts w:cs="Times New Roman"/>
          <w:i/>
          <w:iCs/>
          <w:noProof/>
          <w:szCs w:val="24"/>
        </w:rPr>
        <w:t>Journal of Fish Biology</w:t>
      </w:r>
      <w:r w:rsidRPr="002A3B1D">
        <w:rPr>
          <w:rFonts w:cs="Times New Roman"/>
          <w:noProof/>
          <w:szCs w:val="24"/>
        </w:rPr>
        <w:t xml:space="preserve">  77</w:t>
      </w:r>
      <w:r w:rsidRPr="002A3B1D">
        <w:rPr>
          <w:rFonts w:cs="Times New Roman"/>
          <w:b/>
          <w:bCs/>
          <w:noProof/>
          <w:szCs w:val="24"/>
        </w:rPr>
        <w:t xml:space="preserve">, </w:t>
      </w:r>
      <w:r w:rsidRPr="002A3B1D">
        <w:rPr>
          <w:rFonts w:cs="Times New Roman"/>
          <w:noProof/>
          <w:szCs w:val="24"/>
        </w:rPr>
        <w:t>1745–1779. doi:10.1111/j.1095-8649.2010.02783.x</w:t>
      </w:r>
    </w:p>
    <w:p w14:paraId="4368BE45" w14:textId="232FDAB1"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R Core Team (2016). R: A language and environment for statistical computing.</w:t>
      </w:r>
      <w:r w:rsidR="00C82141" w:rsidRPr="00C82141">
        <w:rPr>
          <w:rFonts w:cs="Times New Roman"/>
          <w:noProof/>
          <w:szCs w:val="24"/>
        </w:rPr>
        <w:t xml:space="preserve"> Foundation for  Statistical Computing, Vienna, Austria. URL: https://www.R-project.org/</w:t>
      </w:r>
    </w:p>
    <w:p w14:paraId="24584345"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Raitt, D. F. S. (1968). The biology and commercial potential of blue whiting in the north-west Atlantic. In </w:t>
      </w:r>
      <w:r w:rsidRPr="002A3B1D">
        <w:rPr>
          <w:rFonts w:cs="Times New Roman"/>
          <w:i/>
          <w:iCs/>
          <w:noProof/>
          <w:szCs w:val="24"/>
        </w:rPr>
        <w:t>Rapports et Procès- Verbeaux des Réunions. Conseil International pour l’Exploration de la Mer</w:t>
      </w:r>
      <w:r w:rsidRPr="002A3B1D">
        <w:rPr>
          <w:rFonts w:cs="Times New Roman"/>
          <w:noProof/>
          <w:szCs w:val="24"/>
        </w:rPr>
        <w:t>. pp. 108–115.</w:t>
      </w:r>
    </w:p>
    <w:p w14:paraId="69197E9D" w14:textId="6DCD668E"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Reid, P. C., Colebrook, J. M., Matthews, J. B. L., Aiken, J., </w:t>
      </w:r>
      <w:r w:rsidR="006773E4" w:rsidRPr="006773E4">
        <w:rPr>
          <w:rFonts w:cs="Times New Roman"/>
          <w:i/>
          <w:noProof/>
          <w:szCs w:val="24"/>
        </w:rPr>
        <w:t>et al.</w:t>
      </w:r>
      <w:r w:rsidRPr="002A3B1D">
        <w:rPr>
          <w:rFonts w:cs="Times New Roman"/>
          <w:noProof/>
          <w:szCs w:val="24"/>
        </w:rPr>
        <w:t xml:space="preserve"> (2003). The Continuous Plankton Recorder: concepts and history, from Plankton Indicators to undulating recorders. </w:t>
      </w:r>
      <w:r w:rsidRPr="002A3B1D">
        <w:rPr>
          <w:rFonts w:cs="Times New Roman"/>
          <w:i/>
          <w:iCs/>
          <w:noProof/>
          <w:szCs w:val="24"/>
        </w:rPr>
        <w:t>Progress in Oceanography</w:t>
      </w:r>
      <w:r w:rsidRPr="002A3B1D">
        <w:rPr>
          <w:rFonts w:cs="Times New Roman"/>
          <w:noProof/>
          <w:szCs w:val="24"/>
        </w:rPr>
        <w:t xml:space="preserve">  58</w:t>
      </w:r>
      <w:r w:rsidRPr="002A3B1D">
        <w:rPr>
          <w:rFonts w:cs="Times New Roman"/>
          <w:b/>
          <w:bCs/>
          <w:noProof/>
          <w:szCs w:val="24"/>
        </w:rPr>
        <w:t xml:space="preserve">, </w:t>
      </w:r>
      <w:r w:rsidRPr="002A3B1D">
        <w:rPr>
          <w:rFonts w:cs="Times New Roman"/>
          <w:noProof/>
          <w:szCs w:val="24"/>
        </w:rPr>
        <w:t>117–173. doi:10.1016/j.pocean.2003.08.002</w:t>
      </w:r>
    </w:p>
    <w:p w14:paraId="121B30FE" w14:textId="7F2F7568"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Richardson, A. J., Walne, A. W., John, A. W. G., Jonas, T. D., </w:t>
      </w:r>
      <w:r w:rsidR="006773E4" w:rsidRPr="006773E4">
        <w:rPr>
          <w:rFonts w:cs="Times New Roman"/>
          <w:i/>
          <w:noProof/>
          <w:szCs w:val="24"/>
        </w:rPr>
        <w:t>et al.</w:t>
      </w:r>
      <w:r w:rsidRPr="002A3B1D">
        <w:rPr>
          <w:rFonts w:cs="Times New Roman"/>
          <w:noProof/>
          <w:szCs w:val="24"/>
        </w:rPr>
        <w:t xml:space="preserve"> (2006). Using continuous plankton recorder data. </w:t>
      </w:r>
      <w:r w:rsidRPr="002A3B1D">
        <w:rPr>
          <w:rFonts w:cs="Times New Roman"/>
          <w:i/>
          <w:iCs/>
          <w:noProof/>
          <w:szCs w:val="24"/>
        </w:rPr>
        <w:t>Progress in Oceanography</w:t>
      </w:r>
      <w:r w:rsidRPr="002A3B1D">
        <w:rPr>
          <w:rFonts w:cs="Times New Roman"/>
          <w:noProof/>
          <w:szCs w:val="24"/>
        </w:rPr>
        <w:t xml:space="preserve">  68</w:t>
      </w:r>
      <w:r w:rsidRPr="002A3B1D">
        <w:rPr>
          <w:rFonts w:cs="Times New Roman"/>
          <w:b/>
          <w:bCs/>
          <w:noProof/>
          <w:szCs w:val="24"/>
        </w:rPr>
        <w:t xml:space="preserve">, </w:t>
      </w:r>
      <w:r w:rsidRPr="002A3B1D">
        <w:rPr>
          <w:rFonts w:cs="Times New Roman"/>
          <w:noProof/>
          <w:szCs w:val="24"/>
        </w:rPr>
        <w:t>27–74. doi:10.1016/j.pocean.2005.09.011</w:t>
      </w:r>
    </w:p>
    <w:p w14:paraId="38333F97" w14:textId="657E7A76"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110D3">
        <w:rPr>
          <w:rFonts w:cs="Times New Roman"/>
          <w:noProof/>
          <w:szCs w:val="24"/>
          <w:lang w:val="da-DK"/>
        </w:rPr>
        <w:t xml:space="preserve">Robson, J., Polo, I., Hodson, D. L. R., Stevens, D. P., </w:t>
      </w:r>
      <w:r w:rsidR="006773E4" w:rsidRPr="002110D3">
        <w:rPr>
          <w:rFonts w:cs="Times New Roman"/>
          <w:i/>
          <w:noProof/>
          <w:szCs w:val="24"/>
          <w:lang w:val="da-DK"/>
        </w:rPr>
        <w:t>et al.</w:t>
      </w:r>
      <w:r w:rsidRPr="002110D3">
        <w:rPr>
          <w:rFonts w:cs="Times New Roman"/>
          <w:noProof/>
          <w:szCs w:val="24"/>
          <w:lang w:val="da-DK"/>
        </w:rPr>
        <w:t xml:space="preserve"> </w:t>
      </w:r>
      <w:r w:rsidRPr="002A3B1D">
        <w:rPr>
          <w:rFonts w:cs="Times New Roman"/>
          <w:noProof/>
          <w:szCs w:val="24"/>
        </w:rPr>
        <w:t xml:space="preserve">(2017). Decadal prediction </w:t>
      </w:r>
      <w:r w:rsidRPr="002A3B1D">
        <w:rPr>
          <w:rFonts w:cs="Times New Roman"/>
          <w:noProof/>
          <w:szCs w:val="24"/>
        </w:rPr>
        <w:lastRenderedPageBreak/>
        <w:t xml:space="preserve">of the North Atlantic subpolar gyre in the HiGEM high-resolution climate model. </w:t>
      </w:r>
      <w:r w:rsidRPr="002A3B1D">
        <w:rPr>
          <w:rFonts w:cs="Times New Roman"/>
          <w:i/>
          <w:iCs/>
          <w:noProof/>
          <w:szCs w:val="24"/>
        </w:rPr>
        <w:t>Climate Dynamics</w:t>
      </w:r>
      <w:r w:rsidRPr="002A3B1D">
        <w:rPr>
          <w:rFonts w:cs="Times New Roman"/>
          <w:noProof/>
          <w:szCs w:val="24"/>
        </w:rPr>
        <w:t xml:space="preserve">  0</w:t>
      </w:r>
      <w:r w:rsidRPr="002A3B1D">
        <w:rPr>
          <w:rFonts w:cs="Times New Roman"/>
          <w:b/>
          <w:bCs/>
          <w:noProof/>
          <w:szCs w:val="24"/>
        </w:rPr>
        <w:t xml:space="preserve">, </w:t>
      </w:r>
      <w:r w:rsidRPr="002A3B1D">
        <w:rPr>
          <w:rFonts w:cs="Times New Roman"/>
          <w:noProof/>
          <w:szCs w:val="24"/>
        </w:rPr>
        <w:t>1–17. doi:10.1007/s00382-017-3649-2</w:t>
      </w:r>
    </w:p>
    <w:p w14:paraId="211B49FE"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Schmidt, S. (1909). The distribution of the pelagic fry and the spawning regions of the gadoids in the North Atlantic from Iceland to Spain. </w:t>
      </w:r>
      <w:r w:rsidRPr="002A3B1D">
        <w:rPr>
          <w:rFonts w:cs="Times New Roman"/>
          <w:i/>
          <w:iCs/>
          <w:noProof/>
          <w:szCs w:val="24"/>
        </w:rPr>
        <w:t>Rapp. P.-V. Reun. Cons. Int. Explor. Mer</w:t>
      </w:r>
      <w:r w:rsidRPr="002A3B1D">
        <w:rPr>
          <w:rFonts w:cs="Times New Roman"/>
          <w:noProof/>
          <w:szCs w:val="24"/>
        </w:rPr>
        <w:t xml:space="preserve">  10</w:t>
      </w:r>
      <w:r w:rsidRPr="002A3B1D">
        <w:rPr>
          <w:rFonts w:cs="Times New Roman"/>
          <w:b/>
          <w:bCs/>
          <w:noProof/>
          <w:szCs w:val="24"/>
        </w:rPr>
        <w:t xml:space="preserve">, </w:t>
      </w:r>
      <w:r w:rsidRPr="002A3B1D">
        <w:rPr>
          <w:rFonts w:cs="Times New Roman"/>
          <w:noProof/>
          <w:szCs w:val="24"/>
        </w:rPr>
        <w:t>1–229.</w:t>
      </w:r>
    </w:p>
    <w:p w14:paraId="2EF2495A"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Sundby, S. and Kristiansen, T. (2015). The principles of buoyancy in Marine Fish Eggs and their vertical distributions across the World Oceans. </w:t>
      </w:r>
      <w:r w:rsidRPr="002A3B1D">
        <w:rPr>
          <w:rFonts w:cs="Times New Roman"/>
          <w:i/>
          <w:iCs/>
          <w:noProof/>
          <w:szCs w:val="24"/>
        </w:rPr>
        <w:t>PLoS ONE</w:t>
      </w:r>
      <w:r w:rsidRPr="002A3B1D">
        <w:rPr>
          <w:rFonts w:cs="Times New Roman"/>
          <w:noProof/>
          <w:szCs w:val="24"/>
        </w:rPr>
        <w:t xml:space="preserve">  10</w:t>
      </w:r>
      <w:r w:rsidRPr="002A3B1D">
        <w:rPr>
          <w:rFonts w:cs="Times New Roman"/>
          <w:b/>
          <w:bCs/>
          <w:noProof/>
          <w:szCs w:val="24"/>
        </w:rPr>
        <w:t xml:space="preserve">, </w:t>
      </w:r>
      <w:r w:rsidRPr="002A3B1D">
        <w:rPr>
          <w:rFonts w:cs="Times New Roman"/>
          <w:noProof/>
          <w:szCs w:val="24"/>
        </w:rPr>
        <w:t>1–23. doi:10.1371/journal.pone.0138821</w:t>
      </w:r>
    </w:p>
    <w:p w14:paraId="1FF4BE64" w14:textId="16F11F59"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Wiens, J. A., Stralberg, D., Jongsomjit, D., Howell, C. A., </w:t>
      </w:r>
      <w:r w:rsidR="006773E4" w:rsidRPr="006773E4">
        <w:rPr>
          <w:rFonts w:cs="Times New Roman"/>
          <w:i/>
          <w:noProof/>
          <w:szCs w:val="24"/>
        </w:rPr>
        <w:t>et al.</w:t>
      </w:r>
      <w:r w:rsidRPr="002A3B1D">
        <w:rPr>
          <w:rFonts w:cs="Times New Roman"/>
          <w:noProof/>
          <w:szCs w:val="24"/>
        </w:rPr>
        <w:t xml:space="preserve"> (2009). Niches, models, and climate change: assessing the assumptions and uncertainties. </w:t>
      </w:r>
      <w:r w:rsidRPr="002A3B1D">
        <w:rPr>
          <w:rFonts w:cs="Times New Roman"/>
          <w:i/>
          <w:iCs/>
          <w:noProof/>
          <w:szCs w:val="24"/>
        </w:rPr>
        <w:t>Proceedings of the National Academy of Sciences of the United States of America</w:t>
      </w:r>
      <w:r w:rsidRPr="002A3B1D">
        <w:rPr>
          <w:rFonts w:cs="Times New Roman"/>
          <w:noProof/>
          <w:szCs w:val="24"/>
        </w:rPr>
        <w:t xml:space="preserve">  106</w:t>
      </w:r>
      <w:r w:rsidRPr="002A3B1D">
        <w:rPr>
          <w:rFonts w:cs="Times New Roman"/>
          <w:b/>
          <w:bCs/>
          <w:noProof/>
          <w:szCs w:val="24"/>
        </w:rPr>
        <w:t xml:space="preserve">, </w:t>
      </w:r>
      <w:r w:rsidRPr="002A3B1D">
        <w:rPr>
          <w:rFonts w:cs="Times New Roman"/>
          <w:noProof/>
          <w:szCs w:val="24"/>
        </w:rPr>
        <w:t>19729–19736. doi:10.1073/pnas.0901639106</w:t>
      </w:r>
    </w:p>
    <w:p w14:paraId="0B38BAC1"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Wood, S. N. (2006). Generalized Additive Models: An Introduction with R. </w:t>
      </w:r>
      <w:r w:rsidRPr="002A3B1D">
        <w:rPr>
          <w:rFonts w:cs="Times New Roman"/>
          <w:i/>
          <w:iCs/>
          <w:noProof/>
          <w:szCs w:val="24"/>
        </w:rPr>
        <w:t>Chapman and Hall/CRC Press</w:t>
      </w:r>
      <w:r w:rsidRPr="002A3B1D">
        <w:rPr>
          <w:rFonts w:cs="Times New Roman"/>
          <w:noProof/>
          <w:szCs w:val="24"/>
        </w:rPr>
        <w:t xml:space="preserve"> 410.</w:t>
      </w:r>
    </w:p>
    <w:p w14:paraId="1A6128FA" w14:textId="77777777" w:rsidR="002A3B1D" w:rsidRPr="002A3B1D" w:rsidRDefault="002A3B1D" w:rsidP="002A3B1D">
      <w:pPr>
        <w:widowControl w:val="0"/>
        <w:autoSpaceDE w:val="0"/>
        <w:autoSpaceDN w:val="0"/>
        <w:adjustRightInd w:val="0"/>
        <w:spacing w:line="240" w:lineRule="auto"/>
        <w:ind w:left="480" w:hanging="480"/>
        <w:rPr>
          <w:rFonts w:cs="Times New Roman"/>
          <w:noProof/>
          <w:szCs w:val="24"/>
        </w:rPr>
      </w:pPr>
      <w:r w:rsidRPr="002A3B1D">
        <w:rPr>
          <w:rFonts w:cs="Times New Roman"/>
          <w:noProof/>
          <w:szCs w:val="24"/>
        </w:rPr>
        <w:t xml:space="preserve">Wood, S. N., Pya, N. and Säfken, B. (2015). Smoothing parameter and model selection for general smooth models. </w:t>
      </w:r>
      <w:r w:rsidRPr="002A3B1D">
        <w:rPr>
          <w:rFonts w:cs="Times New Roman"/>
          <w:i/>
          <w:iCs/>
          <w:noProof/>
          <w:szCs w:val="24"/>
        </w:rPr>
        <w:t>arXiv</w:t>
      </w:r>
      <w:r w:rsidRPr="002A3B1D">
        <w:rPr>
          <w:rFonts w:cs="Times New Roman"/>
          <w:noProof/>
          <w:szCs w:val="24"/>
        </w:rPr>
        <w:t xml:space="preserve"> . doi:10.1080/01621459.2016.1180986</w:t>
      </w:r>
    </w:p>
    <w:p w14:paraId="1C6DAE67" w14:textId="794551B4" w:rsidR="002A3B1D" w:rsidRPr="002A3B1D" w:rsidRDefault="002A3B1D" w:rsidP="002A3B1D">
      <w:pPr>
        <w:widowControl w:val="0"/>
        <w:autoSpaceDE w:val="0"/>
        <w:autoSpaceDN w:val="0"/>
        <w:adjustRightInd w:val="0"/>
        <w:spacing w:line="240" w:lineRule="auto"/>
        <w:ind w:left="480" w:hanging="480"/>
        <w:rPr>
          <w:rFonts w:cs="Times New Roman"/>
          <w:noProof/>
        </w:rPr>
      </w:pPr>
      <w:r w:rsidRPr="002110D3">
        <w:rPr>
          <w:rFonts w:cs="Times New Roman"/>
          <w:noProof/>
          <w:szCs w:val="24"/>
          <w:lang w:val="da-DK"/>
        </w:rPr>
        <w:t xml:space="preserve">Wouters, B., Hazeleger, W., Drijfhout, S., Oldenborgh, G. J. Van, </w:t>
      </w:r>
      <w:r w:rsidR="006773E4" w:rsidRPr="002110D3">
        <w:rPr>
          <w:rFonts w:cs="Times New Roman"/>
          <w:i/>
          <w:noProof/>
          <w:szCs w:val="24"/>
          <w:lang w:val="da-DK"/>
        </w:rPr>
        <w:t>et al.</w:t>
      </w:r>
      <w:r w:rsidRPr="002110D3">
        <w:rPr>
          <w:rFonts w:cs="Times New Roman"/>
          <w:noProof/>
          <w:szCs w:val="24"/>
          <w:lang w:val="da-DK"/>
        </w:rPr>
        <w:t xml:space="preserve"> </w:t>
      </w:r>
      <w:r w:rsidRPr="002A3B1D">
        <w:rPr>
          <w:rFonts w:cs="Times New Roman"/>
          <w:noProof/>
          <w:szCs w:val="24"/>
        </w:rPr>
        <w:t xml:space="preserve">(2013). Multiyear predictability of the North Atlantic subpolar gyre. </w:t>
      </w:r>
      <w:r w:rsidRPr="002A3B1D">
        <w:rPr>
          <w:rFonts w:cs="Times New Roman"/>
          <w:i/>
          <w:iCs/>
          <w:noProof/>
          <w:szCs w:val="24"/>
        </w:rPr>
        <w:t>Geophysical Research Letters</w:t>
      </w:r>
      <w:r w:rsidRPr="002A3B1D">
        <w:rPr>
          <w:rFonts w:cs="Times New Roman"/>
          <w:noProof/>
          <w:szCs w:val="24"/>
        </w:rPr>
        <w:t xml:space="preserve">  40</w:t>
      </w:r>
      <w:r w:rsidRPr="002A3B1D">
        <w:rPr>
          <w:rFonts w:cs="Times New Roman"/>
          <w:b/>
          <w:bCs/>
          <w:noProof/>
          <w:szCs w:val="24"/>
        </w:rPr>
        <w:t xml:space="preserve">, </w:t>
      </w:r>
      <w:r w:rsidRPr="002A3B1D">
        <w:rPr>
          <w:rFonts w:cs="Times New Roman"/>
          <w:noProof/>
          <w:szCs w:val="24"/>
        </w:rPr>
        <w:t>3080–3084. doi:10.1002/grl.50585</w:t>
      </w:r>
    </w:p>
    <w:p w14:paraId="3DA5365A" w14:textId="3FF1FA7A" w:rsidR="007E3723" w:rsidRPr="00294BBF" w:rsidRDefault="00041FF2" w:rsidP="002A3B1D">
      <w:pPr>
        <w:widowControl w:val="0"/>
        <w:autoSpaceDE w:val="0"/>
        <w:autoSpaceDN w:val="0"/>
        <w:adjustRightInd w:val="0"/>
        <w:spacing w:line="240" w:lineRule="auto"/>
        <w:ind w:left="480" w:hanging="480"/>
        <w:rPr>
          <w:rFonts w:eastAsiaTheme="minorHAnsi"/>
          <w:b/>
          <w:color w:val="000000" w:themeColor="text1"/>
          <w:lang w:val="en-US" w:eastAsia="en-US" w:bidi="ar-SA"/>
        </w:rPr>
      </w:pPr>
      <w:r w:rsidRPr="00294BBF">
        <w:rPr>
          <w:rFonts w:eastAsiaTheme="minorHAnsi"/>
          <w:b/>
          <w:color w:val="000000" w:themeColor="text1"/>
          <w:lang w:val="en-US" w:eastAsia="en-US" w:bidi="ar-SA"/>
        </w:rPr>
        <w:fldChar w:fldCharType="end"/>
      </w:r>
    </w:p>
    <w:p w14:paraId="43AEC113" w14:textId="77777777" w:rsidR="007E3723" w:rsidRPr="00294BBF" w:rsidRDefault="007E3723" w:rsidP="007E3723">
      <w:pPr>
        <w:pStyle w:val="Listeafsnit"/>
        <w:spacing w:line="240" w:lineRule="auto"/>
        <w:rPr>
          <w:rFonts w:cs="Times New Roman"/>
          <w:strike/>
          <w:noProof/>
          <w:color w:val="000000" w:themeColor="text1"/>
          <w:szCs w:val="24"/>
        </w:rPr>
      </w:pPr>
    </w:p>
    <w:p w14:paraId="68B0168E" w14:textId="77777777" w:rsidR="007E3723" w:rsidRPr="00294BBF" w:rsidRDefault="007E3723" w:rsidP="007E3723">
      <w:pPr>
        <w:pStyle w:val="Listeafsnit"/>
        <w:spacing w:line="240" w:lineRule="auto"/>
        <w:rPr>
          <w:rFonts w:cs="Times New Roman"/>
          <w:strike/>
          <w:noProof/>
          <w:color w:val="000000" w:themeColor="text1"/>
          <w:szCs w:val="24"/>
        </w:rPr>
      </w:pPr>
    </w:p>
    <w:p w14:paraId="1E1E52F2" w14:textId="77777777" w:rsidR="007E3723" w:rsidRPr="00294BBF" w:rsidRDefault="007E3723" w:rsidP="007E3723">
      <w:pPr>
        <w:pStyle w:val="Listeafsnit"/>
        <w:spacing w:line="240" w:lineRule="auto"/>
        <w:rPr>
          <w:rFonts w:cs="Times New Roman"/>
          <w:strike/>
          <w:noProof/>
          <w:color w:val="000000" w:themeColor="text1"/>
          <w:szCs w:val="24"/>
        </w:rPr>
      </w:pPr>
    </w:p>
    <w:p w14:paraId="1A6E4B82" w14:textId="77777777" w:rsidR="007E3723" w:rsidRPr="00294BBF" w:rsidRDefault="007E3723" w:rsidP="007E3723">
      <w:pPr>
        <w:pStyle w:val="Listeafsnit"/>
        <w:spacing w:line="240" w:lineRule="auto"/>
        <w:rPr>
          <w:rFonts w:cs="Times New Roman"/>
          <w:strike/>
          <w:noProof/>
          <w:color w:val="000000" w:themeColor="text1"/>
          <w:szCs w:val="24"/>
        </w:rPr>
      </w:pPr>
    </w:p>
    <w:p w14:paraId="7D676613" w14:textId="77777777" w:rsidR="007E3723" w:rsidRPr="00294BBF" w:rsidRDefault="007E3723" w:rsidP="007E3723">
      <w:pPr>
        <w:pStyle w:val="Listeafsnit"/>
        <w:spacing w:line="240" w:lineRule="auto"/>
        <w:rPr>
          <w:rFonts w:cs="Times New Roman"/>
          <w:strike/>
          <w:noProof/>
          <w:color w:val="000000" w:themeColor="text1"/>
          <w:szCs w:val="24"/>
        </w:rPr>
      </w:pPr>
    </w:p>
    <w:p w14:paraId="17F6DE71" w14:textId="77777777" w:rsidR="007E3723" w:rsidRPr="00294BBF" w:rsidRDefault="007E3723" w:rsidP="007E3723">
      <w:pPr>
        <w:pStyle w:val="Listeafsnit"/>
        <w:spacing w:line="240" w:lineRule="auto"/>
        <w:rPr>
          <w:rFonts w:cs="Times New Roman"/>
          <w:strike/>
          <w:noProof/>
          <w:color w:val="000000" w:themeColor="text1"/>
          <w:szCs w:val="24"/>
        </w:rPr>
      </w:pPr>
    </w:p>
    <w:p w14:paraId="473237E4" w14:textId="77777777" w:rsidR="007E3723" w:rsidRPr="00294BBF" w:rsidRDefault="007E3723" w:rsidP="007E3723">
      <w:pPr>
        <w:pStyle w:val="Listeafsnit"/>
        <w:spacing w:line="240" w:lineRule="auto"/>
        <w:rPr>
          <w:rFonts w:cs="Times New Roman"/>
          <w:strike/>
          <w:noProof/>
          <w:color w:val="000000" w:themeColor="text1"/>
          <w:szCs w:val="24"/>
        </w:rPr>
      </w:pPr>
    </w:p>
    <w:p w14:paraId="24C5370F" w14:textId="77777777" w:rsidR="007E3723" w:rsidRPr="00294BBF" w:rsidRDefault="007E3723" w:rsidP="007E3723">
      <w:pPr>
        <w:pStyle w:val="Listeafsnit"/>
        <w:spacing w:line="240" w:lineRule="auto"/>
        <w:rPr>
          <w:rFonts w:cs="Times New Roman"/>
          <w:strike/>
          <w:noProof/>
          <w:color w:val="000000" w:themeColor="text1"/>
          <w:szCs w:val="24"/>
        </w:rPr>
      </w:pPr>
    </w:p>
    <w:p w14:paraId="0BDFADEA" w14:textId="77777777" w:rsidR="007E3723" w:rsidRPr="00294BBF" w:rsidRDefault="007E3723" w:rsidP="007E3723">
      <w:pPr>
        <w:pStyle w:val="Listeafsnit"/>
        <w:spacing w:line="240" w:lineRule="auto"/>
        <w:rPr>
          <w:rFonts w:cs="Times New Roman"/>
          <w:strike/>
          <w:noProof/>
          <w:color w:val="000000" w:themeColor="text1"/>
          <w:szCs w:val="24"/>
        </w:rPr>
      </w:pPr>
    </w:p>
    <w:p w14:paraId="2565979F" w14:textId="77777777" w:rsidR="007E3723" w:rsidRPr="00294BBF" w:rsidRDefault="007E3723" w:rsidP="007E3723">
      <w:pPr>
        <w:pStyle w:val="Listeafsnit"/>
        <w:spacing w:line="240" w:lineRule="auto"/>
        <w:rPr>
          <w:rFonts w:cs="Times New Roman"/>
          <w:strike/>
          <w:noProof/>
          <w:color w:val="000000" w:themeColor="text1"/>
          <w:szCs w:val="24"/>
        </w:rPr>
      </w:pPr>
    </w:p>
    <w:p w14:paraId="6EEC0F80" w14:textId="77777777" w:rsidR="007E3723" w:rsidRPr="00294BBF" w:rsidRDefault="007E3723" w:rsidP="007E3723">
      <w:pPr>
        <w:pStyle w:val="Listeafsnit"/>
        <w:spacing w:line="240" w:lineRule="auto"/>
        <w:rPr>
          <w:rFonts w:cs="Times New Roman"/>
          <w:strike/>
          <w:noProof/>
          <w:color w:val="000000" w:themeColor="text1"/>
          <w:szCs w:val="24"/>
        </w:rPr>
      </w:pPr>
    </w:p>
    <w:p w14:paraId="768268CF" w14:textId="77777777" w:rsidR="007E3723" w:rsidRPr="00294BBF" w:rsidRDefault="007E3723" w:rsidP="007E3723">
      <w:pPr>
        <w:pStyle w:val="Listeafsnit"/>
        <w:spacing w:line="240" w:lineRule="auto"/>
        <w:rPr>
          <w:rFonts w:cs="Times New Roman"/>
          <w:strike/>
          <w:noProof/>
          <w:color w:val="000000" w:themeColor="text1"/>
          <w:szCs w:val="24"/>
        </w:rPr>
      </w:pPr>
    </w:p>
    <w:p w14:paraId="68318DEF" w14:textId="77777777" w:rsidR="007E3723" w:rsidRPr="00294BBF" w:rsidRDefault="007E3723" w:rsidP="007E3723">
      <w:pPr>
        <w:pStyle w:val="Listeafsnit"/>
        <w:spacing w:line="240" w:lineRule="auto"/>
        <w:rPr>
          <w:rFonts w:cs="Times New Roman"/>
          <w:strike/>
          <w:noProof/>
          <w:color w:val="000000" w:themeColor="text1"/>
          <w:szCs w:val="24"/>
        </w:rPr>
      </w:pPr>
    </w:p>
    <w:p w14:paraId="253C13FF" w14:textId="77777777" w:rsidR="007E3723" w:rsidRPr="00294BBF" w:rsidRDefault="007E3723" w:rsidP="00294BBF">
      <w:pPr>
        <w:spacing w:line="240" w:lineRule="auto"/>
        <w:rPr>
          <w:rFonts w:cs="Times New Roman"/>
          <w:strike/>
          <w:noProof/>
          <w:color w:val="000000" w:themeColor="text1"/>
          <w:szCs w:val="24"/>
        </w:rPr>
      </w:pPr>
    </w:p>
    <w:p w14:paraId="7156AF20" w14:textId="77777777" w:rsidR="007E3723" w:rsidRDefault="007E3723" w:rsidP="007E3723">
      <w:pPr>
        <w:pStyle w:val="Listeafsnit"/>
        <w:spacing w:line="240" w:lineRule="auto"/>
        <w:rPr>
          <w:rFonts w:cs="Times New Roman"/>
          <w:strike/>
          <w:noProof/>
          <w:color w:val="000000" w:themeColor="text1"/>
          <w:szCs w:val="24"/>
        </w:rPr>
      </w:pPr>
    </w:p>
    <w:p w14:paraId="3DFCA55C" w14:textId="77777777" w:rsidR="00B77DAF" w:rsidRDefault="00B77DAF" w:rsidP="007E3723">
      <w:pPr>
        <w:pStyle w:val="Listeafsnit"/>
        <w:spacing w:line="240" w:lineRule="auto"/>
        <w:rPr>
          <w:rFonts w:cs="Times New Roman"/>
          <w:strike/>
          <w:noProof/>
          <w:color w:val="000000" w:themeColor="text1"/>
          <w:szCs w:val="24"/>
        </w:rPr>
      </w:pPr>
    </w:p>
    <w:p w14:paraId="32E5C7B9" w14:textId="77777777" w:rsidR="00B77DAF" w:rsidRDefault="00B77DAF" w:rsidP="007E3723">
      <w:pPr>
        <w:pStyle w:val="Listeafsnit"/>
        <w:spacing w:line="240" w:lineRule="auto"/>
        <w:rPr>
          <w:rFonts w:cs="Times New Roman"/>
          <w:strike/>
          <w:noProof/>
          <w:color w:val="000000" w:themeColor="text1"/>
          <w:szCs w:val="24"/>
        </w:rPr>
      </w:pPr>
    </w:p>
    <w:p w14:paraId="6AC7774E" w14:textId="77777777" w:rsidR="00B77DAF" w:rsidRDefault="00B77DAF" w:rsidP="007E3723">
      <w:pPr>
        <w:pStyle w:val="Listeafsnit"/>
        <w:spacing w:line="240" w:lineRule="auto"/>
        <w:rPr>
          <w:rFonts w:cs="Times New Roman"/>
          <w:strike/>
          <w:noProof/>
          <w:color w:val="000000" w:themeColor="text1"/>
          <w:szCs w:val="24"/>
        </w:rPr>
      </w:pPr>
    </w:p>
    <w:p w14:paraId="6629FAB5" w14:textId="77777777" w:rsidR="006773E4" w:rsidRDefault="006773E4" w:rsidP="007E3723">
      <w:pPr>
        <w:pStyle w:val="Listeafsnit"/>
        <w:spacing w:line="240" w:lineRule="auto"/>
        <w:rPr>
          <w:rFonts w:cs="Times New Roman"/>
          <w:strike/>
          <w:noProof/>
          <w:color w:val="000000" w:themeColor="text1"/>
          <w:szCs w:val="24"/>
        </w:rPr>
      </w:pPr>
    </w:p>
    <w:p w14:paraId="53A20C1B" w14:textId="77777777" w:rsidR="006773E4" w:rsidRDefault="006773E4" w:rsidP="007E3723">
      <w:pPr>
        <w:pStyle w:val="Listeafsnit"/>
        <w:spacing w:line="240" w:lineRule="auto"/>
        <w:rPr>
          <w:rFonts w:cs="Times New Roman"/>
          <w:strike/>
          <w:noProof/>
          <w:color w:val="000000" w:themeColor="text1"/>
          <w:szCs w:val="24"/>
        </w:rPr>
      </w:pPr>
    </w:p>
    <w:p w14:paraId="51D3AA74" w14:textId="77777777" w:rsidR="006773E4" w:rsidRDefault="006773E4" w:rsidP="007E3723">
      <w:pPr>
        <w:pStyle w:val="Listeafsnit"/>
        <w:spacing w:line="240" w:lineRule="auto"/>
        <w:rPr>
          <w:rFonts w:cs="Times New Roman"/>
          <w:strike/>
          <w:noProof/>
          <w:color w:val="000000" w:themeColor="text1"/>
          <w:szCs w:val="24"/>
        </w:rPr>
      </w:pPr>
    </w:p>
    <w:p w14:paraId="4A20DB46" w14:textId="77777777" w:rsidR="006773E4" w:rsidRDefault="006773E4" w:rsidP="007E3723">
      <w:pPr>
        <w:pStyle w:val="Listeafsnit"/>
        <w:spacing w:line="240" w:lineRule="auto"/>
        <w:rPr>
          <w:rFonts w:cs="Times New Roman"/>
          <w:strike/>
          <w:noProof/>
          <w:color w:val="000000" w:themeColor="text1"/>
          <w:szCs w:val="24"/>
        </w:rPr>
      </w:pPr>
    </w:p>
    <w:p w14:paraId="56DAC15E" w14:textId="77777777" w:rsidR="006773E4" w:rsidRDefault="006773E4" w:rsidP="007E3723">
      <w:pPr>
        <w:pStyle w:val="Listeafsnit"/>
        <w:spacing w:line="240" w:lineRule="auto"/>
        <w:rPr>
          <w:rFonts w:cs="Times New Roman"/>
          <w:strike/>
          <w:noProof/>
          <w:color w:val="000000" w:themeColor="text1"/>
          <w:szCs w:val="24"/>
        </w:rPr>
      </w:pPr>
    </w:p>
    <w:p w14:paraId="6BFA6BA4" w14:textId="77777777" w:rsidR="006773E4" w:rsidRDefault="006773E4" w:rsidP="007E3723">
      <w:pPr>
        <w:pStyle w:val="Listeafsnit"/>
        <w:spacing w:line="240" w:lineRule="auto"/>
        <w:rPr>
          <w:rFonts w:cs="Times New Roman"/>
          <w:strike/>
          <w:noProof/>
          <w:color w:val="000000" w:themeColor="text1"/>
          <w:szCs w:val="24"/>
        </w:rPr>
      </w:pPr>
    </w:p>
    <w:p w14:paraId="2E1E5632" w14:textId="77777777" w:rsidR="006773E4" w:rsidRPr="001A50D8" w:rsidRDefault="006773E4" w:rsidP="001A50D8">
      <w:pPr>
        <w:spacing w:line="240" w:lineRule="auto"/>
        <w:rPr>
          <w:rFonts w:cs="Times New Roman"/>
          <w:strike/>
          <w:noProof/>
          <w:color w:val="000000" w:themeColor="text1"/>
          <w:szCs w:val="24"/>
        </w:rPr>
      </w:pPr>
    </w:p>
    <w:p w14:paraId="13BB657F" w14:textId="77777777" w:rsidR="006773E4" w:rsidRDefault="006773E4" w:rsidP="007E3723">
      <w:pPr>
        <w:pStyle w:val="Listeafsnit"/>
        <w:spacing w:line="240" w:lineRule="auto"/>
        <w:rPr>
          <w:rFonts w:cs="Times New Roman"/>
          <w:strike/>
          <w:noProof/>
          <w:color w:val="000000" w:themeColor="text1"/>
          <w:szCs w:val="24"/>
        </w:rPr>
      </w:pPr>
    </w:p>
    <w:p w14:paraId="61D7368A" w14:textId="5D92518D" w:rsidR="00440D39" w:rsidRPr="00294BBF" w:rsidRDefault="00923411" w:rsidP="007E3723">
      <w:pPr>
        <w:pStyle w:val="Listeafsnit"/>
        <w:spacing w:line="240" w:lineRule="auto"/>
        <w:ind w:left="0"/>
        <w:rPr>
          <w:rFonts w:eastAsiaTheme="minorHAnsi"/>
          <w:b/>
          <w:color w:val="000000" w:themeColor="text1"/>
          <w:lang w:val="en-US" w:eastAsia="en-US" w:bidi="ar-SA"/>
        </w:rPr>
      </w:pPr>
      <w:r w:rsidRPr="00294BBF">
        <w:rPr>
          <w:rFonts w:eastAsiaTheme="minorHAnsi"/>
          <w:b/>
          <w:color w:val="000000" w:themeColor="text1"/>
          <w:lang w:val="en-US" w:eastAsia="en-US" w:bidi="ar-SA"/>
        </w:rPr>
        <w:t>TABLES</w:t>
      </w:r>
    </w:p>
    <w:p w14:paraId="514842BB" w14:textId="61937EF6" w:rsidR="00923411" w:rsidRDefault="00923411" w:rsidP="00BD0D95">
      <w:pPr>
        <w:pStyle w:val="Billedtekst"/>
        <w:spacing w:line="276" w:lineRule="auto"/>
        <w:rPr>
          <w:rFonts w:ascii="Times New Roman" w:hAnsi="Times New Roman" w:cs="Times New Roman"/>
          <w:b w:val="0"/>
          <w:color w:val="000000" w:themeColor="text1"/>
        </w:rPr>
      </w:pPr>
      <w:proofErr w:type="gramStart"/>
      <w:r w:rsidRPr="00294BBF">
        <w:rPr>
          <w:rFonts w:ascii="Times New Roman" w:hAnsi="Times New Roman" w:cs="Times New Roman"/>
          <w:color w:val="000000" w:themeColor="text1"/>
        </w:rPr>
        <w:t xml:space="preserve">Table </w:t>
      </w:r>
      <w:r w:rsidRPr="00294BBF">
        <w:rPr>
          <w:rFonts w:ascii="Times New Roman" w:hAnsi="Times New Roman" w:cs="Times New Roman"/>
          <w:color w:val="000000" w:themeColor="text1"/>
        </w:rPr>
        <w:fldChar w:fldCharType="begin"/>
      </w:r>
      <w:r w:rsidRPr="00294BBF">
        <w:rPr>
          <w:rFonts w:ascii="Times New Roman" w:hAnsi="Times New Roman" w:cs="Times New Roman"/>
          <w:color w:val="000000" w:themeColor="text1"/>
        </w:rPr>
        <w:instrText xml:space="preserve"> SEQ Table \* ARABIC </w:instrText>
      </w:r>
      <w:r w:rsidRPr="00294BBF">
        <w:rPr>
          <w:rFonts w:ascii="Times New Roman" w:hAnsi="Times New Roman" w:cs="Times New Roman"/>
          <w:color w:val="000000" w:themeColor="text1"/>
        </w:rPr>
        <w:fldChar w:fldCharType="separate"/>
      </w:r>
      <w:r w:rsidRPr="00294BBF">
        <w:rPr>
          <w:rFonts w:ascii="Times New Roman" w:hAnsi="Times New Roman" w:cs="Times New Roman"/>
          <w:noProof/>
          <w:color w:val="000000" w:themeColor="text1"/>
        </w:rPr>
        <w:t>1</w:t>
      </w:r>
      <w:r w:rsidRPr="00294BBF">
        <w:rPr>
          <w:rFonts w:ascii="Times New Roman" w:hAnsi="Times New Roman" w:cs="Times New Roman"/>
          <w:noProof/>
          <w:color w:val="000000" w:themeColor="text1"/>
        </w:rPr>
        <w:fldChar w:fldCharType="end"/>
      </w:r>
      <w:r w:rsidRPr="00294BBF">
        <w:rPr>
          <w:rFonts w:ascii="Times New Roman" w:hAnsi="Times New Roman" w:cs="Times New Roman"/>
          <w:color w:val="000000" w:themeColor="text1"/>
        </w:rPr>
        <w:t>.</w:t>
      </w:r>
      <w:proofErr w:type="gramEnd"/>
      <w:r w:rsidRPr="00294BBF">
        <w:rPr>
          <w:rFonts w:ascii="Times New Roman" w:hAnsi="Times New Roman" w:cs="Times New Roman"/>
          <w:color w:val="000000" w:themeColor="text1"/>
        </w:rPr>
        <w:t xml:space="preserve"> </w:t>
      </w:r>
      <w:r w:rsidRPr="00294BBF">
        <w:rPr>
          <w:rFonts w:ascii="Times New Roman" w:hAnsi="Times New Roman" w:cs="Times New Roman"/>
          <w:b w:val="0"/>
          <w:color w:val="000000" w:themeColor="text1"/>
        </w:rPr>
        <w:t>Confusion matrix used to evaluate the predictive accuracy of presence/absence models.</w:t>
      </w:r>
      <w:r w:rsidRPr="00294BBF">
        <w:rPr>
          <w:rFonts w:ascii="Times New Roman" w:hAnsi="Times New Roman" w:cs="Times New Roman"/>
          <w:color w:val="000000" w:themeColor="text1"/>
        </w:rPr>
        <w:br/>
      </w:r>
      <w:r w:rsidR="002A3B1D">
        <w:rPr>
          <w:rFonts w:ascii="Times New Roman" w:hAnsi="Times New Roman" w:cs="Times New Roman"/>
          <w:b w:val="0"/>
          <w:color w:val="000000" w:themeColor="text1"/>
        </w:rPr>
        <w:t>TP (true positives)</w:t>
      </w:r>
      <w:r w:rsidRPr="00294BBF">
        <w:rPr>
          <w:rFonts w:ascii="Times New Roman" w:hAnsi="Times New Roman" w:cs="Times New Roman"/>
          <w:b w:val="0"/>
          <w:color w:val="000000" w:themeColor="text1"/>
        </w:rPr>
        <w:t>: correctly predicted</w:t>
      </w:r>
      <w:r w:rsidR="002A3B1D">
        <w:rPr>
          <w:rFonts w:ascii="Times New Roman" w:hAnsi="Times New Roman" w:cs="Times New Roman"/>
          <w:b w:val="0"/>
          <w:color w:val="000000" w:themeColor="text1"/>
        </w:rPr>
        <w:t xml:space="preserve"> </w:t>
      </w:r>
      <w:r w:rsidRPr="00294BBF">
        <w:rPr>
          <w:rFonts w:ascii="Times New Roman" w:hAnsi="Times New Roman" w:cs="Times New Roman"/>
          <w:b w:val="0"/>
          <w:color w:val="000000" w:themeColor="text1"/>
        </w:rPr>
        <w:t xml:space="preserve">presences; </w:t>
      </w:r>
      <w:r w:rsidR="002A3B1D">
        <w:rPr>
          <w:rFonts w:ascii="Times New Roman" w:hAnsi="Times New Roman" w:cs="Times New Roman"/>
          <w:b w:val="0"/>
          <w:color w:val="000000" w:themeColor="text1"/>
        </w:rPr>
        <w:t>FP (false positives)</w:t>
      </w:r>
      <w:r w:rsidRPr="00294BBF">
        <w:rPr>
          <w:rFonts w:ascii="Times New Roman" w:hAnsi="Times New Roman" w:cs="Times New Roman"/>
          <w:b w:val="0"/>
          <w:color w:val="000000" w:themeColor="text1"/>
        </w:rPr>
        <w:t>: erroneously predicted</w:t>
      </w:r>
      <w:r w:rsidR="002A3B1D">
        <w:rPr>
          <w:rFonts w:ascii="Times New Roman" w:hAnsi="Times New Roman" w:cs="Times New Roman"/>
          <w:b w:val="0"/>
          <w:color w:val="000000" w:themeColor="text1"/>
        </w:rPr>
        <w:t xml:space="preserve"> </w:t>
      </w:r>
      <w:r w:rsidRPr="00294BBF">
        <w:rPr>
          <w:rFonts w:ascii="Times New Roman" w:hAnsi="Times New Roman" w:cs="Times New Roman"/>
          <w:b w:val="0"/>
          <w:color w:val="000000" w:themeColor="text1"/>
        </w:rPr>
        <w:t xml:space="preserve">presences; </w:t>
      </w:r>
      <w:r w:rsidR="002A3B1D">
        <w:rPr>
          <w:rFonts w:ascii="Times New Roman" w:hAnsi="Times New Roman" w:cs="Times New Roman"/>
          <w:b w:val="0"/>
          <w:color w:val="000000" w:themeColor="text1"/>
        </w:rPr>
        <w:t>FN (false negatives)</w:t>
      </w:r>
      <w:r w:rsidRPr="00294BBF">
        <w:rPr>
          <w:rFonts w:ascii="Times New Roman" w:hAnsi="Times New Roman" w:cs="Times New Roman"/>
          <w:b w:val="0"/>
          <w:color w:val="000000" w:themeColor="text1"/>
        </w:rPr>
        <w:t>:</w:t>
      </w:r>
      <w:r w:rsidR="002A3B1D" w:rsidRPr="002A3B1D">
        <w:rPr>
          <w:rFonts w:ascii="Times New Roman" w:hAnsi="Times New Roman" w:cs="Times New Roman"/>
          <w:b w:val="0"/>
        </w:rPr>
        <w:t xml:space="preserve"> </w:t>
      </w:r>
      <w:r w:rsidR="002A3B1D" w:rsidRPr="005817C7">
        <w:rPr>
          <w:rFonts w:ascii="Times New Roman" w:hAnsi="Times New Roman" w:cs="Times New Roman"/>
          <w:b w:val="0"/>
        </w:rPr>
        <w:t>erroneously predicted absences</w:t>
      </w:r>
      <w:r w:rsidR="002A3B1D">
        <w:rPr>
          <w:rFonts w:ascii="Times New Roman" w:hAnsi="Times New Roman" w:cs="Times New Roman"/>
          <w:b w:val="0"/>
          <w:color w:val="000000" w:themeColor="text1"/>
        </w:rPr>
        <w:t>; TN (true negatives)</w:t>
      </w:r>
      <w:r w:rsidRPr="00294BBF">
        <w:rPr>
          <w:rFonts w:ascii="Times New Roman" w:hAnsi="Times New Roman" w:cs="Times New Roman"/>
          <w:b w:val="0"/>
          <w:color w:val="000000" w:themeColor="text1"/>
        </w:rPr>
        <w:t xml:space="preserve">: </w:t>
      </w:r>
      <w:r w:rsidR="002A3B1D" w:rsidRPr="00294BBF">
        <w:rPr>
          <w:rFonts w:ascii="Times New Roman" w:hAnsi="Times New Roman" w:cs="Times New Roman"/>
          <w:b w:val="0"/>
          <w:color w:val="000000" w:themeColor="text1"/>
        </w:rPr>
        <w:t>correctly predicted</w:t>
      </w:r>
      <w:r w:rsidR="002A3B1D">
        <w:rPr>
          <w:rFonts w:ascii="Times New Roman" w:hAnsi="Times New Roman" w:cs="Times New Roman"/>
          <w:b w:val="0"/>
          <w:color w:val="000000" w:themeColor="text1"/>
        </w:rPr>
        <w:t xml:space="preserve"> </w:t>
      </w:r>
      <w:r w:rsidRPr="00294BBF">
        <w:rPr>
          <w:rFonts w:ascii="Times New Roman" w:hAnsi="Times New Roman" w:cs="Times New Roman"/>
          <w:b w:val="0"/>
          <w:color w:val="000000" w:themeColor="text1"/>
        </w:rPr>
        <w:t>absences.</w:t>
      </w:r>
    </w:p>
    <w:tbl>
      <w:tblPr>
        <w:tblStyle w:val="Tabel-Gitter"/>
        <w:tblpPr w:leftFromText="141" w:rightFromText="141" w:vertAnchor="text" w:tblpY="1"/>
        <w:tblOverlap w:val="never"/>
        <w:tblW w:w="0" w:type="auto"/>
        <w:tblLook w:val="04A0" w:firstRow="1" w:lastRow="0" w:firstColumn="1" w:lastColumn="0" w:noHBand="0" w:noVBand="1"/>
      </w:tblPr>
      <w:tblGrid>
        <w:gridCol w:w="959"/>
        <w:gridCol w:w="1134"/>
        <w:gridCol w:w="1134"/>
        <w:gridCol w:w="1145"/>
      </w:tblGrid>
      <w:tr w:rsidR="002A3B1D" w:rsidRPr="00923411" w14:paraId="1A8B311D" w14:textId="77777777" w:rsidTr="006773E4">
        <w:trPr>
          <w:trHeight w:val="20"/>
        </w:trPr>
        <w:tc>
          <w:tcPr>
            <w:tcW w:w="959" w:type="dxa"/>
            <w:tcBorders>
              <w:top w:val="single" w:sz="4" w:space="0" w:color="auto"/>
              <w:left w:val="nil"/>
              <w:bottom w:val="nil"/>
              <w:right w:val="nil"/>
            </w:tcBorders>
            <w:vAlign w:val="bottom"/>
          </w:tcPr>
          <w:p w14:paraId="05008FD0" w14:textId="77777777" w:rsidR="002A3B1D" w:rsidRPr="006773E4" w:rsidRDefault="002A3B1D" w:rsidP="006773E4">
            <w:pPr>
              <w:spacing w:after="0" w:line="276" w:lineRule="auto"/>
              <w:jc w:val="left"/>
              <w:rPr>
                <w:rFonts w:asciiTheme="minorHAnsi" w:hAnsiTheme="minorHAnsi" w:cstheme="minorHAnsi"/>
                <w:color w:val="000000" w:themeColor="text1"/>
                <w:sz w:val="22"/>
              </w:rPr>
            </w:pPr>
          </w:p>
        </w:tc>
        <w:tc>
          <w:tcPr>
            <w:tcW w:w="1134" w:type="dxa"/>
            <w:tcBorders>
              <w:top w:val="single" w:sz="4" w:space="0" w:color="auto"/>
              <w:left w:val="nil"/>
              <w:bottom w:val="nil"/>
              <w:right w:val="nil"/>
            </w:tcBorders>
            <w:vAlign w:val="bottom"/>
          </w:tcPr>
          <w:p w14:paraId="0199E23A" w14:textId="77777777" w:rsidR="002A3B1D" w:rsidRPr="006773E4" w:rsidRDefault="002A3B1D" w:rsidP="006773E4">
            <w:pPr>
              <w:spacing w:after="0" w:line="276" w:lineRule="auto"/>
              <w:jc w:val="center"/>
              <w:rPr>
                <w:rFonts w:asciiTheme="minorHAnsi" w:hAnsiTheme="minorHAnsi" w:cstheme="minorHAnsi"/>
                <w:color w:val="000000" w:themeColor="text1"/>
                <w:sz w:val="22"/>
              </w:rPr>
            </w:pPr>
          </w:p>
        </w:tc>
        <w:tc>
          <w:tcPr>
            <w:tcW w:w="2279" w:type="dxa"/>
            <w:gridSpan w:val="2"/>
            <w:tcBorders>
              <w:top w:val="single" w:sz="4" w:space="0" w:color="auto"/>
              <w:left w:val="nil"/>
              <w:bottom w:val="nil"/>
              <w:right w:val="nil"/>
            </w:tcBorders>
            <w:vAlign w:val="bottom"/>
          </w:tcPr>
          <w:p w14:paraId="07887F60" w14:textId="77777777" w:rsidR="002A3B1D" w:rsidRPr="006773E4" w:rsidRDefault="002A3B1D" w:rsidP="006773E4">
            <w:pPr>
              <w:spacing w:after="0" w:line="276" w:lineRule="auto"/>
              <w:ind w:firstLine="0"/>
              <w:jc w:val="center"/>
              <w:rPr>
                <w:rFonts w:asciiTheme="minorHAnsi" w:hAnsiTheme="minorHAnsi" w:cstheme="minorHAnsi"/>
                <w:b/>
                <w:color w:val="000000" w:themeColor="text1"/>
                <w:sz w:val="22"/>
              </w:rPr>
            </w:pPr>
            <w:r w:rsidRPr="006773E4">
              <w:rPr>
                <w:rFonts w:asciiTheme="minorHAnsi" w:hAnsiTheme="minorHAnsi" w:cstheme="minorHAnsi"/>
                <w:b/>
                <w:color w:val="000000" w:themeColor="text1"/>
                <w:sz w:val="22"/>
              </w:rPr>
              <w:t>Validation data set</w:t>
            </w:r>
          </w:p>
        </w:tc>
      </w:tr>
      <w:tr w:rsidR="002A3B1D" w:rsidRPr="00923411" w14:paraId="182DBDB5" w14:textId="77777777" w:rsidTr="006773E4">
        <w:trPr>
          <w:trHeight w:val="390"/>
        </w:trPr>
        <w:tc>
          <w:tcPr>
            <w:tcW w:w="959" w:type="dxa"/>
            <w:tcBorders>
              <w:top w:val="nil"/>
              <w:left w:val="nil"/>
              <w:bottom w:val="single" w:sz="4" w:space="0" w:color="auto"/>
              <w:right w:val="nil"/>
            </w:tcBorders>
            <w:vAlign w:val="bottom"/>
          </w:tcPr>
          <w:p w14:paraId="68E7DD18" w14:textId="77777777" w:rsidR="002A3B1D" w:rsidRPr="006773E4" w:rsidRDefault="002A3B1D" w:rsidP="006773E4">
            <w:pPr>
              <w:spacing w:after="0" w:line="276" w:lineRule="auto"/>
              <w:jc w:val="left"/>
              <w:rPr>
                <w:rFonts w:asciiTheme="minorHAnsi" w:hAnsiTheme="minorHAnsi" w:cstheme="minorHAnsi"/>
                <w:color w:val="000000" w:themeColor="text1"/>
                <w:sz w:val="22"/>
              </w:rPr>
            </w:pPr>
          </w:p>
        </w:tc>
        <w:tc>
          <w:tcPr>
            <w:tcW w:w="1134" w:type="dxa"/>
            <w:tcBorders>
              <w:top w:val="nil"/>
              <w:left w:val="nil"/>
              <w:bottom w:val="single" w:sz="4" w:space="0" w:color="auto"/>
              <w:right w:val="nil"/>
            </w:tcBorders>
            <w:vAlign w:val="bottom"/>
          </w:tcPr>
          <w:p w14:paraId="2219C2B7" w14:textId="77777777" w:rsidR="002A3B1D" w:rsidRPr="006773E4" w:rsidRDefault="002A3B1D" w:rsidP="006773E4">
            <w:pPr>
              <w:spacing w:after="0" w:line="276" w:lineRule="auto"/>
              <w:jc w:val="left"/>
              <w:rPr>
                <w:rFonts w:asciiTheme="minorHAnsi" w:hAnsiTheme="minorHAnsi" w:cstheme="minorHAnsi"/>
                <w:color w:val="000000" w:themeColor="text1"/>
                <w:sz w:val="22"/>
              </w:rPr>
            </w:pPr>
          </w:p>
        </w:tc>
        <w:tc>
          <w:tcPr>
            <w:tcW w:w="1134" w:type="dxa"/>
            <w:tcBorders>
              <w:top w:val="nil"/>
              <w:left w:val="nil"/>
              <w:bottom w:val="single" w:sz="4" w:space="0" w:color="auto"/>
              <w:right w:val="nil"/>
            </w:tcBorders>
            <w:vAlign w:val="bottom"/>
          </w:tcPr>
          <w:p w14:paraId="514FB24F" w14:textId="77777777" w:rsidR="002A3B1D" w:rsidRPr="006773E4" w:rsidRDefault="002A3B1D" w:rsidP="006773E4">
            <w:pPr>
              <w:tabs>
                <w:tab w:val="left" w:pos="1026"/>
              </w:tabs>
              <w:spacing w:after="0" w:line="276" w:lineRule="auto"/>
              <w:ind w:firstLine="0"/>
              <w:jc w:val="center"/>
              <w:rPr>
                <w:rFonts w:asciiTheme="minorHAnsi" w:hAnsiTheme="minorHAnsi" w:cstheme="minorHAnsi"/>
                <w:color w:val="000000" w:themeColor="text1"/>
                <w:sz w:val="22"/>
              </w:rPr>
            </w:pPr>
            <w:r w:rsidRPr="006773E4">
              <w:rPr>
                <w:rFonts w:asciiTheme="minorHAnsi" w:hAnsiTheme="minorHAnsi" w:cstheme="minorHAnsi"/>
                <w:color w:val="000000" w:themeColor="text1"/>
                <w:sz w:val="22"/>
              </w:rPr>
              <w:t>Presence</w:t>
            </w:r>
          </w:p>
        </w:tc>
        <w:tc>
          <w:tcPr>
            <w:tcW w:w="1145" w:type="dxa"/>
            <w:tcBorders>
              <w:top w:val="nil"/>
              <w:left w:val="nil"/>
              <w:bottom w:val="single" w:sz="4" w:space="0" w:color="auto"/>
              <w:right w:val="nil"/>
            </w:tcBorders>
            <w:vAlign w:val="bottom"/>
          </w:tcPr>
          <w:p w14:paraId="797853A4" w14:textId="77777777" w:rsidR="002A3B1D" w:rsidRPr="006773E4" w:rsidRDefault="002A3B1D" w:rsidP="006773E4">
            <w:pPr>
              <w:spacing w:after="0" w:line="276" w:lineRule="auto"/>
              <w:ind w:firstLine="0"/>
              <w:jc w:val="center"/>
              <w:rPr>
                <w:rFonts w:asciiTheme="minorHAnsi" w:hAnsiTheme="minorHAnsi" w:cstheme="minorHAnsi"/>
                <w:color w:val="000000" w:themeColor="text1"/>
                <w:sz w:val="22"/>
              </w:rPr>
            </w:pPr>
            <w:r w:rsidRPr="006773E4">
              <w:rPr>
                <w:rFonts w:asciiTheme="minorHAnsi" w:hAnsiTheme="minorHAnsi" w:cstheme="minorHAnsi"/>
                <w:color w:val="000000" w:themeColor="text1"/>
                <w:sz w:val="22"/>
              </w:rPr>
              <w:t>Absence</w:t>
            </w:r>
          </w:p>
        </w:tc>
      </w:tr>
      <w:tr w:rsidR="002A3B1D" w:rsidRPr="00923411" w14:paraId="1860F184" w14:textId="77777777" w:rsidTr="006773E4">
        <w:trPr>
          <w:trHeight w:val="20"/>
        </w:trPr>
        <w:tc>
          <w:tcPr>
            <w:tcW w:w="959" w:type="dxa"/>
            <w:tcBorders>
              <w:top w:val="single" w:sz="4" w:space="0" w:color="auto"/>
              <w:left w:val="nil"/>
              <w:bottom w:val="nil"/>
              <w:right w:val="nil"/>
            </w:tcBorders>
            <w:vAlign w:val="bottom"/>
          </w:tcPr>
          <w:p w14:paraId="2DD37749" w14:textId="77777777" w:rsidR="002A3B1D" w:rsidRPr="006773E4" w:rsidRDefault="002A3B1D" w:rsidP="006773E4">
            <w:pPr>
              <w:spacing w:after="0" w:line="276" w:lineRule="auto"/>
              <w:ind w:firstLine="0"/>
              <w:jc w:val="left"/>
              <w:rPr>
                <w:rFonts w:asciiTheme="minorHAnsi" w:hAnsiTheme="minorHAnsi" w:cstheme="minorHAnsi"/>
                <w:b/>
                <w:color w:val="000000" w:themeColor="text1"/>
                <w:sz w:val="22"/>
              </w:rPr>
            </w:pPr>
            <w:r w:rsidRPr="006773E4">
              <w:rPr>
                <w:rFonts w:asciiTheme="minorHAnsi" w:hAnsiTheme="minorHAnsi" w:cstheme="minorHAnsi"/>
                <w:b/>
                <w:color w:val="000000" w:themeColor="text1"/>
                <w:sz w:val="22"/>
              </w:rPr>
              <w:t>Model</w:t>
            </w:r>
          </w:p>
        </w:tc>
        <w:tc>
          <w:tcPr>
            <w:tcW w:w="1134" w:type="dxa"/>
            <w:tcBorders>
              <w:top w:val="single" w:sz="4" w:space="0" w:color="auto"/>
              <w:left w:val="nil"/>
              <w:bottom w:val="nil"/>
              <w:right w:val="nil"/>
            </w:tcBorders>
            <w:vAlign w:val="bottom"/>
          </w:tcPr>
          <w:p w14:paraId="2493FDA5" w14:textId="77777777" w:rsidR="002A3B1D" w:rsidRPr="006773E4" w:rsidRDefault="002A3B1D" w:rsidP="006773E4">
            <w:pPr>
              <w:spacing w:after="0" w:line="276" w:lineRule="auto"/>
              <w:ind w:firstLine="0"/>
              <w:jc w:val="left"/>
              <w:rPr>
                <w:rFonts w:asciiTheme="minorHAnsi" w:hAnsiTheme="minorHAnsi" w:cstheme="minorHAnsi"/>
                <w:color w:val="000000" w:themeColor="text1"/>
                <w:sz w:val="22"/>
              </w:rPr>
            </w:pPr>
            <w:r w:rsidRPr="006773E4">
              <w:rPr>
                <w:rFonts w:asciiTheme="minorHAnsi" w:hAnsiTheme="minorHAnsi" w:cstheme="minorHAnsi"/>
                <w:color w:val="000000" w:themeColor="text1"/>
                <w:sz w:val="22"/>
              </w:rPr>
              <w:t>Presence</w:t>
            </w:r>
          </w:p>
        </w:tc>
        <w:tc>
          <w:tcPr>
            <w:tcW w:w="1134" w:type="dxa"/>
            <w:tcBorders>
              <w:top w:val="single" w:sz="4" w:space="0" w:color="auto"/>
              <w:left w:val="nil"/>
              <w:bottom w:val="nil"/>
              <w:right w:val="nil"/>
            </w:tcBorders>
            <w:vAlign w:val="bottom"/>
          </w:tcPr>
          <w:p w14:paraId="5C76596A" w14:textId="30C18AAF" w:rsidR="002A3B1D" w:rsidRPr="006773E4" w:rsidRDefault="002A3B1D" w:rsidP="006773E4">
            <w:pPr>
              <w:spacing w:after="0" w:line="276" w:lineRule="auto"/>
              <w:jc w:val="left"/>
              <w:rPr>
                <w:rFonts w:asciiTheme="minorHAnsi" w:hAnsiTheme="minorHAnsi" w:cstheme="minorHAnsi"/>
                <w:color w:val="000000" w:themeColor="text1"/>
                <w:sz w:val="22"/>
              </w:rPr>
            </w:pPr>
            <w:r w:rsidRPr="006773E4">
              <w:rPr>
                <w:rFonts w:asciiTheme="minorHAnsi" w:hAnsiTheme="minorHAnsi" w:cstheme="minorHAnsi"/>
                <w:color w:val="000000" w:themeColor="text1"/>
                <w:sz w:val="22"/>
              </w:rPr>
              <w:t>TP</w:t>
            </w:r>
          </w:p>
        </w:tc>
        <w:tc>
          <w:tcPr>
            <w:tcW w:w="1145" w:type="dxa"/>
            <w:tcBorders>
              <w:top w:val="single" w:sz="4" w:space="0" w:color="auto"/>
              <w:left w:val="nil"/>
              <w:bottom w:val="nil"/>
              <w:right w:val="nil"/>
            </w:tcBorders>
            <w:vAlign w:val="bottom"/>
          </w:tcPr>
          <w:p w14:paraId="4351135F" w14:textId="7AFFC1AC" w:rsidR="002A3B1D" w:rsidRPr="006773E4" w:rsidRDefault="002A3B1D" w:rsidP="006773E4">
            <w:pPr>
              <w:spacing w:after="0" w:line="276" w:lineRule="auto"/>
              <w:jc w:val="left"/>
              <w:rPr>
                <w:rFonts w:asciiTheme="minorHAnsi" w:hAnsiTheme="minorHAnsi" w:cstheme="minorHAnsi"/>
                <w:color w:val="000000" w:themeColor="text1"/>
                <w:sz w:val="22"/>
              </w:rPr>
            </w:pPr>
            <w:r w:rsidRPr="006773E4">
              <w:rPr>
                <w:rFonts w:asciiTheme="minorHAnsi" w:hAnsiTheme="minorHAnsi" w:cstheme="minorHAnsi"/>
                <w:color w:val="000000" w:themeColor="text1"/>
                <w:sz w:val="22"/>
              </w:rPr>
              <w:t>FP</w:t>
            </w:r>
          </w:p>
        </w:tc>
      </w:tr>
      <w:tr w:rsidR="002A3B1D" w:rsidRPr="00923411" w14:paraId="07434E1C" w14:textId="77777777" w:rsidTr="006773E4">
        <w:trPr>
          <w:trHeight w:val="20"/>
        </w:trPr>
        <w:tc>
          <w:tcPr>
            <w:tcW w:w="959" w:type="dxa"/>
            <w:tcBorders>
              <w:top w:val="nil"/>
              <w:left w:val="nil"/>
              <w:bottom w:val="single" w:sz="4" w:space="0" w:color="auto"/>
              <w:right w:val="nil"/>
            </w:tcBorders>
            <w:vAlign w:val="bottom"/>
          </w:tcPr>
          <w:p w14:paraId="5A1E0BCD" w14:textId="77777777" w:rsidR="002A3B1D" w:rsidRPr="006773E4" w:rsidRDefault="002A3B1D" w:rsidP="006773E4">
            <w:pPr>
              <w:spacing w:after="0" w:line="276" w:lineRule="auto"/>
              <w:jc w:val="left"/>
              <w:rPr>
                <w:rFonts w:asciiTheme="minorHAnsi" w:hAnsiTheme="minorHAnsi" w:cstheme="minorHAnsi"/>
                <w:color w:val="000000" w:themeColor="text1"/>
                <w:sz w:val="22"/>
              </w:rPr>
            </w:pPr>
          </w:p>
        </w:tc>
        <w:tc>
          <w:tcPr>
            <w:tcW w:w="1134" w:type="dxa"/>
            <w:tcBorders>
              <w:top w:val="nil"/>
              <w:left w:val="nil"/>
              <w:bottom w:val="single" w:sz="4" w:space="0" w:color="auto"/>
              <w:right w:val="nil"/>
            </w:tcBorders>
            <w:vAlign w:val="bottom"/>
          </w:tcPr>
          <w:p w14:paraId="4DB78FD0" w14:textId="77777777" w:rsidR="002A3B1D" w:rsidRPr="006773E4" w:rsidRDefault="002A3B1D" w:rsidP="006773E4">
            <w:pPr>
              <w:spacing w:after="0" w:line="276" w:lineRule="auto"/>
              <w:ind w:firstLine="0"/>
              <w:jc w:val="left"/>
              <w:rPr>
                <w:rFonts w:asciiTheme="minorHAnsi" w:hAnsiTheme="minorHAnsi" w:cstheme="minorHAnsi"/>
                <w:color w:val="000000" w:themeColor="text1"/>
                <w:sz w:val="22"/>
              </w:rPr>
            </w:pPr>
            <w:r w:rsidRPr="006773E4">
              <w:rPr>
                <w:rFonts w:asciiTheme="minorHAnsi" w:hAnsiTheme="minorHAnsi" w:cstheme="minorHAnsi"/>
                <w:color w:val="000000" w:themeColor="text1"/>
                <w:sz w:val="22"/>
              </w:rPr>
              <w:t>Absence</w:t>
            </w:r>
          </w:p>
        </w:tc>
        <w:tc>
          <w:tcPr>
            <w:tcW w:w="1134" w:type="dxa"/>
            <w:tcBorders>
              <w:top w:val="nil"/>
              <w:left w:val="nil"/>
              <w:bottom w:val="single" w:sz="4" w:space="0" w:color="auto"/>
              <w:right w:val="nil"/>
            </w:tcBorders>
            <w:vAlign w:val="bottom"/>
          </w:tcPr>
          <w:p w14:paraId="1614FE53" w14:textId="704BD92F" w:rsidR="002A3B1D" w:rsidRPr="006773E4" w:rsidRDefault="002A3B1D" w:rsidP="006773E4">
            <w:pPr>
              <w:spacing w:after="0" w:line="276" w:lineRule="auto"/>
              <w:jc w:val="left"/>
              <w:rPr>
                <w:rFonts w:asciiTheme="minorHAnsi" w:hAnsiTheme="minorHAnsi" w:cstheme="minorHAnsi"/>
                <w:color w:val="000000" w:themeColor="text1"/>
                <w:sz w:val="22"/>
              </w:rPr>
            </w:pPr>
            <w:r w:rsidRPr="006773E4">
              <w:rPr>
                <w:rFonts w:asciiTheme="minorHAnsi" w:hAnsiTheme="minorHAnsi" w:cstheme="minorHAnsi"/>
                <w:color w:val="000000" w:themeColor="text1"/>
                <w:sz w:val="22"/>
              </w:rPr>
              <w:t>FN</w:t>
            </w:r>
          </w:p>
        </w:tc>
        <w:tc>
          <w:tcPr>
            <w:tcW w:w="1145" w:type="dxa"/>
            <w:tcBorders>
              <w:top w:val="nil"/>
              <w:left w:val="nil"/>
              <w:bottom w:val="single" w:sz="4" w:space="0" w:color="auto"/>
              <w:right w:val="nil"/>
            </w:tcBorders>
            <w:vAlign w:val="bottom"/>
          </w:tcPr>
          <w:p w14:paraId="3E6D6EE0" w14:textId="779A6DAC" w:rsidR="002A3B1D" w:rsidRPr="006773E4" w:rsidRDefault="002A3B1D" w:rsidP="002A3B1D">
            <w:pPr>
              <w:spacing w:after="0" w:line="276" w:lineRule="auto"/>
              <w:jc w:val="left"/>
              <w:rPr>
                <w:rFonts w:asciiTheme="minorHAnsi" w:hAnsiTheme="minorHAnsi" w:cstheme="minorHAnsi"/>
                <w:color w:val="000000" w:themeColor="text1"/>
                <w:sz w:val="22"/>
              </w:rPr>
            </w:pPr>
            <w:r w:rsidRPr="006773E4">
              <w:rPr>
                <w:rFonts w:asciiTheme="minorHAnsi" w:hAnsiTheme="minorHAnsi" w:cstheme="minorHAnsi"/>
                <w:color w:val="000000" w:themeColor="text1"/>
                <w:sz w:val="22"/>
              </w:rPr>
              <w:t>TN</w:t>
            </w:r>
          </w:p>
        </w:tc>
      </w:tr>
    </w:tbl>
    <w:p w14:paraId="0AA9BFF0" w14:textId="77777777" w:rsidR="002A3B1D" w:rsidRDefault="002A3B1D" w:rsidP="002A3B1D"/>
    <w:p w14:paraId="782759AF" w14:textId="77777777" w:rsidR="002A3B1D" w:rsidRPr="002A3B1D" w:rsidRDefault="002A3B1D" w:rsidP="002A3B1D"/>
    <w:p w14:paraId="0D5F3BDF" w14:textId="77777777" w:rsidR="006773E4" w:rsidRDefault="006773E4" w:rsidP="0084106E">
      <w:pPr>
        <w:pStyle w:val="Billedtekst"/>
        <w:spacing w:line="276" w:lineRule="auto"/>
        <w:rPr>
          <w:rFonts w:ascii="Times New Roman" w:hAnsi="Times New Roman" w:cs="Times New Roman"/>
          <w:color w:val="000000" w:themeColor="text1"/>
        </w:rPr>
      </w:pPr>
    </w:p>
    <w:p w14:paraId="25D94F1A" w14:textId="77777777" w:rsidR="006773E4" w:rsidRDefault="006773E4" w:rsidP="0084106E">
      <w:pPr>
        <w:pStyle w:val="Billedtekst"/>
        <w:spacing w:line="276" w:lineRule="auto"/>
        <w:rPr>
          <w:rFonts w:ascii="Times New Roman" w:hAnsi="Times New Roman" w:cs="Times New Roman"/>
          <w:color w:val="000000" w:themeColor="text1"/>
        </w:rPr>
      </w:pPr>
    </w:p>
    <w:p w14:paraId="78AA3F73" w14:textId="47290B4F" w:rsidR="0084106E" w:rsidRDefault="00923411" w:rsidP="0084106E">
      <w:pPr>
        <w:pStyle w:val="Billedtekst"/>
        <w:spacing w:line="276" w:lineRule="auto"/>
        <w:rPr>
          <w:rFonts w:ascii="Times New Roman" w:hAnsi="Times New Roman" w:cs="Times New Roman"/>
          <w:b w:val="0"/>
          <w:color w:val="000000" w:themeColor="text1"/>
        </w:rPr>
      </w:pPr>
      <w:proofErr w:type="gramStart"/>
      <w:r w:rsidRPr="00294BBF">
        <w:rPr>
          <w:rFonts w:ascii="Times New Roman" w:hAnsi="Times New Roman" w:cs="Times New Roman"/>
          <w:color w:val="000000" w:themeColor="text1"/>
        </w:rPr>
        <w:t xml:space="preserve">Table </w:t>
      </w:r>
      <w:r w:rsidRPr="00294BBF">
        <w:rPr>
          <w:rFonts w:ascii="Times New Roman" w:hAnsi="Times New Roman" w:cs="Times New Roman"/>
          <w:color w:val="000000" w:themeColor="text1"/>
        </w:rPr>
        <w:fldChar w:fldCharType="begin"/>
      </w:r>
      <w:r w:rsidRPr="00294BBF">
        <w:rPr>
          <w:rFonts w:ascii="Times New Roman" w:hAnsi="Times New Roman" w:cs="Times New Roman"/>
          <w:color w:val="000000" w:themeColor="text1"/>
        </w:rPr>
        <w:instrText xml:space="preserve"> SEQ Table \* ARABIC </w:instrText>
      </w:r>
      <w:r w:rsidRPr="00294BBF">
        <w:rPr>
          <w:rFonts w:ascii="Times New Roman" w:hAnsi="Times New Roman" w:cs="Times New Roman"/>
          <w:color w:val="000000" w:themeColor="text1"/>
        </w:rPr>
        <w:fldChar w:fldCharType="separate"/>
      </w:r>
      <w:r w:rsidRPr="00294BBF">
        <w:rPr>
          <w:rFonts w:ascii="Times New Roman" w:hAnsi="Times New Roman" w:cs="Times New Roman"/>
          <w:noProof/>
          <w:color w:val="000000" w:themeColor="text1"/>
        </w:rPr>
        <w:t>2</w:t>
      </w:r>
      <w:r w:rsidRPr="00294BBF">
        <w:rPr>
          <w:rFonts w:ascii="Times New Roman" w:hAnsi="Times New Roman" w:cs="Times New Roman"/>
          <w:noProof/>
          <w:color w:val="000000" w:themeColor="text1"/>
        </w:rPr>
        <w:fldChar w:fldCharType="end"/>
      </w:r>
      <w:r w:rsidRPr="00294BBF">
        <w:rPr>
          <w:rFonts w:ascii="Times New Roman" w:hAnsi="Times New Roman" w:cs="Times New Roman"/>
          <w:color w:val="000000" w:themeColor="text1"/>
        </w:rPr>
        <w:t>.</w:t>
      </w:r>
      <w:proofErr w:type="gramEnd"/>
      <w:r w:rsidRPr="00294BBF">
        <w:rPr>
          <w:rFonts w:ascii="Times New Roman" w:hAnsi="Times New Roman" w:cs="Times New Roman"/>
          <w:color w:val="000000" w:themeColor="text1"/>
        </w:rPr>
        <w:t xml:space="preserve"> </w:t>
      </w:r>
      <w:proofErr w:type="gramStart"/>
      <w:r w:rsidRPr="00294BBF">
        <w:rPr>
          <w:rFonts w:ascii="Times New Roman" w:hAnsi="Times New Roman" w:cs="Times New Roman"/>
          <w:b w:val="0"/>
          <w:color w:val="000000" w:themeColor="text1"/>
        </w:rPr>
        <w:t>Model fitting result o</w:t>
      </w:r>
      <w:r w:rsidR="002E4CF6" w:rsidRPr="00294BBF">
        <w:rPr>
          <w:rFonts w:ascii="Times New Roman" w:hAnsi="Times New Roman" w:cs="Times New Roman"/>
          <w:b w:val="0"/>
          <w:color w:val="000000" w:themeColor="text1"/>
        </w:rPr>
        <w:t>f the space-time interpolation.</w:t>
      </w:r>
      <w:proofErr w:type="gramEnd"/>
      <w:r w:rsidRPr="00294BBF">
        <w:rPr>
          <w:rFonts w:ascii="Times New Roman" w:hAnsi="Times New Roman" w:cs="Times New Roman"/>
          <w:b w:val="0"/>
          <w:color w:val="000000" w:themeColor="text1"/>
        </w:rPr>
        <w:tab/>
      </w:r>
      <w:r w:rsidRPr="00294BBF">
        <w:rPr>
          <w:rFonts w:ascii="Times New Roman" w:hAnsi="Times New Roman" w:cs="Times New Roman"/>
          <w:color w:val="000000" w:themeColor="text1"/>
        </w:rPr>
        <w:br/>
      </w:r>
      <w:r w:rsidR="0016722A" w:rsidRPr="00294BBF">
        <w:rPr>
          <w:rFonts w:ascii="Times New Roman" w:hAnsi="Times New Roman" w:cs="Times New Roman"/>
          <w:b w:val="0"/>
          <w:color w:val="000000" w:themeColor="text1"/>
        </w:rPr>
        <w:t>Model formulation (</w:t>
      </w:r>
      <w:proofErr w:type="gramStart"/>
      <w:r w:rsidR="0016722A" w:rsidRPr="00294BBF">
        <w:rPr>
          <w:rFonts w:ascii="Times New Roman" w:hAnsi="Times New Roman" w:cs="Times New Roman"/>
          <w:b w:val="0"/>
          <w:i/>
          <w:color w:val="000000" w:themeColor="text1"/>
        </w:rPr>
        <w:t>f(</w:t>
      </w:r>
      <w:proofErr w:type="gramEnd"/>
      <w:r w:rsidR="0016722A" w:rsidRPr="00294BBF">
        <w:rPr>
          <w:rFonts w:ascii="Times New Roman" w:hAnsi="Times New Roman" w:cs="Times New Roman"/>
          <w:b w:val="0"/>
          <w:i/>
          <w:color w:val="000000" w:themeColor="text1"/>
        </w:rPr>
        <w:t>)</w:t>
      </w:r>
      <w:r w:rsidR="0016722A" w:rsidRPr="00294BBF">
        <w:rPr>
          <w:rFonts w:ascii="Times New Roman" w:hAnsi="Times New Roman" w:cs="Times New Roman"/>
          <w:b w:val="0"/>
          <w:color w:val="000000" w:themeColor="text1"/>
        </w:rPr>
        <w:t xml:space="preserve"> in equation 1) is expressed as an equation where each term is implemented in the model using a either a 1D spline smoother (single terms) or a 2D tensor-product smoother (multiplied terms)</w:t>
      </w:r>
      <w:r w:rsidR="00FC6895">
        <w:rPr>
          <w:rFonts w:ascii="Times New Roman" w:hAnsi="Times New Roman" w:cs="Times New Roman"/>
          <w:b w:val="0"/>
          <w:color w:val="000000" w:themeColor="text1"/>
        </w:rPr>
        <w:t xml:space="preserve"> and</w:t>
      </w:r>
      <w:r w:rsidR="0016722A" w:rsidRPr="00294BBF">
        <w:rPr>
          <w:rFonts w:ascii="Times New Roman" w:hAnsi="Times New Roman" w:cs="Times New Roman"/>
          <w:b w:val="0"/>
          <w:color w:val="000000" w:themeColor="text1"/>
        </w:rPr>
        <w:t xml:space="preserve"> </w:t>
      </w:r>
      <w:r w:rsidRPr="006773E4">
        <w:rPr>
          <w:rFonts w:ascii="Times New Roman" w:eastAsia="Times New Roman" w:hAnsi="Times New Roman" w:cs="Times New Roman"/>
          <w:color w:val="000000" w:themeColor="text1"/>
          <w:szCs w:val="22"/>
          <w:lang w:eastAsia="en-GB"/>
        </w:rPr>
        <w:t>|</w:t>
      </w:r>
      <w:r w:rsidRPr="00294BBF">
        <w:rPr>
          <w:rFonts w:ascii="Times New Roman" w:eastAsia="Times New Roman" w:hAnsi="Times New Roman" w:cs="Times New Roman"/>
          <w:b w:val="0"/>
          <w:color w:val="000000" w:themeColor="text1"/>
          <w:szCs w:val="22"/>
          <w:lang w:eastAsia="en-GB"/>
        </w:rPr>
        <w:t xml:space="preserve">regime indicates the term is conditional on the </w:t>
      </w:r>
      <w:r w:rsidR="001F1A20">
        <w:rPr>
          <w:rFonts w:ascii="Times New Roman" w:eastAsia="Times New Roman" w:hAnsi="Times New Roman" w:cs="Times New Roman"/>
          <w:b w:val="0"/>
          <w:color w:val="000000" w:themeColor="text1"/>
          <w:szCs w:val="22"/>
          <w:lang w:eastAsia="en-GB"/>
        </w:rPr>
        <w:t xml:space="preserve">oceanographic </w:t>
      </w:r>
      <w:r w:rsidRPr="00294BBF">
        <w:rPr>
          <w:rFonts w:ascii="Times New Roman" w:eastAsia="Times New Roman" w:hAnsi="Times New Roman" w:cs="Times New Roman"/>
          <w:b w:val="0"/>
          <w:color w:val="000000" w:themeColor="text1"/>
          <w:szCs w:val="22"/>
          <w:lang w:eastAsia="en-GB"/>
        </w:rPr>
        <w:t>regime</w:t>
      </w:r>
      <w:r w:rsidRPr="00294BBF">
        <w:rPr>
          <w:rFonts w:ascii="Times New Roman" w:hAnsi="Times New Roman" w:cs="Times New Roman"/>
          <w:b w:val="0"/>
          <w:color w:val="000000" w:themeColor="text1"/>
        </w:rPr>
        <w:t xml:space="preserve"> (3 regimes: fresh &amp; cold, saline &amp; warm, and neutral regime).</w:t>
      </w:r>
      <w:r w:rsidR="006F05DF">
        <w:rPr>
          <w:rFonts w:ascii="Times New Roman" w:hAnsi="Times New Roman" w:cs="Times New Roman"/>
          <w:b w:val="0"/>
          <w:color w:val="000000" w:themeColor="text1"/>
        </w:rPr>
        <w:t xml:space="preserve"> </w:t>
      </w:r>
      <w:proofErr w:type="spellStart"/>
      <w:r w:rsidR="006F05DF">
        <w:rPr>
          <w:rFonts w:ascii="Times New Roman" w:hAnsi="Times New Roman" w:cs="Times New Roman"/>
          <w:b w:val="0"/>
          <w:color w:val="000000" w:themeColor="text1"/>
        </w:rPr>
        <w:t>Lat</w:t>
      </w:r>
      <w:proofErr w:type="spellEnd"/>
      <w:r w:rsidR="006F05DF">
        <w:rPr>
          <w:rFonts w:ascii="Times New Roman" w:hAnsi="Times New Roman" w:cs="Times New Roman"/>
          <w:b w:val="0"/>
          <w:color w:val="000000" w:themeColor="text1"/>
        </w:rPr>
        <w:t>: Latitude; Lon: Longitude;</w:t>
      </w:r>
      <w:r w:rsidRPr="00294BBF">
        <w:rPr>
          <w:rFonts w:ascii="Times New Roman" w:hAnsi="Times New Roman" w:cs="Times New Roman"/>
          <w:b w:val="0"/>
          <w:color w:val="000000" w:themeColor="text1"/>
        </w:rPr>
        <w:t xml:space="preserve"> </w:t>
      </w:r>
      <w:proofErr w:type="gramStart"/>
      <w:r w:rsidR="0084106E" w:rsidRPr="00294BBF">
        <w:rPr>
          <w:rFonts w:ascii="Symbol" w:hAnsi="Symbol"/>
          <w:b w:val="0"/>
          <w:i/>
          <w:color w:val="000000" w:themeColor="text1"/>
        </w:rPr>
        <w:t></w:t>
      </w:r>
      <w:r w:rsidR="0084106E" w:rsidRPr="00294BBF">
        <w:rPr>
          <w:rFonts w:ascii="Times New Roman" w:hAnsi="Times New Roman" w:cs="Times New Roman"/>
          <w:b w:val="0"/>
          <w:color w:val="000000" w:themeColor="text1"/>
        </w:rPr>
        <w:t xml:space="preserve"> :</w:t>
      </w:r>
      <w:proofErr w:type="gramEnd"/>
      <w:r w:rsidR="0084106E" w:rsidRPr="00294BBF">
        <w:rPr>
          <w:rFonts w:ascii="Times New Roman" w:hAnsi="Times New Roman" w:cs="Times New Roman"/>
          <w:b w:val="0"/>
          <w:color w:val="000000" w:themeColor="text1"/>
        </w:rPr>
        <w:t xml:space="preserve"> solar elevation angle; DOY: day of the year; </w:t>
      </w:r>
      <w:proofErr w:type="spellStart"/>
      <w:r w:rsidR="0084106E" w:rsidRPr="00294BBF">
        <w:rPr>
          <w:rFonts w:ascii="Times New Roman" w:hAnsi="Times New Roman" w:cs="Times New Roman"/>
          <w:b w:val="0"/>
          <w:color w:val="000000" w:themeColor="text1"/>
        </w:rPr>
        <w:t>DevExpl</w:t>
      </w:r>
      <w:proofErr w:type="spellEnd"/>
      <w:r w:rsidR="0084106E" w:rsidRPr="00294BBF">
        <w:rPr>
          <w:rFonts w:ascii="Times New Roman" w:hAnsi="Times New Roman" w:cs="Times New Roman"/>
          <w:b w:val="0"/>
          <w:color w:val="000000" w:themeColor="text1"/>
        </w:rPr>
        <w:t xml:space="preserve">: Explained Deviance; AIC: </w:t>
      </w:r>
      <w:proofErr w:type="spellStart"/>
      <w:r w:rsidR="0084106E" w:rsidRPr="00294BBF">
        <w:rPr>
          <w:rFonts w:ascii="Times New Roman" w:hAnsi="Times New Roman" w:cs="Times New Roman"/>
          <w:b w:val="0"/>
          <w:color w:val="000000" w:themeColor="text1"/>
        </w:rPr>
        <w:t>Akaike</w:t>
      </w:r>
      <w:proofErr w:type="spellEnd"/>
      <w:r w:rsidR="0084106E" w:rsidRPr="00294BBF">
        <w:rPr>
          <w:rFonts w:ascii="Times New Roman" w:hAnsi="Times New Roman" w:cs="Times New Roman"/>
          <w:b w:val="0"/>
          <w:color w:val="000000" w:themeColor="text1"/>
        </w:rPr>
        <w:t xml:space="preserve"> Information Criteria; ∆AIC: difference in AIC relative to the smallest AIC value within the model set; TSS: True Skill Statistic; PPV = Positive predictive value; NPV = Negative predictive value.</w:t>
      </w:r>
    </w:p>
    <w:p w14:paraId="1669440E" w14:textId="0275FF09" w:rsidR="00923411" w:rsidRPr="00294BBF" w:rsidRDefault="00923411" w:rsidP="00BD0D95">
      <w:pPr>
        <w:pStyle w:val="Billedtekst"/>
        <w:spacing w:line="276" w:lineRule="auto"/>
        <w:rPr>
          <w:color w:val="000000" w:themeColor="text1"/>
        </w:rPr>
      </w:pPr>
    </w:p>
    <w:tbl>
      <w:tblPr>
        <w:tblW w:w="8548" w:type="dxa"/>
        <w:tblInd w:w="93" w:type="dxa"/>
        <w:tblLook w:val="04A0" w:firstRow="1" w:lastRow="0" w:firstColumn="1" w:lastColumn="0" w:noHBand="0" w:noVBand="1"/>
      </w:tblPr>
      <w:tblGrid>
        <w:gridCol w:w="810"/>
        <w:gridCol w:w="3316"/>
        <w:gridCol w:w="951"/>
        <w:gridCol w:w="663"/>
        <w:gridCol w:w="654"/>
        <w:gridCol w:w="718"/>
        <w:gridCol w:w="718"/>
        <w:gridCol w:w="718"/>
      </w:tblGrid>
      <w:tr w:rsidR="00021DD6" w:rsidRPr="00294BBF" w14:paraId="05355FA5" w14:textId="77777777" w:rsidTr="00B2214D">
        <w:trPr>
          <w:trHeight w:val="300"/>
        </w:trPr>
        <w:tc>
          <w:tcPr>
            <w:tcW w:w="810" w:type="dxa"/>
            <w:tcBorders>
              <w:top w:val="single" w:sz="4" w:space="0" w:color="000000" w:themeColor="text1"/>
              <w:bottom w:val="single" w:sz="4" w:space="0" w:color="auto"/>
              <w:right w:val="nil"/>
            </w:tcBorders>
            <w:shd w:val="clear" w:color="auto" w:fill="auto"/>
            <w:noWrap/>
            <w:vAlign w:val="center"/>
            <w:hideMark/>
          </w:tcPr>
          <w:p w14:paraId="5F648F3F"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Model</w:t>
            </w:r>
          </w:p>
        </w:tc>
        <w:tc>
          <w:tcPr>
            <w:tcW w:w="3316" w:type="dxa"/>
            <w:tcBorders>
              <w:top w:val="single" w:sz="4" w:space="0" w:color="000000" w:themeColor="text1"/>
              <w:left w:val="nil"/>
              <w:bottom w:val="single" w:sz="4" w:space="0" w:color="auto"/>
              <w:right w:val="single" w:sz="4" w:space="0" w:color="FFFFFF" w:themeColor="background1"/>
            </w:tcBorders>
            <w:shd w:val="clear" w:color="auto" w:fill="auto"/>
            <w:noWrap/>
            <w:vAlign w:val="center"/>
            <w:hideMark/>
          </w:tcPr>
          <w:p w14:paraId="2FD84CA3"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Formulation, f()</w:t>
            </w:r>
          </w:p>
        </w:tc>
        <w:tc>
          <w:tcPr>
            <w:tcW w:w="951" w:type="dxa"/>
            <w:tcBorders>
              <w:top w:val="single" w:sz="4" w:space="0" w:color="000000" w:themeColor="text1"/>
              <w:left w:val="single" w:sz="4" w:space="0" w:color="FFFFFF" w:themeColor="background1"/>
              <w:bottom w:val="single" w:sz="4" w:space="0" w:color="auto"/>
              <w:right w:val="nil"/>
            </w:tcBorders>
            <w:shd w:val="clear" w:color="auto" w:fill="auto"/>
            <w:noWrap/>
            <w:vAlign w:val="center"/>
            <w:hideMark/>
          </w:tcPr>
          <w:p w14:paraId="1800E082"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proofErr w:type="spellStart"/>
            <w:r w:rsidRPr="00294BBF">
              <w:rPr>
                <w:rFonts w:ascii="Calibri" w:eastAsia="Times New Roman" w:hAnsi="Calibri" w:cs="Calibri"/>
                <w:b/>
                <w:color w:val="000000" w:themeColor="text1"/>
                <w:sz w:val="22"/>
                <w:lang w:eastAsia="en-GB"/>
              </w:rPr>
              <w:t>DevExpl</w:t>
            </w:r>
            <w:proofErr w:type="spellEnd"/>
          </w:p>
        </w:tc>
        <w:tc>
          <w:tcPr>
            <w:tcW w:w="663" w:type="dxa"/>
            <w:tcBorders>
              <w:top w:val="single" w:sz="4" w:space="0" w:color="000000" w:themeColor="text1"/>
              <w:left w:val="nil"/>
              <w:bottom w:val="single" w:sz="4" w:space="0" w:color="auto"/>
              <w:right w:val="nil"/>
            </w:tcBorders>
            <w:shd w:val="clear" w:color="auto" w:fill="auto"/>
            <w:noWrap/>
            <w:vAlign w:val="center"/>
            <w:hideMark/>
          </w:tcPr>
          <w:p w14:paraId="74B1A627"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AIC</w:t>
            </w:r>
          </w:p>
        </w:tc>
        <w:tc>
          <w:tcPr>
            <w:tcW w:w="654" w:type="dxa"/>
            <w:tcBorders>
              <w:top w:val="single" w:sz="4" w:space="0" w:color="000000" w:themeColor="text1"/>
              <w:left w:val="nil"/>
              <w:bottom w:val="single" w:sz="4" w:space="0" w:color="auto"/>
              <w:right w:val="nil"/>
            </w:tcBorders>
            <w:shd w:val="clear" w:color="auto" w:fill="auto"/>
            <w:noWrap/>
            <w:vAlign w:val="center"/>
            <w:hideMark/>
          </w:tcPr>
          <w:p w14:paraId="5E401895"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∆AIC</w:t>
            </w:r>
          </w:p>
        </w:tc>
        <w:tc>
          <w:tcPr>
            <w:tcW w:w="718" w:type="dxa"/>
            <w:tcBorders>
              <w:top w:val="single" w:sz="4" w:space="0" w:color="000000" w:themeColor="text1"/>
              <w:left w:val="nil"/>
              <w:bottom w:val="single" w:sz="4" w:space="0" w:color="auto"/>
              <w:right w:val="nil"/>
            </w:tcBorders>
            <w:shd w:val="clear" w:color="auto" w:fill="auto"/>
            <w:noWrap/>
            <w:vAlign w:val="center"/>
            <w:hideMark/>
          </w:tcPr>
          <w:p w14:paraId="5BFBF40E"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TSS</w:t>
            </w:r>
          </w:p>
        </w:tc>
        <w:tc>
          <w:tcPr>
            <w:tcW w:w="718" w:type="dxa"/>
            <w:tcBorders>
              <w:top w:val="single" w:sz="4" w:space="0" w:color="000000" w:themeColor="text1"/>
              <w:left w:val="nil"/>
              <w:bottom w:val="single" w:sz="4" w:space="0" w:color="auto"/>
              <w:right w:val="nil"/>
            </w:tcBorders>
            <w:shd w:val="clear" w:color="auto" w:fill="auto"/>
            <w:noWrap/>
            <w:vAlign w:val="center"/>
            <w:hideMark/>
          </w:tcPr>
          <w:p w14:paraId="6BCE9473"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PPV</w:t>
            </w:r>
          </w:p>
        </w:tc>
        <w:tc>
          <w:tcPr>
            <w:tcW w:w="718" w:type="dxa"/>
            <w:tcBorders>
              <w:top w:val="single" w:sz="4" w:space="0" w:color="000000" w:themeColor="text1"/>
              <w:left w:val="nil"/>
              <w:bottom w:val="single" w:sz="4" w:space="0" w:color="auto"/>
              <w:right w:val="nil"/>
            </w:tcBorders>
            <w:shd w:val="clear" w:color="auto" w:fill="auto"/>
            <w:noWrap/>
            <w:vAlign w:val="center"/>
            <w:hideMark/>
          </w:tcPr>
          <w:p w14:paraId="6F21F809"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NPV</w:t>
            </w:r>
          </w:p>
        </w:tc>
      </w:tr>
      <w:tr w:rsidR="00021DD6" w:rsidRPr="00294BBF" w14:paraId="14211B81" w14:textId="77777777" w:rsidTr="00B2214D">
        <w:trPr>
          <w:trHeight w:val="300"/>
        </w:trPr>
        <w:tc>
          <w:tcPr>
            <w:tcW w:w="810" w:type="dxa"/>
            <w:tcBorders>
              <w:top w:val="single" w:sz="4" w:space="0" w:color="auto"/>
              <w:left w:val="nil"/>
              <w:right w:val="nil"/>
            </w:tcBorders>
            <w:shd w:val="clear" w:color="auto" w:fill="auto"/>
            <w:noWrap/>
            <w:vAlign w:val="center"/>
            <w:hideMark/>
          </w:tcPr>
          <w:p w14:paraId="6BA2DF7B"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STI1</w:t>
            </w:r>
          </w:p>
        </w:tc>
        <w:tc>
          <w:tcPr>
            <w:tcW w:w="3316" w:type="dxa"/>
            <w:tcBorders>
              <w:top w:val="single" w:sz="4" w:space="0" w:color="auto"/>
              <w:left w:val="nil"/>
              <w:right w:val="single" w:sz="4" w:space="0" w:color="FFFFFF" w:themeColor="background1"/>
            </w:tcBorders>
            <w:shd w:val="clear" w:color="auto" w:fill="auto"/>
            <w:noWrap/>
            <w:vAlign w:val="center"/>
            <w:hideMark/>
          </w:tcPr>
          <w:p w14:paraId="626467C5"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 xml:space="preserve">Lon x </w:t>
            </w:r>
            <w:proofErr w:type="spellStart"/>
            <w:r w:rsidRPr="00294BBF">
              <w:rPr>
                <w:rFonts w:ascii="Calibri" w:eastAsia="Times New Roman" w:hAnsi="Calibri" w:cs="Calibri"/>
                <w:color w:val="000000" w:themeColor="text1"/>
                <w:sz w:val="22"/>
                <w:lang w:eastAsia="en-GB"/>
              </w:rPr>
              <w:t>Lat</w:t>
            </w:r>
            <w:proofErr w:type="spellEnd"/>
            <w:r w:rsidRPr="00294BBF">
              <w:rPr>
                <w:rFonts w:ascii="Calibri" w:eastAsia="Times New Roman" w:hAnsi="Calibri" w:cs="Calibri"/>
                <w:color w:val="000000" w:themeColor="text1"/>
                <w:sz w:val="22"/>
                <w:lang w:eastAsia="en-GB"/>
              </w:rPr>
              <w:t xml:space="preserve"> x DOY + </w:t>
            </w:r>
            <w:r w:rsidRPr="00294BBF">
              <w:rPr>
                <w:rFonts w:ascii="Symbol" w:eastAsia="Times New Roman" w:hAnsi="Symbol" w:cs="Calibri"/>
                <w:i/>
                <w:color w:val="000000" w:themeColor="text1"/>
                <w:sz w:val="22"/>
                <w:lang w:eastAsia="en-GB"/>
              </w:rPr>
              <w:t></w:t>
            </w:r>
          </w:p>
        </w:tc>
        <w:tc>
          <w:tcPr>
            <w:tcW w:w="951" w:type="dxa"/>
            <w:tcBorders>
              <w:top w:val="single" w:sz="4" w:space="0" w:color="auto"/>
              <w:left w:val="single" w:sz="4" w:space="0" w:color="FFFFFF" w:themeColor="background1"/>
              <w:right w:val="nil"/>
            </w:tcBorders>
            <w:shd w:val="clear" w:color="auto" w:fill="auto"/>
            <w:noWrap/>
            <w:vAlign w:val="center"/>
          </w:tcPr>
          <w:p w14:paraId="40EDD499" w14:textId="77777777" w:rsidR="00923411" w:rsidRPr="00294BBF" w:rsidRDefault="00923411" w:rsidP="00BD0D95">
            <w:pPr>
              <w:spacing w:after="0" w:line="276" w:lineRule="auto"/>
              <w:jc w:val="left"/>
              <w:rPr>
                <w:rFonts w:ascii="Calibri" w:eastAsia="Times New Roman" w:hAnsi="Calibri" w:cs="Calibri"/>
                <w:color w:val="000000" w:themeColor="text1"/>
                <w:sz w:val="22"/>
              </w:rPr>
            </w:pPr>
            <w:r w:rsidRPr="00294BBF">
              <w:rPr>
                <w:rFonts w:ascii="Calibri" w:eastAsia="Times New Roman" w:hAnsi="Calibri" w:cs="Calibri"/>
                <w:color w:val="000000" w:themeColor="text1"/>
                <w:sz w:val="22"/>
              </w:rPr>
              <w:t>0.419</w:t>
            </w:r>
          </w:p>
        </w:tc>
        <w:tc>
          <w:tcPr>
            <w:tcW w:w="663" w:type="dxa"/>
            <w:tcBorders>
              <w:top w:val="single" w:sz="4" w:space="0" w:color="auto"/>
              <w:left w:val="nil"/>
              <w:right w:val="nil"/>
            </w:tcBorders>
            <w:shd w:val="clear" w:color="auto" w:fill="auto"/>
            <w:noWrap/>
            <w:vAlign w:val="center"/>
          </w:tcPr>
          <w:p w14:paraId="7F01B7DC" w14:textId="77777777" w:rsidR="00923411" w:rsidRPr="00294BBF" w:rsidRDefault="00923411" w:rsidP="00BD0D95">
            <w:pPr>
              <w:spacing w:after="0" w:line="276" w:lineRule="auto"/>
              <w:jc w:val="left"/>
              <w:rPr>
                <w:rFonts w:ascii="Calibri" w:eastAsia="Times New Roman" w:hAnsi="Calibri" w:cs="Calibri"/>
                <w:color w:val="000000" w:themeColor="text1"/>
                <w:sz w:val="22"/>
              </w:rPr>
            </w:pPr>
            <w:r w:rsidRPr="00294BBF">
              <w:rPr>
                <w:rFonts w:ascii="Calibri" w:eastAsia="Times New Roman" w:hAnsi="Calibri" w:cs="Calibri"/>
                <w:color w:val="000000" w:themeColor="text1"/>
                <w:sz w:val="22"/>
              </w:rPr>
              <w:t>5977</w:t>
            </w:r>
          </w:p>
        </w:tc>
        <w:tc>
          <w:tcPr>
            <w:tcW w:w="654" w:type="dxa"/>
            <w:tcBorders>
              <w:top w:val="single" w:sz="4" w:space="0" w:color="auto"/>
              <w:left w:val="nil"/>
              <w:right w:val="nil"/>
            </w:tcBorders>
            <w:shd w:val="clear" w:color="auto" w:fill="auto"/>
            <w:noWrap/>
            <w:vAlign w:val="center"/>
          </w:tcPr>
          <w:p w14:paraId="7FF781A8" w14:textId="77777777" w:rsidR="00923411" w:rsidRPr="00294BBF" w:rsidRDefault="00923411" w:rsidP="00BD0D95">
            <w:pPr>
              <w:spacing w:after="0" w:line="276" w:lineRule="auto"/>
              <w:jc w:val="left"/>
              <w:rPr>
                <w:rFonts w:ascii="Calibri" w:eastAsia="Times New Roman" w:hAnsi="Calibri" w:cs="Calibri"/>
                <w:color w:val="000000" w:themeColor="text1"/>
                <w:sz w:val="22"/>
              </w:rPr>
            </w:pPr>
            <w:r w:rsidRPr="00294BBF">
              <w:rPr>
                <w:rFonts w:ascii="Calibri" w:eastAsia="Times New Roman" w:hAnsi="Calibri" w:cs="Calibri"/>
                <w:color w:val="000000" w:themeColor="text1"/>
                <w:sz w:val="22"/>
              </w:rPr>
              <w:t>105</w:t>
            </w:r>
          </w:p>
        </w:tc>
        <w:tc>
          <w:tcPr>
            <w:tcW w:w="718" w:type="dxa"/>
            <w:tcBorders>
              <w:top w:val="single" w:sz="4" w:space="0" w:color="auto"/>
              <w:left w:val="nil"/>
              <w:right w:val="nil"/>
            </w:tcBorders>
            <w:shd w:val="clear" w:color="auto" w:fill="auto"/>
            <w:noWrap/>
            <w:vAlign w:val="center"/>
          </w:tcPr>
          <w:p w14:paraId="55360B48" w14:textId="77777777" w:rsidR="00923411" w:rsidRPr="00294BBF" w:rsidRDefault="00923411" w:rsidP="00BD0D95">
            <w:pPr>
              <w:spacing w:after="0" w:line="276" w:lineRule="auto"/>
              <w:jc w:val="left"/>
              <w:rPr>
                <w:rFonts w:ascii="Calibri" w:eastAsia="Times New Roman" w:hAnsi="Calibri" w:cs="Calibri"/>
                <w:color w:val="000000" w:themeColor="text1"/>
                <w:sz w:val="22"/>
              </w:rPr>
            </w:pPr>
            <w:r w:rsidRPr="00294BBF">
              <w:rPr>
                <w:rFonts w:ascii="Calibri" w:eastAsia="Times New Roman" w:hAnsi="Calibri" w:cs="Calibri"/>
                <w:color w:val="000000" w:themeColor="text1"/>
                <w:sz w:val="22"/>
              </w:rPr>
              <w:t>0.356</w:t>
            </w:r>
          </w:p>
        </w:tc>
        <w:tc>
          <w:tcPr>
            <w:tcW w:w="718" w:type="dxa"/>
            <w:tcBorders>
              <w:top w:val="single" w:sz="4" w:space="0" w:color="auto"/>
              <w:left w:val="nil"/>
              <w:right w:val="nil"/>
            </w:tcBorders>
            <w:shd w:val="clear" w:color="auto" w:fill="auto"/>
            <w:noWrap/>
            <w:vAlign w:val="center"/>
          </w:tcPr>
          <w:p w14:paraId="155BAFBC" w14:textId="77777777" w:rsidR="00923411" w:rsidRPr="00294BBF" w:rsidRDefault="00923411" w:rsidP="00BD0D95">
            <w:pPr>
              <w:spacing w:after="0" w:line="276" w:lineRule="auto"/>
              <w:jc w:val="left"/>
              <w:rPr>
                <w:rFonts w:ascii="Calibri" w:eastAsia="Times New Roman" w:hAnsi="Calibri" w:cs="Calibri"/>
                <w:color w:val="000000" w:themeColor="text1"/>
                <w:sz w:val="22"/>
              </w:rPr>
            </w:pPr>
            <w:r w:rsidRPr="00294BBF">
              <w:rPr>
                <w:rFonts w:ascii="Calibri" w:eastAsia="Times New Roman" w:hAnsi="Calibri" w:cs="Calibri"/>
                <w:color w:val="000000" w:themeColor="text1"/>
                <w:sz w:val="22"/>
              </w:rPr>
              <w:t>0.374</w:t>
            </w:r>
          </w:p>
        </w:tc>
        <w:tc>
          <w:tcPr>
            <w:tcW w:w="718" w:type="dxa"/>
            <w:tcBorders>
              <w:top w:val="single" w:sz="4" w:space="0" w:color="auto"/>
              <w:left w:val="nil"/>
              <w:right w:val="nil"/>
            </w:tcBorders>
            <w:shd w:val="clear" w:color="auto" w:fill="auto"/>
            <w:noWrap/>
            <w:vAlign w:val="center"/>
          </w:tcPr>
          <w:p w14:paraId="79718C52" w14:textId="77777777" w:rsidR="00923411" w:rsidRPr="00294BBF" w:rsidRDefault="00923411" w:rsidP="00BD0D95">
            <w:pPr>
              <w:spacing w:after="0" w:line="276" w:lineRule="auto"/>
              <w:jc w:val="left"/>
              <w:rPr>
                <w:rFonts w:ascii="Calibri" w:eastAsia="Times New Roman" w:hAnsi="Calibri" w:cs="Calibri"/>
                <w:color w:val="000000" w:themeColor="text1"/>
                <w:sz w:val="22"/>
              </w:rPr>
            </w:pPr>
            <w:r w:rsidRPr="00294BBF">
              <w:rPr>
                <w:rFonts w:ascii="Calibri" w:eastAsia="Times New Roman" w:hAnsi="Calibri" w:cs="Calibri"/>
                <w:color w:val="000000" w:themeColor="text1"/>
                <w:sz w:val="22"/>
              </w:rPr>
              <w:t>0.858</w:t>
            </w:r>
          </w:p>
        </w:tc>
      </w:tr>
      <w:tr w:rsidR="007E3C50" w:rsidRPr="00294BBF" w14:paraId="5B6FC4F0" w14:textId="77777777" w:rsidTr="00EA5C2D">
        <w:trPr>
          <w:trHeight w:val="300"/>
        </w:trPr>
        <w:tc>
          <w:tcPr>
            <w:tcW w:w="810" w:type="dxa"/>
            <w:tcBorders>
              <w:top w:val="nil"/>
              <w:left w:val="nil"/>
              <w:bottom w:val="single" w:sz="4" w:space="0" w:color="000000" w:themeColor="text1"/>
              <w:right w:val="nil"/>
            </w:tcBorders>
            <w:shd w:val="clear" w:color="auto" w:fill="auto"/>
            <w:noWrap/>
            <w:vAlign w:val="center"/>
            <w:hideMark/>
          </w:tcPr>
          <w:p w14:paraId="5528E520" w14:textId="77777777" w:rsidR="007E3C50" w:rsidRPr="00294BBF" w:rsidRDefault="007E3C50"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STI2</w:t>
            </w:r>
          </w:p>
        </w:tc>
        <w:tc>
          <w:tcPr>
            <w:tcW w:w="3316" w:type="dxa"/>
            <w:tcBorders>
              <w:top w:val="nil"/>
              <w:left w:val="nil"/>
              <w:bottom w:val="single" w:sz="4" w:space="0" w:color="000000" w:themeColor="text1"/>
              <w:right w:val="single" w:sz="4" w:space="0" w:color="FFFFFF" w:themeColor="background1"/>
            </w:tcBorders>
            <w:shd w:val="clear" w:color="auto" w:fill="auto"/>
            <w:noWrap/>
            <w:vAlign w:val="center"/>
            <w:hideMark/>
          </w:tcPr>
          <w:p w14:paraId="1CEADE7C" w14:textId="77777777" w:rsidR="007E3C50" w:rsidRPr="00294BBF" w:rsidRDefault="007E3C50" w:rsidP="00BD0D95">
            <w:pPr>
              <w:tabs>
                <w:tab w:val="left" w:pos="657"/>
              </w:tabs>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 xml:space="preserve">Lon x </w:t>
            </w:r>
            <w:proofErr w:type="spellStart"/>
            <w:r w:rsidRPr="00294BBF">
              <w:rPr>
                <w:rFonts w:ascii="Calibri" w:eastAsia="Times New Roman" w:hAnsi="Calibri" w:cs="Calibri"/>
                <w:color w:val="000000" w:themeColor="text1"/>
                <w:sz w:val="22"/>
                <w:lang w:eastAsia="en-GB"/>
              </w:rPr>
              <w:t>Lat</w:t>
            </w:r>
            <w:proofErr w:type="spellEnd"/>
            <w:r w:rsidRPr="00294BBF">
              <w:rPr>
                <w:rFonts w:ascii="Calibri" w:eastAsia="Times New Roman" w:hAnsi="Calibri" w:cs="Calibri"/>
                <w:color w:val="000000" w:themeColor="text1"/>
                <w:sz w:val="22"/>
                <w:lang w:eastAsia="en-GB"/>
              </w:rPr>
              <w:t xml:space="preserve"> x DOY |regime  + </w:t>
            </w:r>
            <w:r w:rsidRPr="00294BBF">
              <w:rPr>
                <w:rFonts w:ascii="Symbol" w:eastAsia="Times New Roman" w:hAnsi="Symbol" w:cs="Calibri"/>
                <w:i/>
                <w:color w:val="000000" w:themeColor="text1"/>
                <w:sz w:val="22"/>
                <w:lang w:eastAsia="en-GB"/>
              </w:rPr>
              <w:t></w:t>
            </w:r>
          </w:p>
        </w:tc>
        <w:tc>
          <w:tcPr>
            <w:tcW w:w="951" w:type="dxa"/>
            <w:tcBorders>
              <w:top w:val="nil"/>
              <w:left w:val="single" w:sz="4" w:space="0" w:color="FFFFFF" w:themeColor="background1"/>
              <w:bottom w:val="single" w:sz="4" w:space="0" w:color="000000" w:themeColor="text1"/>
              <w:right w:val="nil"/>
            </w:tcBorders>
            <w:shd w:val="clear" w:color="auto" w:fill="auto"/>
            <w:noWrap/>
            <w:vAlign w:val="bottom"/>
          </w:tcPr>
          <w:p w14:paraId="7965F710" w14:textId="13D6E4EE" w:rsidR="007E3C50" w:rsidRPr="00294BBF" w:rsidRDefault="007E3C50" w:rsidP="00BD0D95">
            <w:pPr>
              <w:spacing w:after="0" w:line="276" w:lineRule="auto"/>
              <w:jc w:val="left"/>
              <w:rPr>
                <w:rFonts w:ascii="Calibri" w:eastAsia="Times New Roman" w:hAnsi="Calibri" w:cs="Calibri"/>
                <w:color w:val="000000" w:themeColor="text1"/>
                <w:sz w:val="22"/>
                <w:highlight w:val="yellow"/>
              </w:rPr>
            </w:pPr>
            <w:proofErr w:type="gramStart"/>
            <w:r w:rsidRPr="00294BBF">
              <w:rPr>
                <w:rFonts w:ascii="Calibri" w:eastAsia="Times New Roman" w:hAnsi="Calibri" w:cs="Times New Roman"/>
                <w:color w:val="000000" w:themeColor="text1"/>
                <w:sz w:val="22"/>
                <w:lang w:val="da-DK" w:eastAsia="da-DK" w:bidi="ar-SA"/>
              </w:rPr>
              <w:t>0.451</w:t>
            </w:r>
            <w:proofErr w:type="gramEnd"/>
          </w:p>
        </w:tc>
        <w:tc>
          <w:tcPr>
            <w:tcW w:w="663" w:type="dxa"/>
            <w:tcBorders>
              <w:top w:val="nil"/>
              <w:left w:val="nil"/>
              <w:bottom w:val="single" w:sz="4" w:space="0" w:color="000000" w:themeColor="text1"/>
              <w:right w:val="nil"/>
            </w:tcBorders>
            <w:shd w:val="clear" w:color="auto" w:fill="auto"/>
            <w:noWrap/>
            <w:vAlign w:val="bottom"/>
          </w:tcPr>
          <w:p w14:paraId="57C40D9B" w14:textId="7EAC20B8" w:rsidR="007E3C50" w:rsidRPr="00294BBF" w:rsidRDefault="007E3C50" w:rsidP="00BD0D95">
            <w:pPr>
              <w:spacing w:after="0" w:line="276" w:lineRule="auto"/>
              <w:jc w:val="left"/>
              <w:rPr>
                <w:rFonts w:ascii="Calibri" w:eastAsia="Times New Roman" w:hAnsi="Calibri" w:cs="Calibri"/>
                <w:color w:val="000000" w:themeColor="text1"/>
                <w:sz w:val="22"/>
                <w:highlight w:val="yellow"/>
              </w:rPr>
            </w:pPr>
            <w:r w:rsidRPr="00294BBF">
              <w:rPr>
                <w:rFonts w:ascii="Calibri" w:eastAsia="Times New Roman" w:hAnsi="Calibri" w:cs="Times New Roman"/>
                <w:color w:val="000000" w:themeColor="text1"/>
                <w:sz w:val="22"/>
                <w:lang w:val="da-DK" w:eastAsia="da-DK" w:bidi="ar-SA"/>
              </w:rPr>
              <w:t>5861</w:t>
            </w:r>
          </w:p>
        </w:tc>
        <w:tc>
          <w:tcPr>
            <w:tcW w:w="654" w:type="dxa"/>
            <w:tcBorders>
              <w:top w:val="nil"/>
              <w:left w:val="nil"/>
              <w:bottom w:val="single" w:sz="4" w:space="0" w:color="000000" w:themeColor="text1"/>
              <w:right w:val="nil"/>
            </w:tcBorders>
            <w:shd w:val="clear" w:color="auto" w:fill="auto"/>
            <w:noWrap/>
            <w:vAlign w:val="bottom"/>
          </w:tcPr>
          <w:p w14:paraId="174AE9A0" w14:textId="67746454" w:rsidR="007E3C50" w:rsidRPr="00294BBF" w:rsidRDefault="007E3C50" w:rsidP="00BD0D95">
            <w:pPr>
              <w:spacing w:after="0" w:line="276" w:lineRule="auto"/>
              <w:jc w:val="left"/>
              <w:rPr>
                <w:rFonts w:ascii="Calibri" w:eastAsia="Times New Roman" w:hAnsi="Calibri" w:cs="Calibri"/>
                <w:color w:val="000000" w:themeColor="text1"/>
                <w:sz w:val="22"/>
                <w:highlight w:val="yellow"/>
              </w:rPr>
            </w:pPr>
            <w:r w:rsidRPr="00294BBF">
              <w:rPr>
                <w:rFonts w:ascii="Calibri" w:eastAsia="Times New Roman" w:hAnsi="Calibri" w:cs="Times New Roman"/>
                <w:color w:val="000000" w:themeColor="text1"/>
                <w:sz w:val="22"/>
                <w:lang w:val="da-DK" w:eastAsia="da-DK" w:bidi="ar-SA"/>
              </w:rPr>
              <w:t>0</w:t>
            </w:r>
          </w:p>
        </w:tc>
        <w:tc>
          <w:tcPr>
            <w:tcW w:w="718" w:type="dxa"/>
            <w:tcBorders>
              <w:top w:val="nil"/>
              <w:left w:val="nil"/>
              <w:bottom w:val="single" w:sz="4" w:space="0" w:color="000000" w:themeColor="text1"/>
              <w:right w:val="nil"/>
            </w:tcBorders>
            <w:shd w:val="clear" w:color="auto" w:fill="auto"/>
            <w:noWrap/>
            <w:vAlign w:val="bottom"/>
          </w:tcPr>
          <w:p w14:paraId="2FF14B56" w14:textId="0133E5F2" w:rsidR="007E3C50" w:rsidRPr="00294BBF" w:rsidRDefault="007E3C50" w:rsidP="00BD0D95">
            <w:pPr>
              <w:spacing w:after="0" w:line="276" w:lineRule="auto"/>
              <w:jc w:val="left"/>
              <w:rPr>
                <w:rFonts w:ascii="Calibri" w:eastAsia="Times New Roman" w:hAnsi="Calibri" w:cs="Calibri"/>
                <w:color w:val="000000" w:themeColor="text1"/>
                <w:sz w:val="22"/>
                <w:highlight w:val="yellow"/>
              </w:rPr>
            </w:pPr>
            <w:proofErr w:type="gramStart"/>
            <w:r w:rsidRPr="00294BBF">
              <w:rPr>
                <w:rFonts w:ascii="Calibri" w:eastAsia="Times New Roman" w:hAnsi="Calibri" w:cs="Times New Roman"/>
                <w:color w:val="000000" w:themeColor="text1"/>
                <w:sz w:val="22"/>
                <w:lang w:val="da-DK" w:eastAsia="da-DK" w:bidi="ar-SA"/>
              </w:rPr>
              <w:t>0.342</w:t>
            </w:r>
            <w:proofErr w:type="gramEnd"/>
          </w:p>
        </w:tc>
        <w:tc>
          <w:tcPr>
            <w:tcW w:w="718" w:type="dxa"/>
            <w:tcBorders>
              <w:top w:val="nil"/>
              <w:left w:val="nil"/>
              <w:bottom w:val="single" w:sz="4" w:space="0" w:color="000000" w:themeColor="text1"/>
              <w:right w:val="nil"/>
            </w:tcBorders>
            <w:shd w:val="clear" w:color="auto" w:fill="auto"/>
            <w:noWrap/>
            <w:vAlign w:val="bottom"/>
          </w:tcPr>
          <w:p w14:paraId="56E3DC29" w14:textId="5DE94FCB" w:rsidR="007E3C50" w:rsidRPr="00294BBF" w:rsidRDefault="007E3C50" w:rsidP="00BD0D95">
            <w:pPr>
              <w:spacing w:after="0" w:line="276" w:lineRule="auto"/>
              <w:jc w:val="left"/>
              <w:rPr>
                <w:rFonts w:ascii="Calibri" w:eastAsia="Times New Roman" w:hAnsi="Calibri" w:cs="Calibri"/>
                <w:color w:val="000000" w:themeColor="text1"/>
                <w:sz w:val="22"/>
                <w:highlight w:val="yellow"/>
              </w:rPr>
            </w:pPr>
            <w:r w:rsidRPr="00294BBF">
              <w:rPr>
                <w:rFonts w:ascii="Calibri" w:eastAsia="Times New Roman" w:hAnsi="Calibri" w:cs="Times New Roman"/>
                <w:color w:val="000000" w:themeColor="text1"/>
                <w:sz w:val="22"/>
                <w:lang w:val="da-DK" w:eastAsia="da-DK" w:bidi="ar-SA"/>
              </w:rPr>
              <w:t>0.36</w:t>
            </w:r>
          </w:p>
        </w:tc>
        <w:tc>
          <w:tcPr>
            <w:tcW w:w="718" w:type="dxa"/>
            <w:tcBorders>
              <w:top w:val="nil"/>
              <w:left w:val="nil"/>
              <w:bottom w:val="single" w:sz="4" w:space="0" w:color="000000" w:themeColor="text1"/>
              <w:right w:val="nil"/>
            </w:tcBorders>
            <w:shd w:val="clear" w:color="auto" w:fill="auto"/>
            <w:noWrap/>
            <w:vAlign w:val="bottom"/>
          </w:tcPr>
          <w:p w14:paraId="7E81FA64" w14:textId="535BFB80" w:rsidR="007E3C50" w:rsidRPr="00294BBF" w:rsidRDefault="007E3C50" w:rsidP="00BD0D95">
            <w:pPr>
              <w:spacing w:after="0" w:line="276" w:lineRule="auto"/>
              <w:jc w:val="left"/>
              <w:rPr>
                <w:rFonts w:ascii="Calibri" w:eastAsia="Times New Roman" w:hAnsi="Calibri" w:cs="Calibri"/>
                <w:color w:val="000000" w:themeColor="text1"/>
                <w:sz w:val="22"/>
                <w:highlight w:val="yellow"/>
              </w:rPr>
            </w:pPr>
            <w:proofErr w:type="gramStart"/>
            <w:r w:rsidRPr="00294BBF">
              <w:rPr>
                <w:rFonts w:ascii="Calibri" w:eastAsia="Times New Roman" w:hAnsi="Calibri" w:cs="Times New Roman"/>
                <w:color w:val="000000" w:themeColor="text1"/>
                <w:sz w:val="22"/>
                <w:lang w:val="da-DK" w:eastAsia="da-DK" w:bidi="ar-SA"/>
              </w:rPr>
              <w:t>0.849</w:t>
            </w:r>
            <w:proofErr w:type="gramEnd"/>
          </w:p>
        </w:tc>
      </w:tr>
    </w:tbl>
    <w:p w14:paraId="5C6EA0AA" w14:textId="77777777" w:rsidR="00294BBF" w:rsidRDefault="00294BBF" w:rsidP="00294BBF"/>
    <w:p w14:paraId="70419BE5" w14:textId="77777777" w:rsidR="006773E4" w:rsidRDefault="006773E4" w:rsidP="00294BBF"/>
    <w:p w14:paraId="04DA7302" w14:textId="77777777" w:rsidR="006773E4" w:rsidRDefault="006773E4" w:rsidP="00294BBF"/>
    <w:p w14:paraId="02895F5D" w14:textId="77777777" w:rsidR="006773E4" w:rsidRDefault="006773E4" w:rsidP="00294BBF"/>
    <w:p w14:paraId="461E1A96" w14:textId="77777777" w:rsidR="006773E4" w:rsidRPr="00294BBF" w:rsidRDefault="006773E4" w:rsidP="00294BBF"/>
    <w:p w14:paraId="5D2F3A69" w14:textId="63133D46" w:rsidR="00923411" w:rsidRPr="00294BBF" w:rsidRDefault="00923411" w:rsidP="00BD0D95">
      <w:pPr>
        <w:pStyle w:val="Billedtekst"/>
        <w:spacing w:line="276" w:lineRule="auto"/>
        <w:rPr>
          <w:b w:val="0"/>
          <w:i/>
          <w:color w:val="000000" w:themeColor="text1"/>
        </w:rPr>
      </w:pPr>
      <w:proofErr w:type="gramStart"/>
      <w:r w:rsidRPr="00294BBF">
        <w:rPr>
          <w:rFonts w:ascii="Times New Roman" w:hAnsi="Times New Roman" w:cs="Times New Roman"/>
          <w:color w:val="000000" w:themeColor="text1"/>
        </w:rPr>
        <w:t xml:space="preserve">Table </w:t>
      </w:r>
      <w:r w:rsidRPr="00294BBF">
        <w:rPr>
          <w:rFonts w:ascii="Times New Roman" w:hAnsi="Times New Roman" w:cs="Times New Roman"/>
          <w:color w:val="000000" w:themeColor="text1"/>
        </w:rPr>
        <w:fldChar w:fldCharType="begin"/>
      </w:r>
      <w:r w:rsidRPr="00294BBF">
        <w:rPr>
          <w:rFonts w:ascii="Times New Roman" w:hAnsi="Times New Roman" w:cs="Times New Roman"/>
          <w:color w:val="000000" w:themeColor="text1"/>
        </w:rPr>
        <w:instrText xml:space="preserve"> SEQ Table \* ARABIC </w:instrText>
      </w:r>
      <w:r w:rsidRPr="00294BBF">
        <w:rPr>
          <w:rFonts w:ascii="Times New Roman" w:hAnsi="Times New Roman" w:cs="Times New Roman"/>
          <w:color w:val="000000" w:themeColor="text1"/>
        </w:rPr>
        <w:fldChar w:fldCharType="separate"/>
      </w:r>
      <w:r w:rsidRPr="00294BBF">
        <w:rPr>
          <w:rFonts w:ascii="Times New Roman" w:hAnsi="Times New Roman" w:cs="Times New Roman"/>
          <w:noProof/>
          <w:color w:val="000000" w:themeColor="text1"/>
        </w:rPr>
        <w:t>3</w:t>
      </w:r>
      <w:r w:rsidRPr="00294BBF">
        <w:rPr>
          <w:rFonts w:ascii="Times New Roman" w:hAnsi="Times New Roman" w:cs="Times New Roman"/>
          <w:noProof/>
          <w:color w:val="000000" w:themeColor="text1"/>
        </w:rPr>
        <w:fldChar w:fldCharType="end"/>
      </w:r>
      <w:r w:rsidRPr="00294BBF">
        <w:rPr>
          <w:rFonts w:ascii="Times New Roman" w:hAnsi="Times New Roman" w:cs="Times New Roman"/>
          <w:color w:val="000000" w:themeColor="text1"/>
        </w:rPr>
        <w:t>.</w:t>
      </w:r>
      <w:proofErr w:type="gramEnd"/>
      <w:r w:rsidRPr="00294BBF">
        <w:rPr>
          <w:rFonts w:ascii="Times New Roman" w:hAnsi="Times New Roman" w:cs="Times New Roman"/>
          <w:color w:val="000000" w:themeColor="text1"/>
        </w:rPr>
        <w:t xml:space="preserve"> </w:t>
      </w:r>
      <w:proofErr w:type="gramStart"/>
      <w:r w:rsidRPr="00294BBF">
        <w:rPr>
          <w:rFonts w:ascii="Times New Roman" w:hAnsi="Times New Roman" w:cs="Times New Roman"/>
          <w:b w:val="0"/>
          <w:color w:val="000000" w:themeColor="text1"/>
        </w:rPr>
        <w:t>Model fitting result of the geographic models.</w:t>
      </w:r>
      <w:proofErr w:type="gramEnd"/>
      <w:r w:rsidRPr="00294BBF">
        <w:rPr>
          <w:rFonts w:ascii="Times New Roman" w:eastAsiaTheme="minorHAnsi" w:hAnsi="Times New Roman" w:cs="Times New Roman"/>
          <w:b w:val="0"/>
          <w:color w:val="000000" w:themeColor="text1"/>
          <w:lang w:eastAsia="en-US" w:bidi="ar-SA"/>
        </w:rPr>
        <w:tab/>
      </w:r>
      <w:r w:rsidRPr="00294BBF">
        <w:rPr>
          <w:rFonts w:ascii="Times New Roman" w:eastAsiaTheme="minorHAnsi" w:hAnsi="Times New Roman" w:cs="Times New Roman"/>
          <w:color w:val="000000" w:themeColor="text1"/>
          <w:lang w:eastAsia="en-US" w:bidi="ar-SA"/>
        </w:rPr>
        <w:br/>
      </w:r>
      <w:r w:rsidRPr="00294BBF">
        <w:rPr>
          <w:rFonts w:ascii="Times New Roman" w:hAnsi="Times New Roman" w:cs="Times New Roman"/>
          <w:b w:val="0"/>
          <w:color w:val="000000" w:themeColor="text1"/>
        </w:rPr>
        <w:t>Model formulation</w:t>
      </w:r>
      <w:r w:rsidR="005A6E2A">
        <w:rPr>
          <w:rFonts w:ascii="Times New Roman" w:hAnsi="Times New Roman" w:cs="Times New Roman"/>
          <w:b w:val="0"/>
          <w:color w:val="000000" w:themeColor="text1"/>
        </w:rPr>
        <w:t xml:space="preserve">, </w:t>
      </w:r>
      <w:proofErr w:type="gramStart"/>
      <w:r w:rsidR="005A6E2A" w:rsidRPr="006773E4">
        <w:rPr>
          <w:rFonts w:ascii="Times New Roman" w:hAnsi="Times New Roman" w:cs="Times New Roman"/>
          <w:b w:val="0"/>
          <w:i/>
          <w:color w:val="000000" w:themeColor="text1"/>
        </w:rPr>
        <w:t>f(</w:t>
      </w:r>
      <w:proofErr w:type="gramEnd"/>
      <w:r w:rsidR="005A6E2A" w:rsidRPr="006773E4">
        <w:rPr>
          <w:rFonts w:ascii="Times New Roman" w:hAnsi="Times New Roman" w:cs="Times New Roman"/>
          <w:b w:val="0"/>
          <w:i/>
          <w:color w:val="000000" w:themeColor="text1"/>
        </w:rPr>
        <w:t>)</w:t>
      </w:r>
      <w:r w:rsidR="005A6E2A">
        <w:rPr>
          <w:rFonts w:ascii="Times New Roman" w:hAnsi="Times New Roman" w:cs="Times New Roman"/>
          <w:b w:val="0"/>
          <w:color w:val="000000" w:themeColor="text1"/>
        </w:rPr>
        <w:t>,</w:t>
      </w:r>
      <w:r w:rsidR="007B1CB4">
        <w:rPr>
          <w:rFonts w:ascii="Times New Roman" w:hAnsi="Times New Roman" w:cs="Times New Roman"/>
          <w:b w:val="0"/>
          <w:color w:val="000000" w:themeColor="text1"/>
        </w:rPr>
        <w:t xml:space="preserve"> </w:t>
      </w:r>
      <w:r w:rsidR="0044035F">
        <w:rPr>
          <w:rFonts w:ascii="Times New Roman" w:hAnsi="Times New Roman" w:cs="Times New Roman"/>
          <w:b w:val="0"/>
          <w:color w:val="000000" w:themeColor="text1"/>
        </w:rPr>
        <w:t xml:space="preserve">where </w:t>
      </w:r>
      <w:r w:rsidR="007B1CB4">
        <w:rPr>
          <w:rFonts w:ascii="Times New Roman" w:hAnsi="Times New Roman" w:cs="Times New Roman"/>
          <w:b w:val="0"/>
          <w:color w:val="000000" w:themeColor="text1"/>
        </w:rPr>
        <w:t xml:space="preserve">abbreviations are defined </w:t>
      </w:r>
      <w:r w:rsidR="00410681">
        <w:rPr>
          <w:rFonts w:ascii="Times New Roman" w:hAnsi="Times New Roman" w:cs="Times New Roman"/>
          <w:b w:val="0"/>
          <w:color w:val="000000" w:themeColor="text1"/>
        </w:rPr>
        <w:t>in Table 2.</w:t>
      </w:r>
      <w:r w:rsidRPr="00294BBF">
        <w:rPr>
          <w:rFonts w:ascii="Times New Roman" w:hAnsi="Times New Roman" w:cs="Times New Roman"/>
          <w:b w:val="0"/>
          <w:color w:val="000000" w:themeColor="text1"/>
        </w:rPr>
        <w:t xml:space="preserve"> </w:t>
      </w:r>
      <w:r w:rsidR="00B72CBB">
        <w:rPr>
          <w:rFonts w:ascii="Times New Roman" w:hAnsi="Times New Roman" w:cs="Times New Roman"/>
          <w:b w:val="0"/>
          <w:color w:val="000000" w:themeColor="text1"/>
        </w:rPr>
        <w:t>Models GEO2 – GEO4 use the baseline structure of GEO1, plus addition modifications of their own.</w:t>
      </w:r>
    </w:p>
    <w:tbl>
      <w:tblPr>
        <w:tblW w:w="8557" w:type="dxa"/>
        <w:tblInd w:w="93" w:type="dxa"/>
        <w:tblLook w:val="04A0" w:firstRow="1" w:lastRow="0" w:firstColumn="1" w:lastColumn="0" w:noHBand="0" w:noVBand="1"/>
      </w:tblPr>
      <w:tblGrid>
        <w:gridCol w:w="810"/>
        <w:gridCol w:w="3316"/>
        <w:gridCol w:w="951"/>
        <w:gridCol w:w="663"/>
        <w:gridCol w:w="663"/>
        <w:gridCol w:w="718"/>
        <w:gridCol w:w="718"/>
        <w:gridCol w:w="718"/>
      </w:tblGrid>
      <w:tr w:rsidR="00923411" w:rsidRPr="00294BBF" w14:paraId="4B200E28" w14:textId="77777777" w:rsidTr="00E40F45">
        <w:trPr>
          <w:trHeight w:val="300"/>
        </w:trPr>
        <w:tc>
          <w:tcPr>
            <w:tcW w:w="810" w:type="dxa"/>
            <w:tcBorders>
              <w:top w:val="single" w:sz="4" w:space="0" w:color="000000" w:themeColor="text1"/>
              <w:left w:val="nil"/>
              <w:bottom w:val="single" w:sz="4" w:space="0" w:color="auto"/>
              <w:right w:val="nil"/>
            </w:tcBorders>
            <w:shd w:val="clear" w:color="auto" w:fill="auto"/>
            <w:noWrap/>
            <w:vAlign w:val="center"/>
            <w:hideMark/>
          </w:tcPr>
          <w:p w14:paraId="77E0A309"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Model</w:t>
            </w:r>
          </w:p>
        </w:tc>
        <w:tc>
          <w:tcPr>
            <w:tcW w:w="3316" w:type="dxa"/>
            <w:tcBorders>
              <w:top w:val="single" w:sz="4" w:space="0" w:color="000000" w:themeColor="text1"/>
              <w:left w:val="nil"/>
              <w:bottom w:val="single" w:sz="4" w:space="0" w:color="auto"/>
              <w:right w:val="single" w:sz="4" w:space="0" w:color="FFFFFF" w:themeColor="background1"/>
            </w:tcBorders>
            <w:shd w:val="clear" w:color="auto" w:fill="auto"/>
            <w:noWrap/>
            <w:vAlign w:val="center"/>
            <w:hideMark/>
          </w:tcPr>
          <w:p w14:paraId="7FDB88C0"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Formulation, f()</w:t>
            </w:r>
          </w:p>
        </w:tc>
        <w:tc>
          <w:tcPr>
            <w:tcW w:w="951" w:type="dxa"/>
            <w:tcBorders>
              <w:top w:val="single" w:sz="4" w:space="0" w:color="000000" w:themeColor="text1"/>
              <w:left w:val="single" w:sz="4" w:space="0" w:color="FFFFFF" w:themeColor="background1"/>
              <w:bottom w:val="single" w:sz="4" w:space="0" w:color="auto"/>
              <w:right w:val="nil"/>
            </w:tcBorders>
            <w:shd w:val="clear" w:color="auto" w:fill="auto"/>
            <w:noWrap/>
            <w:vAlign w:val="center"/>
            <w:hideMark/>
          </w:tcPr>
          <w:p w14:paraId="241A30F4"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proofErr w:type="spellStart"/>
            <w:r w:rsidRPr="00294BBF">
              <w:rPr>
                <w:rFonts w:ascii="Calibri" w:eastAsia="Times New Roman" w:hAnsi="Calibri" w:cs="Calibri"/>
                <w:b/>
                <w:color w:val="000000" w:themeColor="text1"/>
                <w:sz w:val="22"/>
                <w:lang w:eastAsia="en-GB"/>
              </w:rPr>
              <w:t>DevExpl</w:t>
            </w:r>
            <w:proofErr w:type="spellEnd"/>
          </w:p>
        </w:tc>
        <w:tc>
          <w:tcPr>
            <w:tcW w:w="663" w:type="dxa"/>
            <w:tcBorders>
              <w:top w:val="single" w:sz="4" w:space="0" w:color="000000" w:themeColor="text1"/>
              <w:left w:val="nil"/>
              <w:bottom w:val="single" w:sz="4" w:space="0" w:color="auto"/>
              <w:right w:val="nil"/>
            </w:tcBorders>
            <w:shd w:val="clear" w:color="auto" w:fill="auto"/>
            <w:noWrap/>
            <w:vAlign w:val="center"/>
            <w:hideMark/>
          </w:tcPr>
          <w:p w14:paraId="1BD4B638"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AIC</w:t>
            </w:r>
          </w:p>
        </w:tc>
        <w:tc>
          <w:tcPr>
            <w:tcW w:w="663" w:type="dxa"/>
            <w:tcBorders>
              <w:top w:val="single" w:sz="4" w:space="0" w:color="000000" w:themeColor="text1"/>
              <w:left w:val="nil"/>
              <w:bottom w:val="single" w:sz="4" w:space="0" w:color="auto"/>
              <w:right w:val="nil"/>
            </w:tcBorders>
            <w:shd w:val="clear" w:color="auto" w:fill="auto"/>
            <w:noWrap/>
            <w:vAlign w:val="center"/>
            <w:hideMark/>
          </w:tcPr>
          <w:p w14:paraId="4A5F30F3"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∆AIC</w:t>
            </w:r>
          </w:p>
        </w:tc>
        <w:tc>
          <w:tcPr>
            <w:tcW w:w="718" w:type="dxa"/>
            <w:tcBorders>
              <w:top w:val="single" w:sz="4" w:space="0" w:color="000000" w:themeColor="text1"/>
              <w:left w:val="nil"/>
              <w:bottom w:val="single" w:sz="4" w:space="0" w:color="auto"/>
              <w:right w:val="nil"/>
            </w:tcBorders>
            <w:shd w:val="clear" w:color="auto" w:fill="auto"/>
            <w:noWrap/>
            <w:vAlign w:val="center"/>
            <w:hideMark/>
          </w:tcPr>
          <w:p w14:paraId="40E5B35E"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TSS</w:t>
            </w:r>
          </w:p>
        </w:tc>
        <w:tc>
          <w:tcPr>
            <w:tcW w:w="718" w:type="dxa"/>
            <w:tcBorders>
              <w:top w:val="single" w:sz="4" w:space="0" w:color="000000" w:themeColor="text1"/>
              <w:left w:val="nil"/>
              <w:bottom w:val="single" w:sz="4" w:space="0" w:color="auto"/>
              <w:right w:val="nil"/>
            </w:tcBorders>
            <w:shd w:val="clear" w:color="auto" w:fill="auto"/>
            <w:noWrap/>
            <w:vAlign w:val="center"/>
            <w:hideMark/>
          </w:tcPr>
          <w:p w14:paraId="471EF5DD"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PPV</w:t>
            </w:r>
          </w:p>
        </w:tc>
        <w:tc>
          <w:tcPr>
            <w:tcW w:w="718" w:type="dxa"/>
            <w:tcBorders>
              <w:top w:val="single" w:sz="4" w:space="0" w:color="000000" w:themeColor="text1"/>
              <w:left w:val="nil"/>
              <w:bottom w:val="single" w:sz="4" w:space="0" w:color="auto"/>
              <w:right w:val="nil"/>
            </w:tcBorders>
            <w:shd w:val="clear" w:color="auto" w:fill="auto"/>
            <w:noWrap/>
            <w:vAlign w:val="center"/>
            <w:hideMark/>
          </w:tcPr>
          <w:p w14:paraId="09CAFB87" w14:textId="77777777" w:rsidR="00923411" w:rsidRPr="00294BBF" w:rsidRDefault="00923411" w:rsidP="00BD0D95">
            <w:pPr>
              <w:spacing w:after="0" w:line="276" w:lineRule="auto"/>
              <w:jc w:val="left"/>
              <w:rPr>
                <w:rFonts w:ascii="Calibri" w:eastAsia="Times New Roman" w:hAnsi="Calibri" w:cs="Calibri"/>
                <w:b/>
                <w:color w:val="000000" w:themeColor="text1"/>
                <w:sz w:val="22"/>
                <w:lang w:eastAsia="en-GB"/>
              </w:rPr>
            </w:pPr>
            <w:r w:rsidRPr="00294BBF">
              <w:rPr>
                <w:rFonts w:ascii="Calibri" w:eastAsia="Times New Roman" w:hAnsi="Calibri" w:cs="Calibri"/>
                <w:b/>
                <w:color w:val="000000" w:themeColor="text1"/>
                <w:sz w:val="22"/>
                <w:lang w:eastAsia="en-GB"/>
              </w:rPr>
              <w:t>NPV</w:t>
            </w:r>
          </w:p>
        </w:tc>
      </w:tr>
      <w:tr w:rsidR="00923411" w:rsidRPr="00294BBF" w14:paraId="4014495C" w14:textId="77777777" w:rsidTr="00E40F45">
        <w:trPr>
          <w:trHeight w:val="300"/>
        </w:trPr>
        <w:tc>
          <w:tcPr>
            <w:tcW w:w="810" w:type="dxa"/>
            <w:tcBorders>
              <w:top w:val="single" w:sz="4" w:space="0" w:color="auto"/>
              <w:left w:val="nil"/>
              <w:bottom w:val="nil"/>
              <w:right w:val="nil"/>
            </w:tcBorders>
            <w:shd w:val="clear" w:color="auto" w:fill="auto"/>
            <w:noWrap/>
            <w:vAlign w:val="center"/>
            <w:hideMark/>
          </w:tcPr>
          <w:p w14:paraId="27CC0380"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GEO1</w:t>
            </w:r>
          </w:p>
        </w:tc>
        <w:tc>
          <w:tcPr>
            <w:tcW w:w="3316" w:type="dxa"/>
            <w:tcBorders>
              <w:top w:val="single" w:sz="4" w:space="0" w:color="auto"/>
              <w:left w:val="nil"/>
              <w:bottom w:val="nil"/>
              <w:right w:val="single" w:sz="4" w:space="0" w:color="FFFFFF" w:themeColor="background1"/>
            </w:tcBorders>
            <w:shd w:val="clear" w:color="auto" w:fill="auto"/>
            <w:noWrap/>
            <w:vAlign w:val="center"/>
            <w:hideMark/>
          </w:tcPr>
          <w:p w14:paraId="58AF1FB6" w14:textId="74229266" w:rsidR="00923411" w:rsidRPr="00294BBF" w:rsidRDefault="00D67FB6">
            <w:pPr>
              <w:spacing w:after="0" w:line="276" w:lineRule="auto"/>
              <w:jc w:val="left"/>
              <w:rPr>
                <w:rFonts w:ascii="Calibri" w:eastAsia="Times New Roman" w:hAnsi="Calibri" w:cs="Calibri"/>
                <w:color w:val="000000" w:themeColor="text1"/>
                <w:sz w:val="22"/>
                <w:lang w:eastAsia="en-GB"/>
              </w:rPr>
            </w:pPr>
            <w:proofErr w:type="spellStart"/>
            <w:r>
              <w:rPr>
                <w:rFonts w:ascii="Calibri" w:eastAsia="Times New Roman" w:hAnsi="Calibri" w:cs="Calibri"/>
                <w:color w:val="000000" w:themeColor="text1"/>
                <w:sz w:val="22"/>
                <w:lang w:eastAsia="en-GB"/>
              </w:rPr>
              <w:t>Lat</w:t>
            </w:r>
            <w:proofErr w:type="spellEnd"/>
            <w:r>
              <w:rPr>
                <w:rFonts w:ascii="Calibri" w:eastAsia="Times New Roman" w:hAnsi="Calibri" w:cs="Calibri"/>
                <w:color w:val="000000" w:themeColor="text1"/>
                <w:sz w:val="22"/>
                <w:lang w:eastAsia="en-GB"/>
              </w:rPr>
              <w:t xml:space="preserve"> x DOY </w:t>
            </w:r>
            <w:r w:rsidRPr="00294BBF">
              <w:rPr>
                <w:rFonts w:ascii="Calibri" w:eastAsia="Times New Roman" w:hAnsi="Calibri" w:cs="Calibri"/>
                <w:color w:val="000000" w:themeColor="text1"/>
                <w:sz w:val="22"/>
                <w:lang w:eastAsia="en-GB"/>
              </w:rPr>
              <w:t xml:space="preserve">+ </w:t>
            </w:r>
            <w:r w:rsidRPr="00294BBF">
              <w:rPr>
                <w:rFonts w:ascii="Symbol" w:eastAsia="Times New Roman" w:hAnsi="Symbol" w:cs="Calibri"/>
                <w:i/>
                <w:color w:val="000000" w:themeColor="text1"/>
                <w:sz w:val="22"/>
                <w:lang w:eastAsia="en-GB"/>
              </w:rPr>
              <w:t></w:t>
            </w:r>
            <w:r>
              <w:rPr>
                <w:rFonts w:ascii="Calibri" w:eastAsia="Times New Roman" w:hAnsi="Calibri" w:cs="Calibri"/>
                <w:color w:val="000000" w:themeColor="text1"/>
                <w:sz w:val="22"/>
                <w:lang w:eastAsia="en-GB"/>
              </w:rPr>
              <w:t xml:space="preserve"> </w:t>
            </w:r>
          </w:p>
        </w:tc>
        <w:tc>
          <w:tcPr>
            <w:tcW w:w="951" w:type="dxa"/>
            <w:tcBorders>
              <w:top w:val="single" w:sz="4" w:space="0" w:color="auto"/>
              <w:left w:val="single" w:sz="4" w:space="0" w:color="FFFFFF" w:themeColor="background1"/>
              <w:bottom w:val="nil"/>
              <w:right w:val="nil"/>
            </w:tcBorders>
            <w:shd w:val="clear" w:color="auto" w:fill="auto"/>
            <w:noWrap/>
            <w:vAlign w:val="center"/>
          </w:tcPr>
          <w:p w14:paraId="51607DA1"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0.251</w:t>
            </w:r>
          </w:p>
        </w:tc>
        <w:tc>
          <w:tcPr>
            <w:tcW w:w="663" w:type="dxa"/>
            <w:tcBorders>
              <w:top w:val="single" w:sz="4" w:space="0" w:color="auto"/>
              <w:left w:val="nil"/>
              <w:bottom w:val="nil"/>
              <w:right w:val="nil"/>
            </w:tcBorders>
            <w:shd w:val="clear" w:color="auto" w:fill="auto"/>
            <w:noWrap/>
            <w:vAlign w:val="center"/>
          </w:tcPr>
          <w:p w14:paraId="7DC074A2"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7465</w:t>
            </w:r>
          </w:p>
        </w:tc>
        <w:tc>
          <w:tcPr>
            <w:tcW w:w="663" w:type="dxa"/>
            <w:tcBorders>
              <w:top w:val="single" w:sz="4" w:space="0" w:color="auto"/>
              <w:left w:val="nil"/>
              <w:bottom w:val="nil"/>
              <w:right w:val="nil"/>
            </w:tcBorders>
            <w:shd w:val="clear" w:color="auto" w:fill="auto"/>
            <w:noWrap/>
            <w:vAlign w:val="center"/>
          </w:tcPr>
          <w:p w14:paraId="5B476150"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1160</w:t>
            </w:r>
          </w:p>
        </w:tc>
        <w:tc>
          <w:tcPr>
            <w:tcW w:w="718" w:type="dxa"/>
            <w:tcBorders>
              <w:top w:val="single" w:sz="4" w:space="0" w:color="auto"/>
              <w:left w:val="nil"/>
              <w:bottom w:val="nil"/>
              <w:right w:val="nil"/>
            </w:tcBorders>
            <w:shd w:val="clear" w:color="auto" w:fill="auto"/>
            <w:noWrap/>
            <w:vAlign w:val="center"/>
          </w:tcPr>
          <w:p w14:paraId="5C6D1AA5"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0.222</w:t>
            </w:r>
          </w:p>
        </w:tc>
        <w:tc>
          <w:tcPr>
            <w:tcW w:w="718" w:type="dxa"/>
            <w:tcBorders>
              <w:top w:val="single" w:sz="4" w:space="0" w:color="auto"/>
              <w:left w:val="nil"/>
              <w:bottom w:val="nil"/>
              <w:right w:val="nil"/>
            </w:tcBorders>
            <w:shd w:val="clear" w:color="auto" w:fill="auto"/>
            <w:noWrap/>
            <w:vAlign w:val="center"/>
          </w:tcPr>
          <w:p w14:paraId="60A40AF3"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0.243</w:t>
            </w:r>
          </w:p>
        </w:tc>
        <w:tc>
          <w:tcPr>
            <w:tcW w:w="718" w:type="dxa"/>
            <w:tcBorders>
              <w:top w:val="single" w:sz="4" w:space="0" w:color="auto"/>
              <w:left w:val="nil"/>
              <w:bottom w:val="nil"/>
              <w:right w:val="nil"/>
            </w:tcBorders>
            <w:shd w:val="clear" w:color="auto" w:fill="auto"/>
            <w:noWrap/>
            <w:vAlign w:val="center"/>
          </w:tcPr>
          <w:p w14:paraId="1044F268"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0.825</w:t>
            </w:r>
          </w:p>
        </w:tc>
      </w:tr>
      <w:tr w:rsidR="00923411" w:rsidRPr="00294BBF" w14:paraId="148D5A67" w14:textId="77777777" w:rsidTr="00E40F45">
        <w:trPr>
          <w:trHeight w:val="300"/>
        </w:trPr>
        <w:tc>
          <w:tcPr>
            <w:tcW w:w="810" w:type="dxa"/>
            <w:tcBorders>
              <w:top w:val="nil"/>
              <w:left w:val="nil"/>
              <w:bottom w:val="nil"/>
              <w:right w:val="nil"/>
            </w:tcBorders>
            <w:shd w:val="clear" w:color="auto" w:fill="auto"/>
            <w:noWrap/>
            <w:vAlign w:val="center"/>
            <w:hideMark/>
          </w:tcPr>
          <w:p w14:paraId="654F367F"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GEO2</w:t>
            </w:r>
          </w:p>
        </w:tc>
        <w:tc>
          <w:tcPr>
            <w:tcW w:w="3316" w:type="dxa"/>
            <w:tcBorders>
              <w:top w:val="nil"/>
              <w:left w:val="nil"/>
              <w:bottom w:val="nil"/>
              <w:right w:val="single" w:sz="4" w:space="0" w:color="FFFFFF" w:themeColor="background1"/>
            </w:tcBorders>
            <w:shd w:val="clear" w:color="auto" w:fill="auto"/>
            <w:noWrap/>
            <w:vAlign w:val="center"/>
            <w:hideMark/>
          </w:tcPr>
          <w:p w14:paraId="2AEA8B71" w14:textId="6D574970" w:rsidR="00923411" w:rsidRPr="00294BBF" w:rsidRDefault="00B72CBB">
            <w:pPr>
              <w:tabs>
                <w:tab w:val="left" w:pos="657"/>
              </w:tabs>
              <w:spacing w:after="0" w:line="276" w:lineRule="auto"/>
              <w:jc w:val="left"/>
              <w:rPr>
                <w:rFonts w:ascii="Calibri" w:eastAsia="Times New Roman" w:hAnsi="Calibri" w:cs="Calibri"/>
                <w:color w:val="000000" w:themeColor="text1"/>
                <w:sz w:val="22"/>
                <w:lang w:eastAsia="en-GB"/>
              </w:rPr>
            </w:pPr>
            <w:r>
              <w:rPr>
                <w:rFonts w:ascii="Calibri" w:eastAsia="Times New Roman" w:hAnsi="Calibri" w:cs="Calibri"/>
                <w:color w:val="000000" w:themeColor="text1"/>
                <w:sz w:val="22"/>
                <w:lang w:eastAsia="en-GB"/>
              </w:rPr>
              <w:t>GEO1</w:t>
            </w:r>
            <w:r w:rsidR="00923411" w:rsidRPr="00294BBF">
              <w:rPr>
                <w:rFonts w:ascii="Calibri" w:eastAsia="Times New Roman" w:hAnsi="Calibri" w:cs="Calibri"/>
                <w:color w:val="000000" w:themeColor="text1"/>
                <w:sz w:val="22"/>
                <w:lang w:eastAsia="en-GB"/>
              </w:rPr>
              <w:t xml:space="preserve">  + Depth</w:t>
            </w:r>
          </w:p>
        </w:tc>
        <w:tc>
          <w:tcPr>
            <w:tcW w:w="951" w:type="dxa"/>
            <w:tcBorders>
              <w:top w:val="nil"/>
              <w:left w:val="single" w:sz="4" w:space="0" w:color="FFFFFF" w:themeColor="background1"/>
              <w:bottom w:val="nil"/>
              <w:right w:val="nil"/>
            </w:tcBorders>
            <w:shd w:val="clear" w:color="auto" w:fill="auto"/>
            <w:noWrap/>
            <w:vAlign w:val="center"/>
          </w:tcPr>
          <w:p w14:paraId="02F437B6"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0.369</w:t>
            </w:r>
          </w:p>
        </w:tc>
        <w:tc>
          <w:tcPr>
            <w:tcW w:w="663" w:type="dxa"/>
            <w:tcBorders>
              <w:top w:val="nil"/>
              <w:left w:val="nil"/>
              <w:bottom w:val="nil"/>
              <w:right w:val="nil"/>
            </w:tcBorders>
            <w:shd w:val="clear" w:color="auto" w:fill="auto"/>
            <w:noWrap/>
            <w:vAlign w:val="center"/>
          </w:tcPr>
          <w:p w14:paraId="6E09E36F"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6305</w:t>
            </w:r>
          </w:p>
        </w:tc>
        <w:tc>
          <w:tcPr>
            <w:tcW w:w="663" w:type="dxa"/>
            <w:tcBorders>
              <w:top w:val="nil"/>
              <w:left w:val="nil"/>
              <w:bottom w:val="nil"/>
              <w:right w:val="nil"/>
            </w:tcBorders>
            <w:shd w:val="clear" w:color="auto" w:fill="auto"/>
            <w:noWrap/>
            <w:vAlign w:val="center"/>
          </w:tcPr>
          <w:p w14:paraId="0C66FA83"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w:t>
            </w:r>
          </w:p>
        </w:tc>
        <w:tc>
          <w:tcPr>
            <w:tcW w:w="718" w:type="dxa"/>
            <w:tcBorders>
              <w:top w:val="nil"/>
              <w:left w:val="nil"/>
              <w:bottom w:val="nil"/>
              <w:right w:val="nil"/>
            </w:tcBorders>
            <w:shd w:val="clear" w:color="auto" w:fill="auto"/>
            <w:noWrap/>
            <w:vAlign w:val="center"/>
          </w:tcPr>
          <w:p w14:paraId="65A52E42"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0.331</w:t>
            </w:r>
          </w:p>
        </w:tc>
        <w:tc>
          <w:tcPr>
            <w:tcW w:w="718" w:type="dxa"/>
            <w:tcBorders>
              <w:top w:val="nil"/>
              <w:left w:val="nil"/>
              <w:bottom w:val="nil"/>
              <w:right w:val="nil"/>
            </w:tcBorders>
            <w:shd w:val="clear" w:color="auto" w:fill="auto"/>
            <w:noWrap/>
            <w:vAlign w:val="center"/>
          </w:tcPr>
          <w:p w14:paraId="0CEC7C70"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0.35</w:t>
            </w:r>
          </w:p>
        </w:tc>
        <w:tc>
          <w:tcPr>
            <w:tcW w:w="718" w:type="dxa"/>
            <w:tcBorders>
              <w:top w:val="nil"/>
              <w:left w:val="nil"/>
              <w:bottom w:val="nil"/>
              <w:right w:val="nil"/>
            </w:tcBorders>
            <w:shd w:val="clear" w:color="auto" w:fill="auto"/>
            <w:noWrap/>
            <w:vAlign w:val="center"/>
          </w:tcPr>
          <w:p w14:paraId="676E7BB9"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0.849</w:t>
            </w:r>
          </w:p>
        </w:tc>
      </w:tr>
      <w:tr w:rsidR="00923411" w:rsidRPr="00294BBF" w14:paraId="27DD4B0C" w14:textId="77777777" w:rsidTr="00E40F45">
        <w:trPr>
          <w:trHeight w:val="300"/>
        </w:trPr>
        <w:tc>
          <w:tcPr>
            <w:tcW w:w="810" w:type="dxa"/>
            <w:tcBorders>
              <w:top w:val="nil"/>
              <w:left w:val="nil"/>
              <w:bottom w:val="nil"/>
              <w:right w:val="nil"/>
            </w:tcBorders>
            <w:shd w:val="clear" w:color="auto" w:fill="auto"/>
            <w:noWrap/>
            <w:vAlign w:val="center"/>
          </w:tcPr>
          <w:p w14:paraId="0DD1CE01"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GEO3</w:t>
            </w:r>
          </w:p>
        </w:tc>
        <w:tc>
          <w:tcPr>
            <w:tcW w:w="3316" w:type="dxa"/>
            <w:tcBorders>
              <w:top w:val="nil"/>
              <w:left w:val="nil"/>
              <w:bottom w:val="nil"/>
              <w:right w:val="single" w:sz="4" w:space="0" w:color="FFFFFF" w:themeColor="background1"/>
            </w:tcBorders>
            <w:shd w:val="clear" w:color="auto" w:fill="auto"/>
            <w:noWrap/>
            <w:vAlign w:val="center"/>
          </w:tcPr>
          <w:p w14:paraId="44D8B2C3" w14:textId="48A94D97" w:rsidR="00923411" w:rsidRPr="00294BBF" w:rsidRDefault="00B72CBB" w:rsidP="00BD0D95">
            <w:pPr>
              <w:tabs>
                <w:tab w:val="left" w:pos="657"/>
              </w:tabs>
              <w:spacing w:after="0" w:line="276" w:lineRule="auto"/>
              <w:jc w:val="left"/>
              <w:rPr>
                <w:rFonts w:ascii="Calibri" w:eastAsia="Times New Roman" w:hAnsi="Calibri" w:cs="Calibri"/>
                <w:color w:val="000000" w:themeColor="text1"/>
                <w:sz w:val="22"/>
                <w:lang w:eastAsia="en-GB"/>
              </w:rPr>
            </w:pPr>
            <w:r>
              <w:rPr>
                <w:rFonts w:ascii="Calibri" w:eastAsia="Times New Roman" w:hAnsi="Calibri" w:cs="Calibri"/>
                <w:color w:val="000000" w:themeColor="text1"/>
                <w:sz w:val="22"/>
                <w:lang w:eastAsia="en-GB"/>
              </w:rPr>
              <w:t>GEO1</w:t>
            </w:r>
            <w:r w:rsidR="00923411" w:rsidRPr="00294BBF">
              <w:rPr>
                <w:rFonts w:ascii="Calibri" w:eastAsia="Times New Roman" w:hAnsi="Calibri" w:cs="Calibri"/>
                <w:color w:val="000000" w:themeColor="text1"/>
                <w:sz w:val="22"/>
                <w:lang w:eastAsia="en-GB"/>
              </w:rPr>
              <w:t xml:space="preserve">  + Slope</w:t>
            </w:r>
          </w:p>
        </w:tc>
        <w:tc>
          <w:tcPr>
            <w:tcW w:w="951" w:type="dxa"/>
            <w:tcBorders>
              <w:top w:val="nil"/>
              <w:left w:val="single" w:sz="4" w:space="0" w:color="FFFFFF" w:themeColor="background1"/>
              <w:bottom w:val="nil"/>
              <w:right w:val="nil"/>
            </w:tcBorders>
            <w:shd w:val="clear" w:color="auto" w:fill="auto"/>
            <w:noWrap/>
            <w:vAlign w:val="center"/>
          </w:tcPr>
          <w:p w14:paraId="484EB7BC"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0.318</w:t>
            </w:r>
          </w:p>
        </w:tc>
        <w:tc>
          <w:tcPr>
            <w:tcW w:w="663" w:type="dxa"/>
            <w:tcBorders>
              <w:top w:val="nil"/>
              <w:left w:val="nil"/>
              <w:bottom w:val="nil"/>
              <w:right w:val="nil"/>
            </w:tcBorders>
            <w:shd w:val="clear" w:color="auto" w:fill="auto"/>
            <w:noWrap/>
            <w:vAlign w:val="center"/>
          </w:tcPr>
          <w:p w14:paraId="0EEB796C"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6812</w:t>
            </w:r>
          </w:p>
        </w:tc>
        <w:tc>
          <w:tcPr>
            <w:tcW w:w="663" w:type="dxa"/>
            <w:tcBorders>
              <w:top w:val="nil"/>
              <w:left w:val="nil"/>
              <w:bottom w:val="nil"/>
              <w:right w:val="nil"/>
            </w:tcBorders>
            <w:shd w:val="clear" w:color="auto" w:fill="auto"/>
            <w:noWrap/>
            <w:vAlign w:val="center"/>
          </w:tcPr>
          <w:p w14:paraId="7A9DDAB4"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507</w:t>
            </w:r>
          </w:p>
        </w:tc>
        <w:tc>
          <w:tcPr>
            <w:tcW w:w="718" w:type="dxa"/>
            <w:tcBorders>
              <w:top w:val="nil"/>
              <w:left w:val="nil"/>
              <w:bottom w:val="nil"/>
              <w:right w:val="nil"/>
            </w:tcBorders>
            <w:shd w:val="clear" w:color="auto" w:fill="auto"/>
            <w:noWrap/>
            <w:vAlign w:val="center"/>
          </w:tcPr>
          <w:p w14:paraId="14DC2D9E"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0.311</w:t>
            </w:r>
          </w:p>
        </w:tc>
        <w:tc>
          <w:tcPr>
            <w:tcW w:w="718" w:type="dxa"/>
            <w:tcBorders>
              <w:top w:val="nil"/>
              <w:left w:val="nil"/>
              <w:bottom w:val="nil"/>
              <w:right w:val="nil"/>
            </w:tcBorders>
            <w:shd w:val="clear" w:color="auto" w:fill="auto"/>
            <w:noWrap/>
            <w:vAlign w:val="center"/>
          </w:tcPr>
          <w:p w14:paraId="5DCED466"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0.33</w:t>
            </w:r>
          </w:p>
        </w:tc>
        <w:tc>
          <w:tcPr>
            <w:tcW w:w="718" w:type="dxa"/>
            <w:tcBorders>
              <w:top w:val="nil"/>
              <w:left w:val="nil"/>
              <w:bottom w:val="nil"/>
              <w:right w:val="nil"/>
            </w:tcBorders>
            <w:shd w:val="clear" w:color="auto" w:fill="auto"/>
            <w:noWrap/>
            <w:vAlign w:val="center"/>
          </w:tcPr>
          <w:p w14:paraId="62B72A44"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0.847</w:t>
            </w:r>
          </w:p>
        </w:tc>
      </w:tr>
      <w:tr w:rsidR="00923411" w:rsidRPr="00294BBF" w14:paraId="5DC10331" w14:textId="77777777" w:rsidTr="00E40F45">
        <w:trPr>
          <w:trHeight w:val="300"/>
        </w:trPr>
        <w:tc>
          <w:tcPr>
            <w:tcW w:w="810" w:type="dxa"/>
            <w:tcBorders>
              <w:top w:val="nil"/>
              <w:left w:val="nil"/>
              <w:bottom w:val="single" w:sz="4" w:space="0" w:color="000000" w:themeColor="text1"/>
              <w:right w:val="nil"/>
            </w:tcBorders>
            <w:shd w:val="clear" w:color="auto" w:fill="auto"/>
            <w:noWrap/>
            <w:vAlign w:val="center"/>
          </w:tcPr>
          <w:p w14:paraId="6F94C4C0"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GEO4</w:t>
            </w:r>
          </w:p>
        </w:tc>
        <w:tc>
          <w:tcPr>
            <w:tcW w:w="3316" w:type="dxa"/>
            <w:tcBorders>
              <w:top w:val="nil"/>
              <w:left w:val="nil"/>
              <w:bottom w:val="single" w:sz="4" w:space="0" w:color="000000" w:themeColor="text1"/>
              <w:right w:val="single" w:sz="4" w:space="0" w:color="FFFFFF" w:themeColor="background1"/>
            </w:tcBorders>
            <w:shd w:val="clear" w:color="auto" w:fill="auto"/>
            <w:noWrap/>
            <w:vAlign w:val="center"/>
          </w:tcPr>
          <w:p w14:paraId="394CFF33" w14:textId="22127618" w:rsidR="00923411" w:rsidRPr="00294BBF" w:rsidRDefault="00B72CBB" w:rsidP="00BD0D95">
            <w:pPr>
              <w:tabs>
                <w:tab w:val="left" w:pos="657"/>
              </w:tabs>
              <w:spacing w:after="0" w:line="276" w:lineRule="auto"/>
              <w:jc w:val="left"/>
              <w:rPr>
                <w:rFonts w:ascii="Calibri" w:eastAsia="Times New Roman" w:hAnsi="Calibri" w:cs="Calibri"/>
                <w:color w:val="000000" w:themeColor="text1"/>
                <w:sz w:val="22"/>
                <w:lang w:eastAsia="en-GB"/>
              </w:rPr>
            </w:pPr>
            <w:r>
              <w:rPr>
                <w:rFonts w:ascii="Calibri" w:eastAsia="Times New Roman" w:hAnsi="Calibri" w:cs="Calibri"/>
                <w:color w:val="000000" w:themeColor="text1"/>
                <w:sz w:val="22"/>
                <w:lang w:eastAsia="en-GB"/>
              </w:rPr>
              <w:t>GEO1</w:t>
            </w:r>
            <w:r w:rsidR="00923411" w:rsidRPr="00294BBF">
              <w:rPr>
                <w:rFonts w:ascii="Calibri" w:eastAsia="Times New Roman" w:hAnsi="Calibri" w:cs="Calibri"/>
                <w:color w:val="000000" w:themeColor="text1"/>
                <w:sz w:val="22"/>
                <w:lang w:eastAsia="en-GB"/>
              </w:rPr>
              <w:t xml:space="preserve">  + Depth + Slope</w:t>
            </w:r>
          </w:p>
        </w:tc>
        <w:tc>
          <w:tcPr>
            <w:tcW w:w="951" w:type="dxa"/>
            <w:tcBorders>
              <w:top w:val="nil"/>
              <w:left w:val="single" w:sz="4" w:space="0" w:color="FFFFFF" w:themeColor="background1"/>
              <w:bottom w:val="single" w:sz="4" w:space="0" w:color="000000" w:themeColor="text1"/>
              <w:right w:val="nil"/>
            </w:tcBorders>
            <w:shd w:val="clear" w:color="auto" w:fill="auto"/>
            <w:noWrap/>
            <w:vAlign w:val="center"/>
          </w:tcPr>
          <w:p w14:paraId="59E70E55"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0.369</w:t>
            </w:r>
          </w:p>
        </w:tc>
        <w:tc>
          <w:tcPr>
            <w:tcW w:w="663" w:type="dxa"/>
            <w:tcBorders>
              <w:top w:val="nil"/>
              <w:left w:val="nil"/>
              <w:bottom w:val="single" w:sz="4" w:space="0" w:color="000000" w:themeColor="text1"/>
              <w:right w:val="nil"/>
            </w:tcBorders>
            <w:shd w:val="clear" w:color="auto" w:fill="auto"/>
            <w:noWrap/>
            <w:vAlign w:val="center"/>
          </w:tcPr>
          <w:p w14:paraId="101DC5AC"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6305</w:t>
            </w:r>
          </w:p>
        </w:tc>
        <w:tc>
          <w:tcPr>
            <w:tcW w:w="663" w:type="dxa"/>
            <w:tcBorders>
              <w:top w:val="nil"/>
              <w:left w:val="nil"/>
              <w:bottom w:val="single" w:sz="4" w:space="0" w:color="000000" w:themeColor="text1"/>
              <w:right w:val="nil"/>
            </w:tcBorders>
            <w:shd w:val="clear" w:color="auto" w:fill="auto"/>
            <w:noWrap/>
            <w:vAlign w:val="center"/>
          </w:tcPr>
          <w:p w14:paraId="61351573"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w:t>
            </w:r>
          </w:p>
        </w:tc>
        <w:tc>
          <w:tcPr>
            <w:tcW w:w="718" w:type="dxa"/>
            <w:tcBorders>
              <w:top w:val="nil"/>
              <w:left w:val="nil"/>
              <w:bottom w:val="single" w:sz="4" w:space="0" w:color="000000" w:themeColor="text1"/>
              <w:right w:val="nil"/>
            </w:tcBorders>
            <w:shd w:val="clear" w:color="auto" w:fill="auto"/>
            <w:noWrap/>
            <w:vAlign w:val="center"/>
          </w:tcPr>
          <w:p w14:paraId="4C84BEEF"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0.332</w:t>
            </w:r>
          </w:p>
        </w:tc>
        <w:tc>
          <w:tcPr>
            <w:tcW w:w="718" w:type="dxa"/>
            <w:tcBorders>
              <w:top w:val="nil"/>
              <w:left w:val="nil"/>
              <w:bottom w:val="single" w:sz="4" w:space="0" w:color="000000" w:themeColor="text1"/>
              <w:right w:val="nil"/>
            </w:tcBorders>
            <w:shd w:val="clear" w:color="auto" w:fill="auto"/>
            <w:noWrap/>
            <w:vAlign w:val="center"/>
          </w:tcPr>
          <w:p w14:paraId="1B9DAEB8"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0.351</w:t>
            </w:r>
          </w:p>
        </w:tc>
        <w:tc>
          <w:tcPr>
            <w:tcW w:w="718" w:type="dxa"/>
            <w:tcBorders>
              <w:top w:val="nil"/>
              <w:left w:val="nil"/>
              <w:bottom w:val="single" w:sz="4" w:space="0" w:color="000000" w:themeColor="text1"/>
              <w:right w:val="nil"/>
            </w:tcBorders>
            <w:shd w:val="clear" w:color="auto" w:fill="auto"/>
            <w:noWrap/>
            <w:vAlign w:val="center"/>
          </w:tcPr>
          <w:p w14:paraId="0B447ECC" w14:textId="77777777" w:rsidR="00923411" w:rsidRPr="00294BBF" w:rsidRDefault="00923411" w:rsidP="00BD0D95">
            <w:pPr>
              <w:spacing w:after="0" w:line="276" w:lineRule="auto"/>
              <w:jc w:val="left"/>
              <w:rPr>
                <w:rFonts w:ascii="Calibri" w:eastAsia="Times New Roman" w:hAnsi="Calibri" w:cs="Calibri"/>
                <w:color w:val="000000" w:themeColor="text1"/>
                <w:sz w:val="22"/>
                <w:lang w:eastAsia="en-GB"/>
              </w:rPr>
            </w:pPr>
            <w:r w:rsidRPr="00294BBF">
              <w:rPr>
                <w:rFonts w:ascii="Calibri" w:eastAsia="Times New Roman" w:hAnsi="Calibri" w:cs="Calibri"/>
                <w:color w:val="000000" w:themeColor="text1"/>
                <w:sz w:val="22"/>
                <w:lang w:eastAsia="en-GB"/>
              </w:rPr>
              <w:t>0.853</w:t>
            </w:r>
          </w:p>
        </w:tc>
      </w:tr>
    </w:tbl>
    <w:p w14:paraId="48AE82C4" w14:textId="77777777" w:rsidR="00021DD6" w:rsidRDefault="00021DD6" w:rsidP="00BD0D95">
      <w:pPr>
        <w:spacing w:line="276" w:lineRule="auto"/>
        <w:rPr>
          <w:rFonts w:cs="Times New Roman"/>
          <w:b/>
          <w:color w:val="000000" w:themeColor="text1"/>
        </w:rPr>
      </w:pPr>
    </w:p>
    <w:p w14:paraId="55D6ED2A" w14:textId="77777777" w:rsidR="006773E4" w:rsidRPr="00294BBF" w:rsidRDefault="006773E4" w:rsidP="00BD0D95">
      <w:pPr>
        <w:spacing w:line="276" w:lineRule="auto"/>
        <w:rPr>
          <w:rFonts w:cs="Times New Roman"/>
          <w:b/>
          <w:color w:val="000000" w:themeColor="text1"/>
        </w:rPr>
      </w:pPr>
    </w:p>
    <w:p w14:paraId="69CD2BFD" w14:textId="140EA806" w:rsidR="002E4CF6" w:rsidRPr="00294BBF" w:rsidRDefault="00021DD6" w:rsidP="00BD0D95">
      <w:pPr>
        <w:pStyle w:val="Billedtekst"/>
        <w:spacing w:line="276" w:lineRule="auto"/>
        <w:rPr>
          <w:rFonts w:ascii="Times New Roman" w:eastAsia="Times New Roman" w:hAnsi="Times New Roman" w:cs="Times New Roman"/>
          <w:b w:val="0"/>
          <w:color w:val="000000" w:themeColor="text1"/>
          <w:szCs w:val="24"/>
          <w:lang w:eastAsia="en-GB"/>
        </w:rPr>
      </w:pPr>
      <w:proofErr w:type="gramStart"/>
      <w:r w:rsidRPr="00294BBF">
        <w:rPr>
          <w:rFonts w:ascii="Times New Roman" w:hAnsi="Times New Roman" w:cs="Times New Roman"/>
          <w:color w:val="000000" w:themeColor="text1"/>
        </w:rPr>
        <w:t xml:space="preserve">Table </w:t>
      </w:r>
      <w:r w:rsidRPr="00294BBF">
        <w:rPr>
          <w:rFonts w:ascii="Times New Roman" w:hAnsi="Times New Roman" w:cs="Times New Roman"/>
          <w:color w:val="000000" w:themeColor="text1"/>
        </w:rPr>
        <w:fldChar w:fldCharType="begin"/>
      </w:r>
      <w:r w:rsidRPr="00294BBF">
        <w:rPr>
          <w:rFonts w:ascii="Times New Roman" w:hAnsi="Times New Roman" w:cs="Times New Roman"/>
          <w:color w:val="000000" w:themeColor="text1"/>
        </w:rPr>
        <w:instrText xml:space="preserve"> SEQ Table \* ARABIC </w:instrText>
      </w:r>
      <w:r w:rsidRPr="00294BBF">
        <w:rPr>
          <w:rFonts w:ascii="Times New Roman" w:hAnsi="Times New Roman" w:cs="Times New Roman"/>
          <w:color w:val="000000" w:themeColor="text1"/>
        </w:rPr>
        <w:fldChar w:fldCharType="separate"/>
      </w:r>
      <w:r w:rsidRPr="00294BBF">
        <w:rPr>
          <w:rFonts w:ascii="Times New Roman" w:hAnsi="Times New Roman" w:cs="Times New Roman"/>
          <w:noProof/>
          <w:color w:val="000000" w:themeColor="text1"/>
        </w:rPr>
        <w:t>4</w:t>
      </w:r>
      <w:r w:rsidRPr="00294BBF">
        <w:rPr>
          <w:rFonts w:ascii="Times New Roman" w:hAnsi="Times New Roman" w:cs="Times New Roman"/>
          <w:noProof/>
          <w:color w:val="000000" w:themeColor="text1"/>
        </w:rPr>
        <w:fldChar w:fldCharType="end"/>
      </w:r>
      <w:r w:rsidRPr="00294BBF">
        <w:rPr>
          <w:rFonts w:ascii="Times New Roman" w:hAnsi="Times New Roman" w:cs="Times New Roman"/>
          <w:color w:val="000000" w:themeColor="text1"/>
        </w:rPr>
        <w:t>.</w:t>
      </w:r>
      <w:proofErr w:type="gramEnd"/>
      <w:r w:rsidRPr="00294BBF">
        <w:rPr>
          <w:rFonts w:ascii="Times New Roman" w:hAnsi="Times New Roman" w:cs="Times New Roman"/>
          <w:color w:val="000000" w:themeColor="text1"/>
        </w:rPr>
        <w:t xml:space="preserve"> </w:t>
      </w:r>
      <w:proofErr w:type="gramStart"/>
      <w:r w:rsidR="00B2214D" w:rsidRPr="00294BBF">
        <w:rPr>
          <w:rFonts w:ascii="Times New Roman" w:hAnsi="Times New Roman" w:cs="Times New Roman"/>
          <w:b w:val="0"/>
          <w:color w:val="000000" w:themeColor="text1"/>
        </w:rPr>
        <w:t>M</w:t>
      </w:r>
      <w:r w:rsidRPr="00294BBF">
        <w:rPr>
          <w:rFonts w:ascii="Times New Roman" w:eastAsiaTheme="minorHAnsi" w:hAnsi="Times New Roman" w:cs="Times New Roman"/>
          <w:b w:val="0"/>
          <w:color w:val="000000" w:themeColor="text1"/>
          <w:szCs w:val="24"/>
          <w:lang w:eastAsia="en-US" w:bidi="ar-SA"/>
        </w:rPr>
        <w:t>odel fitting results for models incorporating environment variables</w:t>
      </w:r>
      <w:r w:rsidR="00885641">
        <w:rPr>
          <w:rFonts w:ascii="Times New Roman" w:eastAsiaTheme="minorHAnsi" w:hAnsi="Times New Roman" w:cs="Times New Roman"/>
          <w:b w:val="0"/>
          <w:color w:val="000000" w:themeColor="text1"/>
          <w:szCs w:val="24"/>
          <w:lang w:eastAsia="en-US" w:bidi="ar-SA"/>
        </w:rPr>
        <w:t>.</w:t>
      </w:r>
      <w:proofErr w:type="gramEnd"/>
      <w:r w:rsidRPr="00294BBF">
        <w:rPr>
          <w:rFonts w:ascii="Times New Roman" w:hAnsi="Times New Roman" w:cs="Times New Roman"/>
          <w:b w:val="0"/>
          <w:color w:val="000000" w:themeColor="text1"/>
          <w:szCs w:val="24"/>
        </w:rPr>
        <w:br/>
      </w:r>
      <w:r w:rsidR="009F14CD" w:rsidRPr="00294BBF">
        <w:rPr>
          <w:rFonts w:ascii="Times New Roman" w:hAnsi="Times New Roman" w:cs="Times New Roman"/>
          <w:b w:val="0"/>
          <w:color w:val="000000" w:themeColor="text1"/>
        </w:rPr>
        <w:t>Model formulation</w:t>
      </w:r>
      <w:r w:rsidR="005A6E2A">
        <w:rPr>
          <w:rFonts w:ascii="Times New Roman" w:hAnsi="Times New Roman" w:cs="Times New Roman"/>
          <w:b w:val="0"/>
          <w:color w:val="000000" w:themeColor="text1"/>
        </w:rPr>
        <w:t xml:space="preserve">, </w:t>
      </w:r>
      <w:proofErr w:type="gramStart"/>
      <w:r w:rsidR="005A6E2A" w:rsidRPr="006773E4">
        <w:rPr>
          <w:rFonts w:ascii="Times New Roman" w:hAnsi="Times New Roman" w:cs="Times New Roman"/>
          <w:b w:val="0"/>
          <w:i/>
          <w:color w:val="000000" w:themeColor="text1"/>
        </w:rPr>
        <w:t>f(</w:t>
      </w:r>
      <w:proofErr w:type="gramEnd"/>
      <w:r w:rsidR="005A6E2A" w:rsidRPr="006773E4">
        <w:rPr>
          <w:rFonts w:ascii="Times New Roman" w:hAnsi="Times New Roman" w:cs="Times New Roman"/>
          <w:b w:val="0"/>
          <w:i/>
          <w:color w:val="000000" w:themeColor="text1"/>
        </w:rPr>
        <w:t>)</w:t>
      </w:r>
      <w:r w:rsidR="005A6E2A">
        <w:rPr>
          <w:rFonts w:ascii="Times New Roman" w:hAnsi="Times New Roman" w:cs="Times New Roman"/>
          <w:b w:val="0"/>
          <w:color w:val="000000" w:themeColor="text1"/>
        </w:rPr>
        <w:t>,</w:t>
      </w:r>
      <w:r w:rsidR="009F14CD" w:rsidRPr="00294BBF">
        <w:rPr>
          <w:rFonts w:ascii="Times New Roman" w:hAnsi="Times New Roman" w:cs="Times New Roman"/>
          <w:b w:val="0"/>
          <w:color w:val="000000" w:themeColor="text1"/>
        </w:rPr>
        <w:t xml:space="preserve"> </w:t>
      </w:r>
      <w:r w:rsidR="00C23F3E">
        <w:rPr>
          <w:rFonts w:ascii="Times New Roman" w:hAnsi="Times New Roman" w:cs="Times New Roman"/>
          <w:b w:val="0"/>
          <w:color w:val="000000" w:themeColor="text1"/>
        </w:rPr>
        <w:t xml:space="preserve">where </w:t>
      </w:r>
      <w:r w:rsidR="007B1CB4">
        <w:rPr>
          <w:rFonts w:ascii="Times New Roman" w:hAnsi="Times New Roman" w:cs="Times New Roman"/>
          <w:b w:val="0"/>
          <w:color w:val="000000" w:themeColor="text1"/>
        </w:rPr>
        <w:t xml:space="preserve">abbreviations are defined </w:t>
      </w:r>
      <w:r w:rsidR="009F14CD">
        <w:rPr>
          <w:rFonts w:ascii="Times New Roman" w:hAnsi="Times New Roman" w:cs="Times New Roman"/>
          <w:b w:val="0"/>
          <w:color w:val="000000" w:themeColor="text1"/>
        </w:rPr>
        <w:t>in Table 2.</w:t>
      </w:r>
      <w:r w:rsidRPr="00294BBF">
        <w:rPr>
          <w:rFonts w:ascii="Times New Roman" w:hAnsi="Times New Roman" w:cs="Times New Roman"/>
          <w:b w:val="0"/>
          <w:color w:val="000000" w:themeColor="text1"/>
          <w:szCs w:val="24"/>
        </w:rPr>
        <w:t xml:space="preserve"> </w:t>
      </w:r>
      <w:r w:rsidRPr="00294BBF">
        <w:rPr>
          <w:rFonts w:ascii="Times New Roman" w:hAnsi="Times New Roman" w:cs="Times New Roman"/>
          <w:b w:val="0"/>
          <w:i/>
          <w:color w:val="000000" w:themeColor="text1"/>
          <w:szCs w:val="24"/>
        </w:rPr>
        <w:t>GEO2</w:t>
      </w:r>
      <w:r w:rsidRPr="00294BBF">
        <w:rPr>
          <w:rFonts w:ascii="Times New Roman" w:hAnsi="Times New Roman" w:cs="Times New Roman"/>
          <w:b w:val="0"/>
          <w:color w:val="000000" w:themeColor="text1"/>
          <w:szCs w:val="24"/>
        </w:rPr>
        <w:t xml:space="preserve"> is the best fitting geographical model (Table 3)</w:t>
      </w:r>
      <w:r w:rsidR="00C23F3E">
        <w:rPr>
          <w:rFonts w:ascii="Times New Roman" w:hAnsi="Times New Roman" w:cs="Times New Roman"/>
          <w:b w:val="0"/>
          <w:color w:val="000000" w:themeColor="text1"/>
          <w:szCs w:val="24"/>
        </w:rPr>
        <w:t xml:space="preserve">: </w:t>
      </w:r>
      <w:r w:rsidR="00C23F3E">
        <w:rPr>
          <w:rFonts w:ascii="Times New Roman" w:eastAsia="Times New Roman" w:hAnsi="Times New Roman" w:cs="Times New Roman"/>
          <w:b w:val="0"/>
          <w:color w:val="000000" w:themeColor="text1"/>
          <w:szCs w:val="24"/>
          <w:lang w:eastAsia="en-GB" w:bidi="ar-SA"/>
        </w:rPr>
        <w:t>t</w:t>
      </w:r>
      <w:r w:rsidRPr="00294BBF">
        <w:rPr>
          <w:rFonts w:ascii="Times New Roman" w:eastAsia="Times New Roman" w:hAnsi="Times New Roman" w:cs="Times New Roman"/>
          <w:b w:val="0"/>
          <w:color w:val="000000" w:themeColor="text1"/>
          <w:szCs w:val="24"/>
          <w:lang w:eastAsia="en-GB" w:bidi="ar-SA"/>
        </w:rPr>
        <w:t>he details of this model are duplicated here from Table 3 for reference.</w:t>
      </w:r>
      <w:r w:rsidRPr="00294BBF">
        <w:rPr>
          <w:rFonts w:ascii="Times New Roman" w:eastAsia="Times New Roman" w:hAnsi="Times New Roman" w:cs="Times New Roman"/>
          <w:b w:val="0"/>
          <w:color w:val="000000" w:themeColor="text1"/>
          <w:szCs w:val="24"/>
          <w:lang w:eastAsia="en-GB"/>
        </w:rPr>
        <w:t xml:space="preserve"> </w:t>
      </w:r>
    </w:p>
    <w:tbl>
      <w:tblPr>
        <w:tblW w:w="8542" w:type="dxa"/>
        <w:tblInd w:w="108" w:type="dxa"/>
        <w:tblLayout w:type="fixed"/>
        <w:tblLook w:val="04A0" w:firstRow="1" w:lastRow="0" w:firstColumn="1" w:lastColumn="0" w:noHBand="0" w:noVBand="1"/>
      </w:tblPr>
      <w:tblGrid>
        <w:gridCol w:w="851"/>
        <w:gridCol w:w="3260"/>
        <w:gridCol w:w="951"/>
        <w:gridCol w:w="663"/>
        <w:gridCol w:w="654"/>
        <w:gridCol w:w="721"/>
        <w:gridCol w:w="721"/>
        <w:gridCol w:w="721"/>
      </w:tblGrid>
      <w:tr w:rsidR="00021DD6" w:rsidRPr="00294BBF" w14:paraId="107D313E" w14:textId="77777777" w:rsidTr="00E40F45">
        <w:trPr>
          <w:trHeight w:val="300"/>
        </w:trPr>
        <w:tc>
          <w:tcPr>
            <w:tcW w:w="851" w:type="dxa"/>
            <w:tcBorders>
              <w:top w:val="single" w:sz="4" w:space="0" w:color="000000" w:themeColor="text1"/>
              <w:left w:val="nil"/>
              <w:bottom w:val="single" w:sz="4" w:space="0" w:color="auto"/>
              <w:right w:val="nil"/>
            </w:tcBorders>
            <w:shd w:val="clear" w:color="auto" w:fill="auto"/>
            <w:noWrap/>
            <w:vAlign w:val="center"/>
            <w:hideMark/>
          </w:tcPr>
          <w:p w14:paraId="26EC0137" w14:textId="77777777" w:rsidR="00021DD6" w:rsidRPr="00294BBF" w:rsidRDefault="00021DD6" w:rsidP="00BD0D95">
            <w:pPr>
              <w:spacing w:after="0" w:line="276" w:lineRule="auto"/>
              <w:jc w:val="left"/>
              <w:rPr>
                <w:rFonts w:ascii="Calibri" w:eastAsia="Times New Roman" w:hAnsi="Calibri" w:cs="Calibri"/>
                <w:b/>
                <w:color w:val="000000" w:themeColor="text1"/>
                <w:sz w:val="22"/>
                <w:lang w:eastAsia="en-GB" w:bidi="ar-SA"/>
              </w:rPr>
            </w:pPr>
            <w:r w:rsidRPr="00294BBF">
              <w:rPr>
                <w:rFonts w:ascii="Calibri" w:eastAsia="Times New Roman" w:hAnsi="Calibri" w:cs="Calibri"/>
                <w:b/>
                <w:color w:val="000000" w:themeColor="text1"/>
                <w:sz w:val="22"/>
                <w:lang w:eastAsia="en-GB" w:bidi="ar-SA"/>
              </w:rPr>
              <w:t>Model</w:t>
            </w:r>
          </w:p>
        </w:tc>
        <w:tc>
          <w:tcPr>
            <w:tcW w:w="3260" w:type="dxa"/>
            <w:tcBorders>
              <w:top w:val="single" w:sz="4" w:space="0" w:color="000000" w:themeColor="text1"/>
              <w:left w:val="nil"/>
              <w:bottom w:val="single" w:sz="4" w:space="0" w:color="auto"/>
              <w:right w:val="single" w:sz="4" w:space="0" w:color="FFFFFF" w:themeColor="background1"/>
            </w:tcBorders>
            <w:shd w:val="clear" w:color="auto" w:fill="auto"/>
            <w:noWrap/>
            <w:vAlign w:val="center"/>
            <w:hideMark/>
          </w:tcPr>
          <w:p w14:paraId="46F75DD1" w14:textId="77777777" w:rsidR="00021DD6" w:rsidRPr="00294BBF" w:rsidRDefault="00021DD6" w:rsidP="00BD0D95">
            <w:pPr>
              <w:spacing w:after="0" w:line="276" w:lineRule="auto"/>
              <w:jc w:val="left"/>
              <w:rPr>
                <w:rFonts w:ascii="Calibri" w:eastAsia="Times New Roman" w:hAnsi="Calibri" w:cs="Calibri"/>
                <w:b/>
                <w:color w:val="000000" w:themeColor="text1"/>
                <w:sz w:val="22"/>
                <w:lang w:eastAsia="en-GB" w:bidi="ar-SA"/>
              </w:rPr>
            </w:pPr>
            <w:r w:rsidRPr="00294BBF">
              <w:rPr>
                <w:rFonts w:ascii="Calibri" w:eastAsia="Times New Roman" w:hAnsi="Calibri" w:cs="Calibri"/>
                <w:b/>
                <w:color w:val="000000" w:themeColor="text1"/>
                <w:sz w:val="22"/>
                <w:lang w:eastAsia="en-GB" w:bidi="ar-SA"/>
              </w:rPr>
              <w:t xml:space="preserve">Formulation, f() </w:t>
            </w:r>
          </w:p>
        </w:tc>
        <w:tc>
          <w:tcPr>
            <w:tcW w:w="951" w:type="dxa"/>
            <w:tcBorders>
              <w:top w:val="single" w:sz="4" w:space="0" w:color="000000" w:themeColor="text1"/>
              <w:left w:val="single" w:sz="4" w:space="0" w:color="FFFFFF" w:themeColor="background1"/>
              <w:bottom w:val="single" w:sz="4" w:space="0" w:color="auto"/>
              <w:right w:val="nil"/>
            </w:tcBorders>
            <w:shd w:val="clear" w:color="auto" w:fill="auto"/>
            <w:noWrap/>
            <w:vAlign w:val="center"/>
            <w:hideMark/>
          </w:tcPr>
          <w:p w14:paraId="1AD6F5AB" w14:textId="77777777" w:rsidR="00021DD6" w:rsidRPr="00294BBF" w:rsidRDefault="00021DD6" w:rsidP="00BD0D95">
            <w:pPr>
              <w:spacing w:after="0" w:line="276" w:lineRule="auto"/>
              <w:jc w:val="left"/>
              <w:rPr>
                <w:rFonts w:ascii="Calibri" w:eastAsia="Times New Roman" w:hAnsi="Calibri" w:cs="Calibri"/>
                <w:b/>
                <w:color w:val="000000" w:themeColor="text1"/>
                <w:sz w:val="22"/>
                <w:lang w:eastAsia="en-GB" w:bidi="ar-SA"/>
              </w:rPr>
            </w:pPr>
            <w:proofErr w:type="spellStart"/>
            <w:r w:rsidRPr="00294BBF">
              <w:rPr>
                <w:rFonts w:ascii="Calibri" w:eastAsia="Times New Roman" w:hAnsi="Calibri" w:cs="Calibri"/>
                <w:b/>
                <w:color w:val="000000" w:themeColor="text1"/>
                <w:sz w:val="22"/>
                <w:lang w:eastAsia="en-GB" w:bidi="ar-SA"/>
              </w:rPr>
              <w:t>DevExpl</w:t>
            </w:r>
            <w:proofErr w:type="spellEnd"/>
          </w:p>
        </w:tc>
        <w:tc>
          <w:tcPr>
            <w:tcW w:w="663" w:type="dxa"/>
            <w:tcBorders>
              <w:top w:val="single" w:sz="4" w:space="0" w:color="000000" w:themeColor="text1"/>
              <w:left w:val="nil"/>
              <w:bottom w:val="single" w:sz="4" w:space="0" w:color="auto"/>
              <w:right w:val="nil"/>
            </w:tcBorders>
            <w:shd w:val="clear" w:color="auto" w:fill="auto"/>
            <w:noWrap/>
            <w:vAlign w:val="center"/>
            <w:hideMark/>
          </w:tcPr>
          <w:p w14:paraId="439B5353" w14:textId="77777777" w:rsidR="00021DD6" w:rsidRPr="00294BBF" w:rsidRDefault="00021DD6" w:rsidP="00BD0D95">
            <w:pPr>
              <w:spacing w:after="0" w:line="276" w:lineRule="auto"/>
              <w:jc w:val="left"/>
              <w:rPr>
                <w:rFonts w:ascii="Calibri" w:eastAsia="Times New Roman" w:hAnsi="Calibri" w:cs="Calibri"/>
                <w:b/>
                <w:color w:val="000000" w:themeColor="text1"/>
                <w:sz w:val="22"/>
                <w:lang w:eastAsia="en-GB" w:bidi="ar-SA"/>
              </w:rPr>
            </w:pPr>
            <w:r w:rsidRPr="00294BBF">
              <w:rPr>
                <w:rFonts w:ascii="Calibri" w:eastAsia="Times New Roman" w:hAnsi="Calibri" w:cs="Calibri"/>
                <w:b/>
                <w:color w:val="000000" w:themeColor="text1"/>
                <w:sz w:val="22"/>
                <w:lang w:eastAsia="en-GB" w:bidi="ar-SA"/>
              </w:rPr>
              <w:t>AIC</w:t>
            </w:r>
          </w:p>
        </w:tc>
        <w:tc>
          <w:tcPr>
            <w:tcW w:w="654" w:type="dxa"/>
            <w:tcBorders>
              <w:top w:val="single" w:sz="4" w:space="0" w:color="000000" w:themeColor="text1"/>
              <w:left w:val="nil"/>
              <w:bottom w:val="single" w:sz="4" w:space="0" w:color="auto"/>
              <w:right w:val="nil"/>
            </w:tcBorders>
            <w:vAlign w:val="center"/>
          </w:tcPr>
          <w:p w14:paraId="38D86574" w14:textId="77777777" w:rsidR="00021DD6" w:rsidRPr="00294BBF" w:rsidRDefault="00021DD6" w:rsidP="00BD0D95">
            <w:pPr>
              <w:spacing w:after="0" w:line="276" w:lineRule="auto"/>
              <w:jc w:val="left"/>
              <w:rPr>
                <w:rFonts w:ascii="Calibri" w:eastAsia="Times New Roman" w:hAnsi="Calibri" w:cs="Calibri"/>
                <w:b/>
                <w:color w:val="000000" w:themeColor="text1"/>
                <w:sz w:val="22"/>
                <w:lang w:eastAsia="en-GB" w:bidi="ar-SA"/>
              </w:rPr>
            </w:pPr>
            <w:r w:rsidRPr="00294BBF">
              <w:rPr>
                <w:rFonts w:ascii="Calibri" w:eastAsia="Times New Roman" w:hAnsi="Calibri" w:cs="Calibri"/>
                <w:b/>
                <w:color w:val="000000" w:themeColor="text1"/>
                <w:sz w:val="22"/>
                <w:lang w:eastAsia="en-GB" w:bidi="ar-SA"/>
              </w:rPr>
              <w:t>∆AIC</w:t>
            </w:r>
          </w:p>
        </w:tc>
        <w:tc>
          <w:tcPr>
            <w:tcW w:w="721" w:type="dxa"/>
            <w:tcBorders>
              <w:top w:val="single" w:sz="4" w:space="0" w:color="000000" w:themeColor="text1"/>
              <w:left w:val="nil"/>
              <w:bottom w:val="single" w:sz="4" w:space="0" w:color="auto"/>
              <w:right w:val="nil"/>
            </w:tcBorders>
            <w:shd w:val="clear" w:color="auto" w:fill="auto"/>
            <w:noWrap/>
            <w:vAlign w:val="center"/>
            <w:hideMark/>
          </w:tcPr>
          <w:p w14:paraId="60B8E5DC" w14:textId="77777777" w:rsidR="00021DD6" w:rsidRPr="00294BBF" w:rsidRDefault="00021DD6" w:rsidP="00BD0D95">
            <w:pPr>
              <w:spacing w:after="0" w:line="276" w:lineRule="auto"/>
              <w:jc w:val="left"/>
              <w:rPr>
                <w:rFonts w:ascii="Calibri" w:eastAsia="Times New Roman" w:hAnsi="Calibri" w:cs="Calibri"/>
                <w:b/>
                <w:color w:val="000000" w:themeColor="text1"/>
                <w:sz w:val="22"/>
                <w:lang w:eastAsia="en-GB" w:bidi="ar-SA"/>
              </w:rPr>
            </w:pPr>
            <w:r w:rsidRPr="00294BBF">
              <w:rPr>
                <w:rFonts w:ascii="Calibri" w:eastAsia="Times New Roman" w:hAnsi="Calibri" w:cs="Calibri"/>
                <w:b/>
                <w:color w:val="000000" w:themeColor="text1"/>
                <w:sz w:val="22"/>
                <w:lang w:eastAsia="en-GB" w:bidi="ar-SA"/>
              </w:rPr>
              <w:t>TSS</w:t>
            </w:r>
          </w:p>
        </w:tc>
        <w:tc>
          <w:tcPr>
            <w:tcW w:w="721" w:type="dxa"/>
            <w:tcBorders>
              <w:top w:val="single" w:sz="4" w:space="0" w:color="000000" w:themeColor="text1"/>
              <w:left w:val="nil"/>
              <w:bottom w:val="single" w:sz="4" w:space="0" w:color="auto"/>
              <w:right w:val="nil"/>
            </w:tcBorders>
            <w:shd w:val="clear" w:color="auto" w:fill="auto"/>
            <w:noWrap/>
            <w:vAlign w:val="center"/>
            <w:hideMark/>
          </w:tcPr>
          <w:p w14:paraId="30571725" w14:textId="77777777" w:rsidR="00021DD6" w:rsidRPr="00294BBF" w:rsidRDefault="00021DD6" w:rsidP="00BD0D95">
            <w:pPr>
              <w:spacing w:after="0" w:line="276" w:lineRule="auto"/>
              <w:jc w:val="left"/>
              <w:rPr>
                <w:rFonts w:ascii="Calibri" w:eastAsia="Times New Roman" w:hAnsi="Calibri" w:cs="Calibri"/>
                <w:b/>
                <w:color w:val="000000" w:themeColor="text1"/>
                <w:sz w:val="22"/>
                <w:lang w:eastAsia="en-GB" w:bidi="ar-SA"/>
              </w:rPr>
            </w:pPr>
            <w:r w:rsidRPr="00294BBF">
              <w:rPr>
                <w:rFonts w:ascii="Calibri" w:eastAsia="Times New Roman" w:hAnsi="Calibri" w:cs="Calibri"/>
                <w:b/>
                <w:color w:val="000000" w:themeColor="text1"/>
                <w:sz w:val="22"/>
                <w:lang w:eastAsia="en-GB" w:bidi="ar-SA"/>
              </w:rPr>
              <w:t>PPV</w:t>
            </w:r>
          </w:p>
        </w:tc>
        <w:tc>
          <w:tcPr>
            <w:tcW w:w="721" w:type="dxa"/>
            <w:tcBorders>
              <w:top w:val="single" w:sz="4" w:space="0" w:color="000000" w:themeColor="text1"/>
              <w:left w:val="nil"/>
              <w:bottom w:val="single" w:sz="4" w:space="0" w:color="auto"/>
              <w:right w:val="nil"/>
            </w:tcBorders>
            <w:vAlign w:val="center"/>
          </w:tcPr>
          <w:p w14:paraId="181FA156" w14:textId="77777777" w:rsidR="00021DD6" w:rsidRPr="00294BBF" w:rsidRDefault="00021DD6" w:rsidP="00BD0D95">
            <w:pPr>
              <w:spacing w:after="0" w:line="276" w:lineRule="auto"/>
              <w:jc w:val="left"/>
              <w:rPr>
                <w:rFonts w:ascii="Calibri" w:eastAsia="Times New Roman" w:hAnsi="Calibri" w:cs="Calibri"/>
                <w:b/>
                <w:color w:val="000000" w:themeColor="text1"/>
                <w:sz w:val="22"/>
                <w:lang w:eastAsia="en-GB" w:bidi="ar-SA"/>
              </w:rPr>
            </w:pPr>
            <w:r w:rsidRPr="00294BBF">
              <w:rPr>
                <w:rFonts w:ascii="Calibri" w:eastAsia="Times New Roman" w:hAnsi="Calibri" w:cs="Calibri"/>
                <w:b/>
                <w:color w:val="000000" w:themeColor="text1"/>
                <w:sz w:val="22"/>
                <w:lang w:eastAsia="en-GB" w:bidi="ar-SA"/>
              </w:rPr>
              <w:t>NPV</w:t>
            </w:r>
          </w:p>
        </w:tc>
      </w:tr>
      <w:tr w:rsidR="00021DD6" w:rsidRPr="00294BBF" w14:paraId="4A16E8D5" w14:textId="77777777" w:rsidTr="00E40F45">
        <w:trPr>
          <w:trHeight w:val="300"/>
        </w:trPr>
        <w:tc>
          <w:tcPr>
            <w:tcW w:w="851" w:type="dxa"/>
            <w:tcBorders>
              <w:top w:val="single" w:sz="4" w:space="0" w:color="auto"/>
              <w:left w:val="nil"/>
              <w:bottom w:val="dashed" w:sz="4" w:space="0" w:color="auto"/>
              <w:right w:val="nil"/>
            </w:tcBorders>
            <w:shd w:val="clear" w:color="auto" w:fill="auto"/>
            <w:noWrap/>
            <w:vAlign w:val="center"/>
          </w:tcPr>
          <w:p w14:paraId="2DD6D890" w14:textId="77777777" w:rsidR="00021DD6" w:rsidRPr="00294BBF" w:rsidDel="00F66CB4"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GEO2</w:t>
            </w:r>
          </w:p>
        </w:tc>
        <w:tc>
          <w:tcPr>
            <w:tcW w:w="3260" w:type="dxa"/>
            <w:tcBorders>
              <w:top w:val="single" w:sz="4" w:space="0" w:color="auto"/>
              <w:left w:val="nil"/>
              <w:bottom w:val="dashed" w:sz="4" w:space="0" w:color="auto"/>
              <w:right w:val="single" w:sz="4" w:space="0" w:color="FFFFFF" w:themeColor="background1"/>
            </w:tcBorders>
            <w:shd w:val="clear" w:color="auto" w:fill="auto"/>
            <w:noWrap/>
            <w:vAlign w:val="center"/>
          </w:tcPr>
          <w:p w14:paraId="263ED944" w14:textId="11509CF0" w:rsidR="00021DD6" w:rsidRPr="00294BBF" w:rsidDel="00DE065F" w:rsidRDefault="00021DD6">
            <w:pPr>
              <w:spacing w:after="0" w:line="276" w:lineRule="auto"/>
              <w:jc w:val="left"/>
              <w:rPr>
                <w:rFonts w:ascii="Calibri" w:eastAsia="Times New Roman" w:hAnsi="Calibri" w:cs="Calibri"/>
                <w:color w:val="000000" w:themeColor="text1"/>
                <w:sz w:val="22"/>
                <w:lang w:eastAsia="en-GB" w:bidi="ar-SA"/>
              </w:rPr>
            </w:pPr>
            <w:proofErr w:type="spellStart"/>
            <w:r w:rsidRPr="00294BBF">
              <w:rPr>
                <w:rFonts w:ascii="Calibri" w:eastAsia="Times New Roman" w:hAnsi="Calibri" w:cs="Calibri"/>
                <w:color w:val="000000" w:themeColor="text1"/>
                <w:sz w:val="22"/>
                <w:lang w:eastAsia="en-GB" w:bidi="ar-SA"/>
              </w:rPr>
              <w:t>Lat</w:t>
            </w:r>
            <w:proofErr w:type="spellEnd"/>
            <w:r w:rsidRPr="00294BBF">
              <w:rPr>
                <w:rFonts w:ascii="Calibri" w:eastAsia="Times New Roman" w:hAnsi="Calibri" w:cs="Calibri"/>
                <w:color w:val="000000" w:themeColor="text1"/>
                <w:sz w:val="22"/>
                <w:lang w:eastAsia="en-GB" w:bidi="ar-SA"/>
              </w:rPr>
              <w:t xml:space="preserve"> x DOY + </w:t>
            </w:r>
            <w:r w:rsidRPr="00294BBF">
              <w:rPr>
                <w:rFonts w:ascii="Symbol" w:eastAsia="Times New Roman" w:hAnsi="Symbol" w:cs="Calibri"/>
                <w:i/>
                <w:color w:val="000000" w:themeColor="text1"/>
                <w:sz w:val="22"/>
                <w:lang w:eastAsia="en-GB" w:bidi="ar-SA"/>
              </w:rPr>
              <w:t></w:t>
            </w:r>
            <w:r w:rsidRPr="00294BBF">
              <w:rPr>
                <w:rFonts w:ascii="Calibri" w:eastAsia="Times New Roman" w:hAnsi="Calibri" w:cs="Calibri"/>
                <w:color w:val="000000" w:themeColor="text1"/>
                <w:sz w:val="22"/>
                <w:lang w:eastAsia="en-GB" w:bidi="ar-SA"/>
              </w:rPr>
              <w:t xml:space="preserve"> + Depth</w:t>
            </w:r>
          </w:p>
        </w:tc>
        <w:tc>
          <w:tcPr>
            <w:tcW w:w="951" w:type="dxa"/>
            <w:tcBorders>
              <w:top w:val="single" w:sz="4" w:space="0" w:color="auto"/>
              <w:left w:val="single" w:sz="4" w:space="0" w:color="FFFFFF" w:themeColor="background1"/>
              <w:bottom w:val="dashed" w:sz="4" w:space="0" w:color="auto"/>
              <w:right w:val="nil"/>
            </w:tcBorders>
            <w:shd w:val="clear" w:color="auto" w:fill="auto"/>
            <w:noWrap/>
            <w:vAlign w:val="center"/>
          </w:tcPr>
          <w:p w14:paraId="5421CE15"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0.369</w:t>
            </w:r>
          </w:p>
        </w:tc>
        <w:tc>
          <w:tcPr>
            <w:tcW w:w="663" w:type="dxa"/>
            <w:tcBorders>
              <w:top w:val="single" w:sz="4" w:space="0" w:color="auto"/>
              <w:left w:val="nil"/>
              <w:bottom w:val="dashed" w:sz="4" w:space="0" w:color="auto"/>
              <w:right w:val="nil"/>
            </w:tcBorders>
            <w:shd w:val="clear" w:color="auto" w:fill="auto"/>
            <w:noWrap/>
            <w:vAlign w:val="center"/>
          </w:tcPr>
          <w:p w14:paraId="2FEBE74D"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6305</w:t>
            </w:r>
          </w:p>
        </w:tc>
        <w:tc>
          <w:tcPr>
            <w:tcW w:w="654" w:type="dxa"/>
            <w:tcBorders>
              <w:top w:val="single" w:sz="4" w:space="0" w:color="auto"/>
              <w:left w:val="nil"/>
              <w:bottom w:val="dashed" w:sz="4" w:space="0" w:color="auto"/>
              <w:right w:val="nil"/>
            </w:tcBorders>
            <w:vAlign w:val="center"/>
          </w:tcPr>
          <w:p w14:paraId="08154F7D"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146</w:t>
            </w:r>
          </w:p>
        </w:tc>
        <w:tc>
          <w:tcPr>
            <w:tcW w:w="721" w:type="dxa"/>
            <w:tcBorders>
              <w:top w:val="single" w:sz="4" w:space="0" w:color="auto"/>
              <w:left w:val="nil"/>
              <w:bottom w:val="dashed" w:sz="4" w:space="0" w:color="auto"/>
              <w:right w:val="nil"/>
            </w:tcBorders>
            <w:shd w:val="clear" w:color="auto" w:fill="auto"/>
            <w:noWrap/>
            <w:vAlign w:val="center"/>
          </w:tcPr>
          <w:p w14:paraId="34973212"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0.331</w:t>
            </w:r>
          </w:p>
        </w:tc>
        <w:tc>
          <w:tcPr>
            <w:tcW w:w="721" w:type="dxa"/>
            <w:tcBorders>
              <w:top w:val="single" w:sz="4" w:space="0" w:color="auto"/>
              <w:left w:val="nil"/>
              <w:bottom w:val="dashed" w:sz="4" w:space="0" w:color="auto"/>
              <w:right w:val="nil"/>
            </w:tcBorders>
            <w:shd w:val="clear" w:color="auto" w:fill="auto"/>
            <w:noWrap/>
            <w:vAlign w:val="center"/>
          </w:tcPr>
          <w:p w14:paraId="2768B734"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0.350</w:t>
            </w:r>
          </w:p>
        </w:tc>
        <w:tc>
          <w:tcPr>
            <w:tcW w:w="721" w:type="dxa"/>
            <w:tcBorders>
              <w:top w:val="single" w:sz="4" w:space="0" w:color="auto"/>
              <w:left w:val="nil"/>
              <w:bottom w:val="dashed" w:sz="4" w:space="0" w:color="auto"/>
              <w:right w:val="nil"/>
            </w:tcBorders>
            <w:shd w:val="clear" w:color="auto" w:fill="auto"/>
            <w:vAlign w:val="center"/>
          </w:tcPr>
          <w:p w14:paraId="7749177C"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0.849</w:t>
            </w:r>
          </w:p>
        </w:tc>
      </w:tr>
      <w:tr w:rsidR="00021DD6" w:rsidRPr="00294BBF" w14:paraId="6203E110" w14:textId="77777777" w:rsidTr="00E40F45">
        <w:trPr>
          <w:trHeight w:val="300"/>
        </w:trPr>
        <w:tc>
          <w:tcPr>
            <w:tcW w:w="851" w:type="dxa"/>
            <w:tcBorders>
              <w:top w:val="dashed" w:sz="4" w:space="0" w:color="auto"/>
              <w:left w:val="nil"/>
              <w:bottom w:val="nil"/>
              <w:right w:val="nil"/>
            </w:tcBorders>
            <w:shd w:val="clear" w:color="auto" w:fill="auto"/>
            <w:noWrap/>
            <w:vAlign w:val="center"/>
          </w:tcPr>
          <w:p w14:paraId="6BEF05B9"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SDM1</w:t>
            </w:r>
          </w:p>
        </w:tc>
        <w:tc>
          <w:tcPr>
            <w:tcW w:w="3260" w:type="dxa"/>
            <w:tcBorders>
              <w:top w:val="dashed" w:sz="4" w:space="0" w:color="auto"/>
              <w:left w:val="nil"/>
              <w:bottom w:val="nil"/>
              <w:right w:val="single" w:sz="4" w:space="0" w:color="FFFFFF" w:themeColor="background1"/>
            </w:tcBorders>
            <w:shd w:val="clear" w:color="auto" w:fill="auto"/>
            <w:noWrap/>
            <w:vAlign w:val="center"/>
          </w:tcPr>
          <w:p w14:paraId="4BBB7BF3"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GEO2 + SSS</w:t>
            </w:r>
          </w:p>
        </w:tc>
        <w:tc>
          <w:tcPr>
            <w:tcW w:w="951" w:type="dxa"/>
            <w:tcBorders>
              <w:top w:val="dashed" w:sz="4" w:space="0" w:color="auto"/>
              <w:left w:val="single" w:sz="4" w:space="0" w:color="FFFFFF" w:themeColor="background1"/>
              <w:bottom w:val="nil"/>
              <w:right w:val="nil"/>
            </w:tcBorders>
            <w:shd w:val="clear" w:color="auto" w:fill="auto"/>
            <w:noWrap/>
            <w:vAlign w:val="center"/>
          </w:tcPr>
          <w:p w14:paraId="728EE8C6"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0.369</w:t>
            </w:r>
          </w:p>
        </w:tc>
        <w:tc>
          <w:tcPr>
            <w:tcW w:w="663" w:type="dxa"/>
            <w:tcBorders>
              <w:top w:val="dashed" w:sz="4" w:space="0" w:color="auto"/>
              <w:left w:val="nil"/>
              <w:bottom w:val="nil"/>
              <w:right w:val="nil"/>
            </w:tcBorders>
            <w:shd w:val="clear" w:color="auto" w:fill="auto"/>
            <w:noWrap/>
            <w:vAlign w:val="center"/>
          </w:tcPr>
          <w:p w14:paraId="6F84E96A"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6304</w:t>
            </w:r>
          </w:p>
        </w:tc>
        <w:tc>
          <w:tcPr>
            <w:tcW w:w="654" w:type="dxa"/>
            <w:tcBorders>
              <w:top w:val="dashed" w:sz="4" w:space="0" w:color="auto"/>
              <w:left w:val="nil"/>
              <w:bottom w:val="nil"/>
              <w:right w:val="nil"/>
            </w:tcBorders>
            <w:shd w:val="clear" w:color="auto" w:fill="auto"/>
            <w:vAlign w:val="center"/>
          </w:tcPr>
          <w:p w14:paraId="58FB8084"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145</w:t>
            </w:r>
          </w:p>
        </w:tc>
        <w:tc>
          <w:tcPr>
            <w:tcW w:w="721" w:type="dxa"/>
            <w:tcBorders>
              <w:top w:val="dashed" w:sz="4" w:space="0" w:color="auto"/>
              <w:left w:val="nil"/>
              <w:bottom w:val="nil"/>
              <w:right w:val="nil"/>
            </w:tcBorders>
            <w:shd w:val="clear" w:color="auto" w:fill="auto"/>
            <w:noWrap/>
            <w:vAlign w:val="center"/>
          </w:tcPr>
          <w:p w14:paraId="437E2F48"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0.332</w:t>
            </w:r>
          </w:p>
        </w:tc>
        <w:tc>
          <w:tcPr>
            <w:tcW w:w="721" w:type="dxa"/>
            <w:tcBorders>
              <w:top w:val="dashed" w:sz="4" w:space="0" w:color="auto"/>
              <w:left w:val="nil"/>
              <w:bottom w:val="nil"/>
              <w:right w:val="nil"/>
            </w:tcBorders>
            <w:shd w:val="clear" w:color="auto" w:fill="auto"/>
            <w:noWrap/>
            <w:vAlign w:val="center"/>
          </w:tcPr>
          <w:p w14:paraId="5AE8A323"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0.350</w:t>
            </w:r>
          </w:p>
        </w:tc>
        <w:tc>
          <w:tcPr>
            <w:tcW w:w="721" w:type="dxa"/>
            <w:tcBorders>
              <w:top w:val="dashed" w:sz="4" w:space="0" w:color="auto"/>
              <w:left w:val="nil"/>
              <w:bottom w:val="nil"/>
              <w:right w:val="nil"/>
            </w:tcBorders>
            <w:shd w:val="clear" w:color="auto" w:fill="auto"/>
            <w:vAlign w:val="center"/>
          </w:tcPr>
          <w:p w14:paraId="29C76895"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0.849</w:t>
            </w:r>
          </w:p>
        </w:tc>
      </w:tr>
      <w:tr w:rsidR="00021DD6" w:rsidRPr="00294BBF" w14:paraId="16812657" w14:textId="77777777" w:rsidTr="00E40F45">
        <w:trPr>
          <w:trHeight w:val="300"/>
        </w:trPr>
        <w:tc>
          <w:tcPr>
            <w:tcW w:w="851" w:type="dxa"/>
            <w:tcBorders>
              <w:top w:val="nil"/>
              <w:left w:val="nil"/>
              <w:bottom w:val="nil"/>
              <w:right w:val="nil"/>
            </w:tcBorders>
            <w:shd w:val="clear" w:color="auto" w:fill="auto"/>
            <w:noWrap/>
            <w:vAlign w:val="center"/>
          </w:tcPr>
          <w:p w14:paraId="49DE00D9"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SDM2</w:t>
            </w:r>
          </w:p>
        </w:tc>
        <w:tc>
          <w:tcPr>
            <w:tcW w:w="3260" w:type="dxa"/>
            <w:tcBorders>
              <w:top w:val="nil"/>
              <w:left w:val="nil"/>
              <w:bottom w:val="nil"/>
              <w:right w:val="single" w:sz="4" w:space="0" w:color="FFFFFF" w:themeColor="background1"/>
            </w:tcBorders>
            <w:shd w:val="clear" w:color="auto" w:fill="auto"/>
            <w:noWrap/>
            <w:vAlign w:val="center"/>
          </w:tcPr>
          <w:p w14:paraId="64D35D18"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GEO2  + SST</w:t>
            </w:r>
          </w:p>
        </w:tc>
        <w:tc>
          <w:tcPr>
            <w:tcW w:w="951" w:type="dxa"/>
            <w:tcBorders>
              <w:top w:val="nil"/>
              <w:left w:val="single" w:sz="4" w:space="0" w:color="FFFFFF" w:themeColor="background1"/>
              <w:bottom w:val="nil"/>
              <w:right w:val="nil"/>
            </w:tcBorders>
            <w:shd w:val="clear" w:color="auto" w:fill="auto"/>
            <w:noWrap/>
            <w:vAlign w:val="center"/>
          </w:tcPr>
          <w:p w14:paraId="1BA760E0"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0.380</w:t>
            </w:r>
          </w:p>
        </w:tc>
        <w:tc>
          <w:tcPr>
            <w:tcW w:w="663" w:type="dxa"/>
            <w:tcBorders>
              <w:top w:val="nil"/>
              <w:left w:val="nil"/>
              <w:bottom w:val="nil"/>
              <w:right w:val="nil"/>
            </w:tcBorders>
            <w:shd w:val="clear" w:color="auto" w:fill="auto"/>
            <w:noWrap/>
            <w:vAlign w:val="center"/>
          </w:tcPr>
          <w:p w14:paraId="7F3C2E37"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6213</w:t>
            </w:r>
          </w:p>
        </w:tc>
        <w:tc>
          <w:tcPr>
            <w:tcW w:w="654" w:type="dxa"/>
            <w:tcBorders>
              <w:top w:val="nil"/>
              <w:left w:val="nil"/>
              <w:bottom w:val="nil"/>
              <w:right w:val="nil"/>
            </w:tcBorders>
            <w:shd w:val="clear" w:color="auto" w:fill="auto"/>
            <w:vAlign w:val="center"/>
          </w:tcPr>
          <w:p w14:paraId="42C5E0B4"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54</w:t>
            </w:r>
          </w:p>
        </w:tc>
        <w:tc>
          <w:tcPr>
            <w:tcW w:w="721" w:type="dxa"/>
            <w:tcBorders>
              <w:top w:val="nil"/>
              <w:left w:val="nil"/>
              <w:bottom w:val="nil"/>
              <w:right w:val="nil"/>
            </w:tcBorders>
            <w:shd w:val="clear" w:color="auto" w:fill="auto"/>
            <w:noWrap/>
            <w:vAlign w:val="center"/>
          </w:tcPr>
          <w:p w14:paraId="3C4A2272"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0.344</w:t>
            </w:r>
          </w:p>
        </w:tc>
        <w:tc>
          <w:tcPr>
            <w:tcW w:w="721" w:type="dxa"/>
            <w:tcBorders>
              <w:top w:val="nil"/>
              <w:left w:val="nil"/>
              <w:bottom w:val="nil"/>
              <w:right w:val="nil"/>
            </w:tcBorders>
            <w:shd w:val="clear" w:color="auto" w:fill="auto"/>
            <w:noWrap/>
            <w:vAlign w:val="center"/>
          </w:tcPr>
          <w:p w14:paraId="03184D14"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0.362</w:t>
            </w:r>
          </w:p>
        </w:tc>
        <w:tc>
          <w:tcPr>
            <w:tcW w:w="721" w:type="dxa"/>
            <w:tcBorders>
              <w:top w:val="nil"/>
              <w:left w:val="nil"/>
              <w:bottom w:val="nil"/>
              <w:right w:val="nil"/>
            </w:tcBorders>
            <w:shd w:val="clear" w:color="auto" w:fill="auto"/>
            <w:vAlign w:val="center"/>
          </w:tcPr>
          <w:p w14:paraId="5651ADB0"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0.851</w:t>
            </w:r>
          </w:p>
        </w:tc>
      </w:tr>
      <w:tr w:rsidR="00021DD6" w:rsidRPr="00294BBF" w14:paraId="42AB7404" w14:textId="77777777" w:rsidTr="00E40F45">
        <w:trPr>
          <w:trHeight w:val="300"/>
        </w:trPr>
        <w:tc>
          <w:tcPr>
            <w:tcW w:w="851" w:type="dxa"/>
            <w:tcBorders>
              <w:top w:val="nil"/>
              <w:left w:val="nil"/>
              <w:right w:val="nil"/>
            </w:tcBorders>
            <w:shd w:val="clear" w:color="auto" w:fill="auto"/>
            <w:noWrap/>
            <w:vAlign w:val="center"/>
          </w:tcPr>
          <w:p w14:paraId="73A88336"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SDM3</w:t>
            </w:r>
          </w:p>
        </w:tc>
        <w:tc>
          <w:tcPr>
            <w:tcW w:w="3260" w:type="dxa"/>
            <w:tcBorders>
              <w:top w:val="nil"/>
              <w:left w:val="nil"/>
              <w:right w:val="single" w:sz="4" w:space="0" w:color="FFFFFF" w:themeColor="background1"/>
            </w:tcBorders>
            <w:shd w:val="clear" w:color="auto" w:fill="auto"/>
            <w:noWrap/>
            <w:vAlign w:val="center"/>
          </w:tcPr>
          <w:p w14:paraId="22BEA3E2"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GEO2 + S</w:t>
            </w:r>
            <w:r w:rsidRPr="00294BBF">
              <w:rPr>
                <w:rFonts w:ascii="Calibri" w:eastAsia="Times New Roman" w:hAnsi="Calibri" w:cs="Calibri"/>
                <w:color w:val="000000" w:themeColor="text1"/>
                <w:sz w:val="22"/>
                <w:vertAlign w:val="subscript"/>
                <w:lang w:eastAsia="en-GB" w:bidi="ar-SA"/>
              </w:rPr>
              <w:t xml:space="preserve">SPAWN   </w:t>
            </w:r>
          </w:p>
        </w:tc>
        <w:tc>
          <w:tcPr>
            <w:tcW w:w="951" w:type="dxa"/>
            <w:tcBorders>
              <w:top w:val="nil"/>
              <w:left w:val="single" w:sz="4" w:space="0" w:color="FFFFFF" w:themeColor="background1"/>
              <w:right w:val="nil"/>
            </w:tcBorders>
            <w:shd w:val="clear" w:color="auto" w:fill="auto"/>
            <w:noWrap/>
            <w:vAlign w:val="center"/>
          </w:tcPr>
          <w:p w14:paraId="06A1D2EC"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0.385</w:t>
            </w:r>
          </w:p>
        </w:tc>
        <w:tc>
          <w:tcPr>
            <w:tcW w:w="663" w:type="dxa"/>
            <w:tcBorders>
              <w:top w:val="nil"/>
              <w:left w:val="nil"/>
              <w:right w:val="nil"/>
            </w:tcBorders>
            <w:shd w:val="clear" w:color="auto" w:fill="auto"/>
            <w:noWrap/>
            <w:vAlign w:val="center"/>
          </w:tcPr>
          <w:p w14:paraId="09255598"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6160</w:t>
            </w:r>
          </w:p>
        </w:tc>
        <w:tc>
          <w:tcPr>
            <w:tcW w:w="654" w:type="dxa"/>
            <w:tcBorders>
              <w:top w:val="nil"/>
              <w:left w:val="nil"/>
              <w:right w:val="nil"/>
            </w:tcBorders>
            <w:shd w:val="clear" w:color="auto" w:fill="auto"/>
            <w:vAlign w:val="center"/>
          </w:tcPr>
          <w:p w14:paraId="785161FC"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1</w:t>
            </w:r>
          </w:p>
        </w:tc>
        <w:tc>
          <w:tcPr>
            <w:tcW w:w="721" w:type="dxa"/>
            <w:tcBorders>
              <w:top w:val="nil"/>
              <w:left w:val="nil"/>
              <w:right w:val="nil"/>
            </w:tcBorders>
            <w:shd w:val="clear" w:color="auto" w:fill="auto"/>
            <w:noWrap/>
            <w:vAlign w:val="center"/>
          </w:tcPr>
          <w:p w14:paraId="65290278"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0.356</w:t>
            </w:r>
          </w:p>
        </w:tc>
        <w:tc>
          <w:tcPr>
            <w:tcW w:w="721" w:type="dxa"/>
            <w:tcBorders>
              <w:top w:val="nil"/>
              <w:left w:val="nil"/>
              <w:right w:val="nil"/>
            </w:tcBorders>
            <w:shd w:val="clear" w:color="auto" w:fill="auto"/>
            <w:noWrap/>
            <w:vAlign w:val="center"/>
          </w:tcPr>
          <w:p w14:paraId="7150B472"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0.373</w:t>
            </w:r>
          </w:p>
        </w:tc>
        <w:tc>
          <w:tcPr>
            <w:tcW w:w="721" w:type="dxa"/>
            <w:tcBorders>
              <w:top w:val="nil"/>
              <w:left w:val="nil"/>
              <w:right w:val="nil"/>
            </w:tcBorders>
            <w:shd w:val="clear" w:color="auto" w:fill="auto"/>
            <w:vAlign w:val="center"/>
          </w:tcPr>
          <w:p w14:paraId="4027671C"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0.850</w:t>
            </w:r>
          </w:p>
        </w:tc>
      </w:tr>
      <w:tr w:rsidR="00021DD6" w:rsidRPr="00294BBF" w14:paraId="7A8A4632" w14:textId="77777777" w:rsidTr="00E40F45">
        <w:trPr>
          <w:trHeight w:val="300"/>
        </w:trPr>
        <w:tc>
          <w:tcPr>
            <w:tcW w:w="851" w:type="dxa"/>
            <w:tcBorders>
              <w:top w:val="nil"/>
              <w:left w:val="nil"/>
            </w:tcBorders>
            <w:shd w:val="clear" w:color="auto" w:fill="auto"/>
            <w:noWrap/>
            <w:vAlign w:val="center"/>
          </w:tcPr>
          <w:p w14:paraId="468E84EF"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SDM4</w:t>
            </w:r>
          </w:p>
        </w:tc>
        <w:tc>
          <w:tcPr>
            <w:tcW w:w="3260" w:type="dxa"/>
            <w:tcBorders>
              <w:top w:val="nil"/>
            </w:tcBorders>
            <w:shd w:val="clear" w:color="auto" w:fill="auto"/>
            <w:noWrap/>
            <w:vAlign w:val="center"/>
          </w:tcPr>
          <w:p w14:paraId="648EA99A"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GEO2  + T</w:t>
            </w:r>
            <w:r w:rsidRPr="00294BBF">
              <w:rPr>
                <w:rFonts w:ascii="Calibri" w:eastAsia="Times New Roman" w:hAnsi="Calibri" w:cs="Calibri"/>
                <w:color w:val="000000" w:themeColor="text1"/>
                <w:sz w:val="22"/>
                <w:vertAlign w:val="subscript"/>
                <w:lang w:eastAsia="en-GB" w:bidi="ar-SA"/>
              </w:rPr>
              <w:t>SPAWN</w:t>
            </w:r>
          </w:p>
        </w:tc>
        <w:tc>
          <w:tcPr>
            <w:tcW w:w="951" w:type="dxa"/>
            <w:tcBorders>
              <w:top w:val="nil"/>
            </w:tcBorders>
            <w:shd w:val="clear" w:color="auto" w:fill="auto"/>
            <w:noWrap/>
            <w:vAlign w:val="center"/>
          </w:tcPr>
          <w:p w14:paraId="500D5E8C"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0.376</w:t>
            </w:r>
          </w:p>
        </w:tc>
        <w:tc>
          <w:tcPr>
            <w:tcW w:w="663" w:type="dxa"/>
            <w:tcBorders>
              <w:top w:val="nil"/>
            </w:tcBorders>
            <w:shd w:val="clear" w:color="auto" w:fill="auto"/>
            <w:noWrap/>
            <w:vAlign w:val="center"/>
          </w:tcPr>
          <w:p w14:paraId="2BF10664"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6243</w:t>
            </w:r>
          </w:p>
        </w:tc>
        <w:tc>
          <w:tcPr>
            <w:tcW w:w="654" w:type="dxa"/>
            <w:tcBorders>
              <w:top w:val="nil"/>
            </w:tcBorders>
            <w:shd w:val="clear" w:color="auto" w:fill="auto"/>
            <w:vAlign w:val="center"/>
          </w:tcPr>
          <w:p w14:paraId="588EE286"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84</w:t>
            </w:r>
          </w:p>
        </w:tc>
        <w:tc>
          <w:tcPr>
            <w:tcW w:w="721" w:type="dxa"/>
            <w:tcBorders>
              <w:top w:val="nil"/>
            </w:tcBorders>
            <w:shd w:val="clear" w:color="auto" w:fill="auto"/>
            <w:noWrap/>
            <w:vAlign w:val="center"/>
          </w:tcPr>
          <w:p w14:paraId="7C95115B"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0.337</w:t>
            </w:r>
          </w:p>
        </w:tc>
        <w:tc>
          <w:tcPr>
            <w:tcW w:w="721" w:type="dxa"/>
            <w:tcBorders>
              <w:top w:val="nil"/>
            </w:tcBorders>
            <w:shd w:val="clear" w:color="auto" w:fill="auto"/>
            <w:noWrap/>
            <w:vAlign w:val="center"/>
          </w:tcPr>
          <w:p w14:paraId="7DC7D8B9"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0.355</w:t>
            </w:r>
          </w:p>
        </w:tc>
        <w:tc>
          <w:tcPr>
            <w:tcW w:w="721" w:type="dxa"/>
            <w:tcBorders>
              <w:top w:val="nil"/>
              <w:right w:val="nil"/>
            </w:tcBorders>
            <w:shd w:val="clear" w:color="auto" w:fill="auto"/>
            <w:vAlign w:val="center"/>
          </w:tcPr>
          <w:p w14:paraId="76D23D65"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0.849</w:t>
            </w:r>
          </w:p>
        </w:tc>
      </w:tr>
      <w:tr w:rsidR="00021DD6" w:rsidRPr="00294BBF" w14:paraId="145223DE" w14:textId="77777777" w:rsidTr="00E40F45">
        <w:trPr>
          <w:trHeight w:val="300"/>
        </w:trPr>
        <w:tc>
          <w:tcPr>
            <w:tcW w:w="851" w:type="dxa"/>
            <w:tcBorders>
              <w:left w:val="nil"/>
              <w:bottom w:val="nil"/>
            </w:tcBorders>
            <w:shd w:val="clear" w:color="auto" w:fill="auto"/>
            <w:noWrap/>
            <w:vAlign w:val="center"/>
          </w:tcPr>
          <w:p w14:paraId="25B3EBC5"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SDM5</w:t>
            </w:r>
          </w:p>
        </w:tc>
        <w:tc>
          <w:tcPr>
            <w:tcW w:w="3260" w:type="dxa"/>
            <w:tcBorders>
              <w:bottom w:val="nil"/>
            </w:tcBorders>
            <w:shd w:val="clear" w:color="auto" w:fill="auto"/>
            <w:noWrap/>
            <w:vAlign w:val="center"/>
          </w:tcPr>
          <w:p w14:paraId="0268A4EF"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GEO2  + SSS + SST</w:t>
            </w:r>
          </w:p>
        </w:tc>
        <w:tc>
          <w:tcPr>
            <w:tcW w:w="951" w:type="dxa"/>
            <w:tcBorders>
              <w:bottom w:val="nil"/>
            </w:tcBorders>
            <w:shd w:val="clear" w:color="auto" w:fill="auto"/>
            <w:noWrap/>
            <w:vAlign w:val="center"/>
          </w:tcPr>
          <w:p w14:paraId="038C196E"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0.382</w:t>
            </w:r>
          </w:p>
        </w:tc>
        <w:tc>
          <w:tcPr>
            <w:tcW w:w="663" w:type="dxa"/>
            <w:tcBorders>
              <w:bottom w:val="nil"/>
            </w:tcBorders>
            <w:shd w:val="clear" w:color="auto" w:fill="auto"/>
            <w:noWrap/>
            <w:vAlign w:val="center"/>
          </w:tcPr>
          <w:p w14:paraId="30B831B5"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6195</w:t>
            </w:r>
          </w:p>
        </w:tc>
        <w:tc>
          <w:tcPr>
            <w:tcW w:w="654" w:type="dxa"/>
            <w:tcBorders>
              <w:bottom w:val="nil"/>
            </w:tcBorders>
            <w:shd w:val="clear" w:color="auto" w:fill="auto"/>
            <w:vAlign w:val="center"/>
          </w:tcPr>
          <w:p w14:paraId="2557C5B1"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36</w:t>
            </w:r>
          </w:p>
        </w:tc>
        <w:tc>
          <w:tcPr>
            <w:tcW w:w="721" w:type="dxa"/>
            <w:tcBorders>
              <w:bottom w:val="nil"/>
            </w:tcBorders>
            <w:shd w:val="clear" w:color="auto" w:fill="auto"/>
            <w:noWrap/>
            <w:vAlign w:val="center"/>
          </w:tcPr>
          <w:p w14:paraId="3347DA70"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0.337</w:t>
            </w:r>
          </w:p>
        </w:tc>
        <w:tc>
          <w:tcPr>
            <w:tcW w:w="721" w:type="dxa"/>
            <w:tcBorders>
              <w:bottom w:val="nil"/>
            </w:tcBorders>
            <w:shd w:val="clear" w:color="auto" w:fill="auto"/>
            <w:noWrap/>
            <w:vAlign w:val="center"/>
          </w:tcPr>
          <w:p w14:paraId="6693CAEF"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0.356</w:t>
            </w:r>
          </w:p>
        </w:tc>
        <w:tc>
          <w:tcPr>
            <w:tcW w:w="721" w:type="dxa"/>
            <w:tcBorders>
              <w:bottom w:val="nil"/>
              <w:right w:val="nil"/>
            </w:tcBorders>
            <w:shd w:val="clear" w:color="auto" w:fill="auto"/>
            <w:vAlign w:val="center"/>
          </w:tcPr>
          <w:p w14:paraId="4EDD2145"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0.852</w:t>
            </w:r>
          </w:p>
        </w:tc>
      </w:tr>
      <w:tr w:rsidR="00021DD6" w:rsidRPr="00294BBF" w14:paraId="360C4E9F" w14:textId="77777777" w:rsidTr="00E40F45">
        <w:trPr>
          <w:trHeight w:val="300"/>
        </w:trPr>
        <w:tc>
          <w:tcPr>
            <w:tcW w:w="851" w:type="dxa"/>
            <w:tcBorders>
              <w:top w:val="nil"/>
              <w:left w:val="nil"/>
              <w:bottom w:val="nil"/>
              <w:right w:val="nil"/>
            </w:tcBorders>
            <w:shd w:val="clear" w:color="auto" w:fill="auto"/>
            <w:noWrap/>
            <w:vAlign w:val="center"/>
          </w:tcPr>
          <w:p w14:paraId="2E36C049"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SDM6</w:t>
            </w:r>
          </w:p>
        </w:tc>
        <w:tc>
          <w:tcPr>
            <w:tcW w:w="3260" w:type="dxa"/>
            <w:tcBorders>
              <w:top w:val="nil"/>
              <w:left w:val="nil"/>
              <w:bottom w:val="nil"/>
              <w:right w:val="single" w:sz="4" w:space="0" w:color="FFFFFF" w:themeColor="background1"/>
            </w:tcBorders>
            <w:shd w:val="clear" w:color="auto" w:fill="auto"/>
            <w:noWrap/>
            <w:vAlign w:val="center"/>
          </w:tcPr>
          <w:p w14:paraId="057B72AF"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GEO2  + S</w:t>
            </w:r>
            <w:r w:rsidRPr="00294BBF">
              <w:rPr>
                <w:rFonts w:ascii="Calibri" w:eastAsia="Times New Roman" w:hAnsi="Calibri" w:cs="Calibri"/>
                <w:color w:val="000000" w:themeColor="text1"/>
                <w:sz w:val="22"/>
                <w:vertAlign w:val="subscript"/>
                <w:lang w:eastAsia="en-GB" w:bidi="ar-SA"/>
              </w:rPr>
              <w:t xml:space="preserve">SPAWN </w:t>
            </w:r>
            <w:r w:rsidRPr="00294BBF">
              <w:rPr>
                <w:rFonts w:ascii="Calibri" w:eastAsia="Times New Roman" w:hAnsi="Calibri" w:cs="Calibri"/>
                <w:color w:val="000000" w:themeColor="text1"/>
                <w:sz w:val="22"/>
                <w:lang w:eastAsia="en-GB" w:bidi="ar-SA"/>
              </w:rPr>
              <w:t>+ T</w:t>
            </w:r>
            <w:r w:rsidRPr="00294BBF">
              <w:rPr>
                <w:rFonts w:ascii="Calibri" w:eastAsia="Times New Roman" w:hAnsi="Calibri" w:cs="Calibri"/>
                <w:color w:val="000000" w:themeColor="text1"/>
                <w:sz w:val="22"/>
                <w:vertAlign w:val="subscript"/>
                <w:lang w:eastAsia="en-GB" w:bidi="ar-SA"/>
              </w:rPr>
              <w:t xml:space="preserve">SPAWN </w:t>
            </w:r>
          </w:p>
        </w:tc>
        <w:tc>
          <w:tcPr>
            <w:tcW w:w="951" w:type="dxa"/>
            <w:tcBorders>
              <w:top w:val="nil"/>
              <w:left w:val="single" w:sz="4" w:space="0" w:color="FFFFFF" w:themeColor="background1"/>
              <w:bottom w:val="nil"/>
              <w:right w:val="nil"/>
            </w:tcBorders>
            <w:shd w:val="clear" w:color="auto" w:fill="auto"/>
            <w:noWrap/>
            <w:vAlign w:val="center"/>
          </w:tcPr>
          <w:p w14:paraId="6BEB65F5"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0.385</w:t>
            </w:r>
          </w:p>
        </w:tc>
        <w:tc>
          <w:tcPr>
            <w:tcW w:w="663" w:type="dxa"/>
            <w:tcBorders>
              <w:top w:val="nil"/>
              <w:left w:val="nil"/>
              <w:bottom w:val="nil"/>
              <w:right w:val="nil"/>
            </w:tcBorders>
            <w:shd w:val="clear" w:color="auto" w:fill="auto"/>
            <w:noWrap/>
            <w:vAlign w:val="center"/>
          </w:tcPr>
          <w:p w14:paraId="40B365A9"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6159</w:t>
            </w:r>
          </w:p>
        </w:tc>
        <w:tc>
          <w:tcPr>
            <w:tcW w:w="654" w:type="dxa"/>
            <w:tcBorders>
              <w:top w:val="nil"/>
              <w:left w:val="nil"/>
              <w:bottom w:val="nil"/>
              <w:right w:val="nil"/>
            </w:tcBorders>
            <w:shd w:val="clear" w:color="auto" w:fill="auto"/>
            <w:vAlign w:val="center"/>
          </w:tcPr>
          <w:p w14:paraId="3D4FCF66"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w:t>
            </w:r>
          </w:p>
        </w:tc>
        <w:tc>
          <w:tcPr>
            <w:tcW w:w="721" w:type="dxa"/>
            <w:tcBorders>
              <w:top w:val="nil"/>
              <w:left w:val="nil"/>
              <w:bottom w:val="nil"/>
              <w:right w:val="nil"/>
            </w:tcBorders>
            <w:shd w:val="clear" w:color="auto" w:fill="auto"/>
            <w:noWrap/>
            <w:vAlign w:val="center"/>
          </w:tcPr>
          <w:p w14:paraId="39D44F13"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0.351</w:t>
            </w:r>
          </w:p>
        </w:tc>
        <w:tc>
          <w:tcPr>
            <w:tcW w:w="721" w:type="dxa"/>
            <w:tcBorders>
              <w:top w:val="nil"/>
              <w:left w:val="nil"/>
              <w:bottom w:val="nil"/>
              <w:right w:val="nil"/>
            </w:tcBorders>
            <w:shd w:val="clear" w:color="auto" w:fill="auto"/>
            <w:noWrap/>
            <w:vAlign w:val="center"/>
          </w:tcPr>
          <w:p w14:paraId="20EA6FA2"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0.368</w:t>
            </w:r>
          </w:p>
        </w:tc>
        <w:tc>
          <w:tcPr>
            <w:tcW w:w="721" w:type="dxa"/>
            <w:tcBorders>
              <w:top w:val="nil"/>
              <w:left w:val="nil"/>
              <w:bottom w:val="nil"/>
              <w:right w:val="nil"/>
            </w:tcBorders>
            <w:shd w:val="clear" w:color="auto" w:fill="auto"/>
            <w:vAlign w:val="center"/>
          </w:tcPr>
          <w:p w14:paraId="5CC96A9F"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0.851</w:t>
            </w:r>
          </w:p>
        </w:tc>
      </w:tr>
      <w:tr w:rsidR="00021DD6" w:rsidRPr="00294BBF" w14:paraId="54E7AFB1" w14:textId="77777777" w:rsidTr="00E40F45">
        <w:trPr>
          <w:trHeight w:val="300"/>
        </w:trPr>
        <w:tc>
          <w:tcPr>
            <w:tcW w:w="851" w:type="dxa"/>
            <w:tcBorders>
              <w:top w:val="nil"/>
              <w:left w:val="nil"/>
              <w:right w:val="nil"/>
            </w:tcBorders>
            <w:shd w:val="clear" w:color="auto" w:fill="auto"/>
            <w:noWrap/>
            <w:vAlign w:val="center"/>
          </w:tcPr>
          <w:p w14:paraId="11310314"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SDM7</w:t>
            </w:r>
          </w:p>
        </w:tc>
        <w:tc>
          <w:tcPr>
            <w:tcW w:w="3260" w:type="dxa"/>
            <w:tcBorders>
              <w:top w:val="nil"/>
              <w:left w:val="nil"/>
              <w:right w:val="single" w:sz="4" w:space="0" w:color="FFFFFF" w:themeColor="background1"/>
            </w:tcBorders>
            <w:shd w:val="clear" w:color="auto" w:fill="auto"/>
            <w:noWrap/>
            <w:vAlign w:val="center"/>
          </w:tcPr>
          <w:p w14:paraId="204FDD86"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GEO2  + SSS x SST</w:t>
            </w:r>
          </w:p>
        </w:tc>
        <w:tc>
          <w:tcPr>
            <w:tcW w:w="951" w:type="dxa"/>
            <w:tcBorders>
              <w:top w:val="nil"/>
              <w:left w:val="single" w:sz="4" w:space="0" w:color="FFFFFF" w:themeColor="background1"/>
              <w:right w:val="nil"/>
            </w:tcBorders>
            <w:shd w:val="clear" w:color="auto" w:fill="auto"/>
            <w:noWrap/>
            <w:vAlign w:val="center"/>
          </w:tcPr>
          <w:p w14:paraId="32F22D8E"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0.385</w:t>
            </w:r>
          </w:p>
        </w:tc>
        <w:tc>
          <w:tcPr>
            <w:tcW w:w="663" w:type="dxa"/>
            <w:tcBorders>
              <w:top w:val="nil"/>
              <w:left w:val="nil"/>
              <w:right w:val="nil"/>
            </w:tcBorders>
            <w:shd w:val="clear" w:color="auto" w:fill="auto"/>
            <w:noWrap/>
            <w:vAlign w:val="center"/>
          </w:tcPr>
          <w:p w14:paraId="0FCA6C31"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6159</w:t>
            </w:r>
          </w:p>
        </w:tc>
        <w:tc>
          <w:tcPr>
            <w:tcW w:w="654" w:type="dxa"/>
            <w:tcBorders>
              <w:top w:val="nil"/>
              <w:left w:val="nil"/>
              <w:right w:val="nil"/>
            </w:tcBorders>
            <w:shd w:val="clear" w:color="auto" w:fill="auto"/>
            <w:vAlign w:val="center"/>
          </w:tcPr>
          <w:p w14:paraId="63A551D7"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w:t>
            </w:r>
          </w:p>
        </w:tc>
        <w:tc>
          <w:tcPr>
            <w:tcW w:w="721" w:type="dxa"/>
            <w:tcBorders>
              <w:top w:val="nil"/>
              <w:left w:val="nil"/>
              <w:right w:val="nil"/>
            </w:tcBorders>
            <w:shd w:val="clear" w:color="auto" w:fill="auto"/>
            <w:noWrap/>
            <w:vAlign w:val="center"/>
          </w:tcPr>
          <w:p w14:paraId="58418E3B"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0.348</w:t>
            </w:r>
          </w:p>
        </w:tc>
        <w:tc>
          <w:tcPr>
            <w:tcW w:w="721" w:type="dxa"/>
            <w:tcBorders>
              <w:top w:val="nil"/>
              <w:left w:val="nil"/>
              <w:right w:val="nil"/>
            </w:tcBorders>
            <w:shd w:val="clear" w:color="auto" w:fill="auto"/>
            <w:noWrap/>
            <w:vAlign w:val="center"/>
          </w:tcPr>
          <w:p w14:paraId="65FA4134"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0.366</w:t>
            </w:r>
          </w:p>
        </w:tc>
        <w:tc>
          <w:tcPr>
            <w:tcW w:w="721" w:type="dxa"/>
            <w:tcBorders>
              <w:top w:val="nil"/>
              <w:left w:val="nil"/>
              <w:right w:val="nil"/>
            </w:tcBorders>
            <w:shd w:val="clear" w:color="auto" w:fill="auto"/>
            <w:vAlign w:val="center"/>
          </w:tcPr>
          <w:p w14:paraId="4CA44494"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0.856</w:t>
            </w:r>
          </w:p>
        </w:tc>
      </w:tr>
      <w:tr w:rsidR="00021DD6" w:rsidRPr="00294BBF" w14:paraId="3C0DF7C5" w14:textId="77777777" w:rsidTr="00E40F45">
        <w:trPr>
          <w:trHeight w:val="300"/>
        </w:trPr>
        <w:tc>
          <w:tcPr>
            <w:tcW w:w="851" w:type="dxa"/>
            <w:tcBorders>
              <w:top w:val="nil"/>
              <w:left w:val="nil"/>
              <w:bottom w:val="single" w:sz="4" w:space="0" w:color="auto"/>
              <w:right w:val="nil"/>
            </w:tcBorders>
            <w:shd w:val="clear" w:color="auto" w:fill="auto"/>
            <w:noWrap/>
            <w:vAlign w:val="center"/>
          </w:tcPr>
          <w:p w14:paraId="574BEF8B"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SDM8</w:t>
            </w:r>
          </w:p>
        </w:tc>
        <w:tc>
          <w:tcPr>
            <w:tcW w:w="3260" w:type="dxa"/>
            <w:tcBorders>
              <w:top w:val="nil"/>
              <w:left w:val="nil"/>
              <w:bottom w:val="single" w:sz="4" w:space="0" w:color="auto"/>
              <w:right w:val="single" w:sz="4" w:space="0" w:color="FFFFFF" w:themeColor="background1"/>
            </w:tcBorders>
            <w:shd w:val="clear" w:color="auto" w:fill="auto"/>
            <w:noWrap/>
            <w:vAlign w:val="center"/>
          </w:tcPr>
          <w:p w14:paraId="173183F6"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GEO2  + S</w:t>
            </w:r>
            <w:r w:rsidRPr="00294BBF">
              <w:rPr>
                <w:rFonts w:ascii="Calibri" w:eastAsia="Times New Roman" w:hAnsi="Calibri" w:cs="Calibri"/>
                <w:color w:val="000000" w:themeColor="text1"/>
                <w:sz w:val="22"/>
                <w:vertAlign w:val="subscript"/>
                <w:lang w:eastAsia="en-GB" w:bidi="ar-SA"/>
              </w:rPr>
              <w:t xml:space="preserve">SPAWN </w:t>
            </w:r>
            <w:r w:rsidRPr="00294BBF">
              <w:rPr>
                <w:rFonts w:ascii="Calibri" w:eastAsia="Times New Roman" w:hAnsi="Calibri" w:cs="Calibri"/>
                <w:color w:val="000000" w:themeColor="text1"/>
                <w:sz w:val="22"/>
                <w:lang w:eastAsia="en-GB" w:bidi="ar-SA"/>
              </w:rPr>
              <w:t>x T</w:t>
            </w:r>
            <w:r w:rsidRPr="00294BBF">
              <w:rPr>
                <w:rFonts w:ascii="Calibri" w:eastAsia="Times New Roman" w:hAnsi="Calibri" w:cs="Calibri"/>
                <w:color w:val="000000" w:themeColor="text1"/>
                <w:sz w:val="22"/>
                <w:vertAlign w:val="subscript"/>
                <w:lang w:eastAsia="en-GB" w:bidi="ar-SA"/>
              </w:rPr>
              <w:t>SPAWN</w:t>
            </w:r>
          </w:p>
        </w:tc>
        <w:tc>
          <w:tcPr>
            <w:tcW w:w="951" w:type="dxa"/>
            <w:tcBorders>
              <w:top w:val="nil"/>
              <w:left w:val="single" w:sz="4" w:space="0" w:color="FFFFFF" w:themeColor="background1"/>
              <w:bottom w:val="single" w:sz="4" w:space="0" w:color="auto"/>
              <w:right w:val="nil"/>
            </w:tcBorders>
            <w:shd w:val="clear" w:color="auto" w:fill="auto"/>
            <w:noWrap/>
            <w:vAlign w:val="center"/>
          </w:tcPr>
          <w:p w14:paraId="61A02D63"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0.384</w:t>
            </w:r>
          </w:p>
        </w:tc>
        <w:tc>
          <w:tcPr>
            <w:tcW w:w="663" w:type="dxa"/>
            <w:tcBorders>
              <w:top w:val="nil"/>
              <w:left w:val="nil"/>
              <w:bottom w:val="single" w:sz="4" w:space="0" w:color="auto"/>
              <w:right w:val="nil"/>
            </w:tcBorders>
            <w:shd w:val="clear" w:color="auto" w:fill="auto"/>
            <w:noWrap/>
            <w:vAlign w:val="center"/>
          </w:tcPr>
          <w:p w14:paraId="58FA1192"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6167</w:t>
            </w:r>
          </w:p>
        </w:tc>
        <w:tc>
          <w:tcPr>
            <w:tcW w:w="654" w:type="dxa"/>
            <w:tcBorders>
              <w:top w:val="nil"/>
              <w:left w:val="nil"/>
              <w:bottom w:val="single" w:sz="4" w:space="0" w:color="auto"/>
              <w:right w:val="nil"/>
            </w:tcBorders>
            <w:shd w:val="clear" w:color="auto" w:fill="auto"/>
            <w:vAlign w:val="center"/>
          </w:tcPr>
          <w:p w14:paraId="0C80E961"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8</w:t>
            </w:r>
          </w:p>
        </w:tc>
        <w:tc>
          <w:tcPr>
            <w:tcW w:w="721" w:type="dxa"/>
            <w:tcBorders>
              <w:top w:val="nil"/>
              <w:left w:val="nil"/>
              <w:bottom w:val="single" w:sz="4" w:space="0" w:color="auto"/>
              <w:right w:val="nil"/>
            </w:tcBorders>
            <w:shd w:val="clear" w:color="auto" w:fill="auto"/>
            <w:noWrap/>
            <w:vAlign w:val="center"/>
          </w:tcPr>
          <w:p w14:paraId="4885F1D3"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0.343</w:t>
            </w:r>
          </w:p>
        </w:tc>
        <w:tc>
          <w:tcPr>
            <w:tcW w:w="721" w:type="dxa"/>
            <w:tcBorders>
              <w:top w:val="nil"/>
              <w:left w:val="nil"/>
              <w:bottom w:val="single" w:sz="4" w:space="0" w:color="auto"/>
              <w:right w:val="nil"/>
            </w:tcBorders>
            <w:shd w:val="clear" w:color="auto" w:fill="auto"/>
            <w:noWrap/>
            <w:vAlign w:val="center"/>
          </w:tcPr>
          <w:p w14:paraId="559AFF59"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0.361</w:t>
            </w:r>
          </w:p>
        </w:tc>
        <w:tc>
          <w:tcPr>
            <w:tcW w:w="721" w:type="dxa"/>
            <w:tcBorders>
              <w:top w:val="nil"/>
              <w:left w:val="nil"/>
              <w:bottom w:val="single" w:sz="4" w:space="0" w:color="auto"/>
              <w:right w:val="nil"/>
            </w:tcBorders>
            <w:shd w:val="clear" w:color="auto" w:fill="auto"/>
            <w:vAlign w:val="center"/>
          </w:tcPr>
          <w:p w14:paraId="3642CF0D" w14:textId="77777777" w:rsidR="00021DD6" w:rsidRPr="00294BBF" w:rsidRDefault="00021DD6" w:rsidP="00BD0D95">
            <w:pPr>
              <w:spacing w:after="0" w:line="276" w:lineRule="auto"/>
              <w:jc w:val="left"/>
              <w:rPr>
                <w:rFonts w:ascii="Calibri" w:eastAsia="Times New Roman" w:hAnsi="Calibri" w:cs="Calibri"/>
                <w:color w:val="000000" w:themeColor="text1"/>
                <w:sz w:val="22"/>
                <w:lang w:eastAsia="en-GB" w:bidi="ar-SA"/>
              </w:rPr>
            </w:pPr>
            <w:r w:rsidRPr="00294BBF">
              <w:rPr>
                <w:rFonts w:ascii="Calibri" w:eastAsia="Times New Roman" w:hAnsi="Calibri" w:cs="Calibri"/>
                <w:color w:val="000000" w:themeColor="text1"/>
                <w:sz w:val="22"/>
                <w:lang w:eastAsia="en-GB" w:bidi="ar-SA"/>
              </w:rPr>
              <w:t>0.847</w:t>
            </w:r>
          </w:p>
        </w:tc>
      </w:tr>
    </w:tbl>
    <w:p w14:paraId="5D21935D" w14:textId="77777777" w:rsidR="00021DD6" w:rsidRPr="00294BBF" w:rsidRDefault="00021DD6" w:rsidP="00BD0D95">
      <w:pPr>
        <w:spacing w:line="276" w:lineRule="auto"/>
        <w:rPr>
          <w:color w:val="000000" w:themeColor="text1"/>
          <w:lang w:eastAsia="en-GB"/>
        </w:rPr>
      </w:pPr>
    </w:p>
    <w:p w14:paraId="24091F2E" w14:textId="77777777" w:rsidR="00440D39" w:rsidRPr="00294BBF" w:rsidRDefault="00440D39" w:rsidP="00BD0D95">
      <w:pPr>
        <w:spacing w:line="276" w:lineRule="auto"/>
        <w:rPr>
          <w:rFonts w:eastAsiaTheme="minorHAnsi" w:cs="Times New Roman"/>
          <w:color w:val="000000" w:themeColor="text1"/>
          <w:szCs w:val="24"/>
          <w:lang w:eastAsia="en-US" w:bidi="ar-SA"/>
        </w:rPr>
      </w:pPr>
    </w:p>
    <w:p w14:paraId="3FAB499B" w14:textId="77777777" w:rsidR="00021DD6" w:rsidRPr="00294BBF" w:rsidRDefault="00021DD6" w:rsidP="00BD0D95">
      <w:pPr>
        <w:spacing w:line="276" w:lineRule="auto"/>
        <w:rPr>
          <w:rFonts w:eastAsiaTheme="minorHAnsi" w:cs="Times New Roman"/>
          <w:color w:val="000000" w:themeColor="text1"/>
          <w:szCs w:val="24"/>
          <w:lang w:eastAsia="en-US" w:bidi="ar-SA"/>
        </w:rPr>
      </w:pPr>
    </w:p>
    <w:p w14:paraId="59582AE1" w14:textId="77777777" w:rsidR="007E3723" w:rsidRPr="00294BBF" w:rsidRDefault="007E3723" w:rsidP="00BD0D95">
      <w:pPr>
        <w:spacing w:line="276" w:lineRule="auto"/>
        <w:rPr>
          <w:rFonts w:eastAsiaTheme="minorHAnsi" w:cs="Times New Roman"/>
          <w:color w:val="000000" w:themeColor="text1"/>
          <w:szCs w:val="24"/>
          <w:lang w:eastAsia="en-US" w:bidi="ar-SA"/>
        </w:rPr>
      </w:pPr>
    </w:p>
    <w:p w14:paraId="4322F8D5" w14:textId="77777777" w:rsidR="007E3723" w:rsidRPr="00294BBF" w:rsidRDefault="007E3723" w:rsidP="00BD0D95">
      <w:pPr>
        <w:spacing w:line="276" w:lineRule="auto"/>
        <w:rPr>
          <w:rFonts w:eastAsiaTheme="minorHAnsi" w:cs="Times New Roman"/>
          <w:color w:val="000000" w:themeColor="text1"/>
          <w:szCs w:val="24"/>
          <w:lang w:eastAsia="en-US" w:bidi="ar-SA"/>
        </w:rPr>
      </w:pPr>
    </w:p>
    <w:p w14:paraId="2022EB9B" w14:textId="77777777" w:rsidR="00021DD6" w:rsidRPr="00294BBF" w:rsidRDefault="00021DD6" w:rsidP="00BD0D95">
      <w:pPr>
        <w:spacing w:line="276" w:lineRule="auto"/>
        <w:rPr>
          <w:rFonts w:eastAsiaTheme="minorHAnsi" w:cs="Times New Roman"/>
          <w:color w:val="000000" w:themeColor="text1"/>
          <w:szCs w:val="24"/>
          <w:lang w:eastAsia="en-US" w:bidi="ar-SA"/>
        </w:rPr>
      </w:pPr>
    </w:p>
    <w:p w14:paraId="480F053A" w14:textId="75825BC7" w:rsidR="00021DD6" w:rsidRDefault="00021DD6" w:rsidP="00021DD6">
      <w:pPr>
        <w:pStyle w:val="Overskrift1"/>
        <w:rPr>
          <w:rFonts w:eastAsiaTheme="minorHAnsi"/>
          <w:color w:val="000000" w:themeColor="text1"/>
          <w:lang w:eastAsia="en-US" w:bidi="ar-SA"/>
        </w:rPr>
      </w:pPr>
      <w:r w:rsidRPr="00294BBF">
        <w:rPr>
          <w:rFonts w:eastAsiaTheme="minorHAnsi"/>
          <w:color w:val="000000" w:themeColor="text1"/>
          <w:lang w:eastAsia="en-US" w:bidi="ar-SA"/>
        </w:rPr>
        <w:t>FIGURE</w:t>
      </w:r>
      <w:r w:rsidR="00D96F43">
        <w:rPr>
          <w:rFonts w:eastAsiaTheme="minorHAnsi"/>
          <w:color w:val="000000" w:themeColor="text1"/>
          <w:lang w:eastAsia="en-US" w:bidi="ar-SA"/>
        </w:rPr>
        <w:t>S</w:t>
      </w:r>
    </w:p>
    <w:p w14:paraId="2507E4A5" w14:textId="5EE85684" w:rsidR="00D96F43" w:rsidRDefault="00D96F43" w:rsidP="00D96F43">
      <w:pPr>
        <w:rPr>
          <w:lang w:eastAsia="en-US" w:bidi="ar-SA"/>
        </w:rPr>
      </w:pPr>
    </w:p>
    <w:p w14:paraId="124BE976" w14:textId="5AC529D8" w:rsidR="00D96F43" w:rsidRPr="00D96F43" w:rsidRDefault="00D96F43" w:rsidP="00D96F43">
      <w:pPr>
        <w:rPr>
          <w:lang w:eastAsia="en-US" w:bidi="ar-SA"/>
        </w:rPr>
      </w:pPr>
      <w:r>
        <w:rPr>
          <w:noProof/>
          <w:lang w:val="da-DK" w:eastAsia="da-DK" w:bidi="ar-SA"/>
        </w:rPr>
        <w:drawing>
          <wp:inline distT="0" distB="0" distL="0" distR="0" wp14:anchorId="58E32852" wp14:editId="0829B0D5">
            <wp:extent cx="3471826" cy="3906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1826" cy="3906185"/>
                    </a:xfrm>
                    <a:prstGeom prst="rect">
                      <a:avLst/>
                    </a:prstGeom>
                  </pic:spPr>
                </pic:pic>
              </a:graphicData>
            </a:graphic>
          </wp:inline>
        </w:drawing>
      </w:r>
    </w:p>
    <w:p w14:paraId="225DE208" w14:textId="4F869998" w:rsidR="00D96F43" w:rsidRDefault="00021DD6" w:rsidP="00021DD6">
      <w:pPr>
        <w:pStyle w:val="Billedtekst"/>
        <w:spacing w:line="480" w:lineRule="auto"/>
        <w:rPr>
          <w:rFonts w:ascii="Times New Roman" w:hAnsi="Times New Roman" w:cs="Times New Roman"/>
          <w:b w:val="0"/>
          <w:color w:val="000000" w:themeColor="text1"/>
        </w:rPr>
      </w:pPr>
      <w:proofErr w:type="gramStart"/>
      <w:r w:rsidRPr="00294BBF">
        <w:rPr>
          <w:rFonts w:ascii="Times New Roman" w:hAnsi="Times New Roman" w:cs="Times New Roman"/>
          <w:color w:val="000000" w:themeColor="text1"/>
        </w:rPr>
        <w:t xml:space="preserve">Figure </w:t>
      </w:r>
      <w:r w:rsidR="00C920CB" w:rsidRPr="00294BBF">
        <w:rPr>
          <w:rFonts w:ascii="Times New Roman" w:hAnsi="Times New Roman" w:cs="Times New Roman"/>
          <w:color w:val="000000" w:themeColor="text1"/>
        </w:rPr>
        <w:t>1</w:t>
      </w:r>
      <w:r w:rsidRPr="00294BBF">
        <w:rPr>
          <w:rFonts w:ascii="Times New Roman" w:hAnsi="Times New Roman" w:cs="Times New Roman"/>
          <w:color w:val="000000" w:themeColor="text1"/>
        </w:rPr>
        <w:t>.</w:t>
      </w:r>
      <w:proofErr w:type="gramEnd"/>
      <w:r w:rsidRPr="00294BBF">
        <w:rPr>
          <w:rFonts w:ascii="Times New Roman" w:hAnsi="Times New Roman" w:cs="Times New Roman"/>
          <w:color w:val="000000" w:themeColor="text1"/>
        </w:rPr>
        <w:t xml:space="preserve"> </w:t>
      </w:r>
      <w:proofErr w:type="gramStart"/>
      <w:r w:rsidRPr="00294BBF">
        <w:rPr>
          <w:rFonts w:ascii="Times New Roman" w:hAnsi="Times New Roman" w:cs="Times New Roman"/>
          <w:b w:val="0"/>
          <w:color w:val="000000" w:themeColor="text1"/>
        </w:rPr>
        <w:t>Bathymetric relief map of the study region.</w:t>
      </w:r>
      <w:proofErr w:type="gramEnd"/>
      <w:r w:rsidRPr="00294BBF">
        <w:rPr>
          <w:rFonts w:ascii="Times New Roman" w:hAnsi="Times New Roman" w:cs="Times New Roman"/>
          <w:b w:val="0"/>
          <w:color w:val="000000" w:themeColor="text1"/>
        </w:rPr>
        <w:t xml:space="preserve"> Contour lines indicate the water depth in meters (showing the isobaths of </w:t>
      </w:r>
      <w:r w:rsidR="00C43CBE">
        <w:rPr>
          <w:rFonts w:ascii="Times New Roman" w:hAnsi="Times New Roman" w:cs="Times New Roman"/>
          <w:b w:val="0"/>
          <w:color w:val="000000" w:themeColor="text1"/>
        </w:rPr>
        <w:t xml:space="preserve">700, 2000 and </w:t>
      </w:r>
      <w:r w:rsidRPr="00294BBF">
        <w:rPr>
          <w:rFonts w:ascii="Times New Roman" w:hAnsi="Times New Roman" w:cs="Times New Roman"/>
          <w:b w:val="0"/>
          <w:color w:val="000000" w:themeColor="text1"/>
        </w:rPr>
        <w:t>3000</w:t>
      </w:r>
      <w:r w:rsidR="00C43CBE">
        <w:rPr>
          <w:rFonts w:ascii="Times New Roman" w:hAnsi="Times New Roman" w:cs="Times New Roman"/>
          <w:b w:val="0"/>
          <w:color w:val="000000" w:themeColor="text1"/>
        </w:rPr>
        <w:t xml:space="preserve"> </w:t>
      </w:r>
      <w:r w:rsidRPr="00294BBF">
        <w:rPr>
          <w:rFonts w:ascii="Times New Roman" w:hAnsi="Times New Roman" w:cs="Times New Roman"/>
          <w:b w:val="0"/>
          <w:color w:val="000000" w:themeColor="text1"/>
        </w:rPr>
        <w:t>m). Geographic features men</w:t>
      </w:r>
      <w:r w:rsidR="00F35FBA" w:rsidRPr="00294BBF">
        <w:rPr>
          <w:rFonts w:ascii="Times New Roman" w:hAnsi="Times New Roman" w:cs="Times New Roman"/>
          <w:b w:val="0"/>
          <w:color w:val="000000" w:themeColor="text1"/>
        </w:rPr>
        <w:t>tioned in the text are labelled</w:t>
      </w:r>
      <w:r w:rsidRPr="00294BBF">
        <w:rPr>
          <w:rFonts w:ascii="Times New Roman" w:hAnsi="Times New Roman" w:cs="Times New Roman"/>
          <w:b w:val="0"/>
          <w:color w:val="000000" w:themeColor="text1"/>
        </w:rPr>
        <w:t xml:space="preserve"> Rockall Plateau (RP), Rockall Trough (RT) Porcupine Bank (PB) and Porcupine </w:t>
      </w:r>
      <w:proofErr w:type="spellStart"/>
      <w:r w:rsidRPr="00294BBF">
        <w:rPr>
          <w:rFonts w:ascii="Times New Roman" w:hAnsi="Times New Roman" w:cs="Times New Roman"/>
          <w:b w:val="0"/>
          <w:color w:val="000000" w:themeColor="text1"/>
        </w:rPr>
        <w:t>Seabight</w:t>
      </w:r>
      <w:proofErr w:type="spellEnd"/>
      <w:r w:rsidRPr="00294BBF">
        <w:rPr>
          <w:rFonts w:ascii="Times New Roman" w:hAnsi="Times New Roman" w:cs="Times New Roman"/>
          <w:b w:val="0"/>
          <w:color w:val="000000" w:themeColor="text1"/>
        </w:rPr>
        <w:t xml:space="preserve"> (PS).</w:t>
      </w:r>
    </w:p>
    <w:p w14:paraId="79BF463D" w14:textId="77777777" w:rsidR="00D96F43" w:rsidRDefault="00D96F43">
      <w:pPr>
        <w:spacing w:after="200" w:line="276" w:lineRule="auto"/>
        <w:jc w:val="left"/>
        <w:rPr>
          <w:rFonts w:cs="Times New Roman"/>
          <w:bCs/>
          <w:color w:val="000000" w:themeColor="text1"/>
          <w:szCs w:val="18"/>
        </w:rPr>
      </w:pPr>
      <w:r>
        <w:rPr>
          <w:rFonts w:cs="Times New Roman"/>
          <w:b/>
          <w:color w:val="000000" w:themeColor="text1"/>
        </w:rPr>
        <w:br w:type="page"/>
      </w:r>
    </w:p>
    <w:p w14:paraId="6FC40F29" w14:textId="10B5C2A6" w:rsidR="00021DD6" w:rsidRPr="00294BBF" w:rsidRDefault="00D96F43" w:rsidP="00021DD6">
      <w:pPr>
        <w:pStyle w:val="Billedtekst"/>
        <w:spacing w:line="480" w:lineRule="auto"/>
        <w:rPr>
          <w:rFonts w:ascii="Times New Roman" w:hAnsi="Times New Roman" w:cs="Times New Roman"/>
          <w:b w:val="0"/>
          <w:color w:val="000000" w:themeColor="text1"/>
        </w:rPr>
      </w:pPr>
      <w:r>
        <w:rPr>
          <w:rFonts w:ascii="Times New Roman" w:hAnsi="Times New Roman" w:cs="Times New Roman"/>
          <w:b w:val="0"/>
          <w:noProof/>
          <w:color w:val="000000" w:themeColor="text1"/>
          <w:lang w:val="da-DK" w:eastAsia="da-DK" w:bidi="ar-SA"/>
        </w:rPr>
        <w:lastRenderedPageBreak/>
        <w:drawing>
          <wp:inline distT="0" distB="0" distL="0" distR="0" wp14:anchorId="27F91965" wp14:editId="6BDB4FEF">
            <wp:extent cx="2662738" cy="5219406"/>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2738" cy="5219406"/>
                    </a:xfrm>
                    <a:prstGeom prst="rect">
                      <a:avLst/>
                    </a:prstGeom>
                  </pic:spPr>
                </pic:pic>
              </a:graphicData>
            </a:graphic>
          </wp:inline>
        </w:drawing>
      </w:r>
    </w:p>
    <w:p w14:paraId="06B50BC6" w14:textId="28D4C3EC" w:rsidR="00D96F43" w:rsidRDefault="00021DD6" w:rsidP="00021DD6">
      <w:pPr>
        <w:pStyle w:val="Billedtekst"/>
        <w:spacing w:line="480" w:lineRule="auto"/>
        <w:rPr>
          <w:rFonts w:ascii="Times New Roman" w:hAnsi="Times New Roman" w:cs="Times New Roman"/>
          <w:b w:val="0"/>
          <w:color w:val="000000" w:themeColor="text1"/>
        </w:rPr>
      </w:pPr>
      <w:proofErr w:type="gramStart"/>
      <w:r w:rsidRPr="00294BBF">
        <w:rPr>
          <w:rFonts w:ascii="Times New Roman" w:hAnsi="Times New Roman" w:cs="Times New Roman"/>
          <w:color w:val="000000" w:themeColor="text1"/>
        </w:rPr>
        <w:t xml:space="preserve">Figure </w:t>
      </w:r>
      <w:r w:rsidR="00C920CB" w:rsidRPr="00294BBF">
        <w:rPr>
          <w:rFonts w:ascii="Times New Roman" w:hAnsi="Times New Roman" w:cs="Times New Roman"/>
          <w:color w:val="000000" w:themeColor="text1"/>
        </w:rPr>
        <w:t>2</w:t>
      </w:r>
      <w:r w:rsidRPr="00294BBF">
        <w:rPr>
          <w:rFonts w:ascii="Times New Roman" w:hAnsi="Times New Roman" w:cs="Times New Roman"/>
          <w:color w:val="000000" w:themeColor="text1"/>
        </w:rPr>
        <w:t>.</w:t>
      </w:r>
      <w:proofErr w:type="gramEnd"/>
      <w:r w:rsidRPr="00294BBF">
        <w:rPr>
          <w:rFonts w:ascii="Times New Roman" w:hAnsi="Times New Roman" w:cs="Times New Roman"/>
          <w:color w:val="000000" w:themeColor="text1"/>
        </w:rPr>
        <w:t xml:space="preserve"> </w:t>
      </w:r>
      <w:r w:rsidRPr="00294BBF">
        <w:rPr>
          <w:rFonts w:ascii="Times New Roman" w:hAnsi="Times New Roman" w:cs="Times New Roman"/>
          <w:b w:val="0"/>
          <w:color w:val="000000" w:themeColor="text1"/>
        </w:rPr>
        <w:t xml:space="preserve">a) Spatial distribution of CPR samples from 1951 to 2005. Grey points indicate CPR sampling stations where blue whiting larvae were absent. Red points indicate CPR sampling stations where blue whiting larvae were present. The red polygon delineates the study region used in further model-based analysis. The black lines indicate the 700 m </w:t>
      </w:r>
      <w:proofErr w:type="spellStart"/>
      <w:r w:rsidRPr="00294BBF">
        <w:rPr>
          <w:rFonts w:ascii="Times New Roman" w:hAnsi="Times New Roman" w:cs="Times New Roman"/>
          <w:b w:val="0"/>
          <w:color w:val="000000" w:themeColor="text1"/>
        </w:rPr>
        <w:t>isobath</w:t>
      </w:r>
      <w:proofErr w:type="spellEnd"/>
      <w:r w:rsidRPr="00294BBF">
        <w:rPr>
          <w:rFonts w:ascii="Times New Roman" w:hAnsi="Times New Roman" w:cs="Times New Roman"/>
          <w:b w:val="0"/>
          <w:color w:val="000000" w:themeColor="text1"/>
        </w:rPr>
        <w:t>. b) Temporal distributi</w:t>
      </w:r>
      <w:r w:rsidR="00564924" w:rsidRPr="00294BBF">
        <w:rPr>
          <w:rFonts w:ascii="Times New Roman" w:hAnsi="Times New Roman" w:cs="Times New Roman"/>
          <w:b w:val="0"/>
          <w:color w:val="000000" w:themeColor="text1"/>
        </w:rPr>
        <w:t>on of larval-presences</w:t>
      </w:r>
      <w:r w:rsidR="00351856" w:rsidRPr="00294BBF">
        <w:rPr>
          <w:rFonts w:ascii="Times New Roman" w:hAnsi="Times New Roman" w:cs="Times New Roman"/>
          <w:b w:val="0"/>
          <w:color w:val="000000" w:themeColor="text1"/>
        </w:rPr>
        <w:t xml:space="preserve"> (counts)</w:t>
      </w:r>
      <w:r w:rsidR="00564924" w:rsidRPr="00294BBF">
        <w:rPr>
          <w:rFonts w:ascii="Times New Roman" w:hAnsi="Times New Roman" w:cs="Times New Roman"/>
          <w:b w:val="0"/>
          <w:color w:val="000000" w:themeColor="text1"/>
        </w:rPr>
        <w:t xml:space="preserve"> within</w:t>
      </w:r>
      <w:r w:rsidRPr="00294BBF">
        <w:rPr>
          <w:rFonts w:ascii="Times New Roman" w:hAnsi="Times New Roman" w:cs="Times New Roman"/>
          <w:b w:val="0"/>
          <w:color w:val="000000" w:themeColor="text1"/>
        </w:rPr>
        <w:t xml:space="preserve"> the study region shown in </w:t>
      </w:r>
      <w:r w:rsidR="00D74BDF">
        <w:rPr>
          <w:rFonts w:ascii="Times New Roman" w:hAnsi="Times New Roman" w:cs="Times New Roman"/>
          <w:b w:val="0"/>
          <w:color w:val="000000" w:themeColor="text1"/>
        </w:rPr>
        <w:t>panel</w:t>
      </w:r>
      <w:r w:rsidR="0036245F">
        <w:rPr>
          <w:rFonts w:ascii="Times New Roman" w:hAnsi="Times New Roman" w:cs="Times New Roman"/>
          <w:b w:val="0"/>
          <w:color w:val="000000" w:themeColor="text1"/>
        </w:rPr>
        <w:t xml:space="preserve"> </w:t>
      </w:r>
      <w:r w:rsidRPr="00294BBF">
        <w:rPr>
          <w:rFonts w:ascii="Times New Roman" w:hAnsi="Times New Roman" w:cs="Times New Roman"/>
          <w:b w:val="0"/>
          <w:color w:val="000000" w:themeColor="text1"/>
        </w:rPr>
        <w:t>a), as a function of day in the year from February (F) to June (J). Each bar corresponds to a day.</w:t>
      </w:r>
    </w:p>
    <w:p w14:paraId="056D0643" w14:textId="77777777" w:rsidR="00D96F43" w:rsidRDefault="00D96F43">
      <w:pPr>
        <w:spacing w:after="200" w:line="276" w:lineRule="auto"/>
        <w:jc w:val="left"/>
        <w:rPr>
          <w:rFonts w:cs="Times New Roman"/>
          <w:bCs/>
          <w:color w:val="000000" w:themeColor="text1"/>
          <w:szCs w:val="18"/>
        </w:rPr>
      </w:pPr>
      <w:r>
        <w:rPr>
          <w:rFonts w:cs="Times New Roman"/>
          <w:b/>
          <w:color w:val="000000" w:themeColor="text1"/>
        </w:rPr>
        <w:br w:type="page"/>
      </w:r>
    </w:p>
    <w:p w14:paraId="0A88453C" w14:textId="7D3D04A0" w:rsidR="00021DD6" w:rsidRPr="00294BBF" w:rsidRDefault="00D96F43" w:rsidP="00021DD6">
      <w:pPr>
        <w:pStyle w:val="Billedtekst"/>
        <w:spacing w:line="480" w:lineRule="auto"/>
        <w:rPr>
          <w:rFonts w:ascii="Times New Roman" w:eastAsiaTheme="minorHAnsi" w:hAnsi="Times New Roman" w:cs="Times New Roman"/>
          <w:noProof/>
          <w:color w:val="000000" w:themeColor="text1"/>
          <w:sz w:val="32"/>
        </w:rPr>
      </w:pPr>
      <w:r>
        <w:rPr>
          <w:rFonts w:ascii="Times New Roman" w:eastAsiaTheme="minorHAnsi" w:hAnsi="Times New Roman" w:cs="Times New Roman"/>
          <w:noProof/>
          <w:color w:val="000000" w:themeColor="text1"/>
          <w:sz w:val="32"/>
          <w:lang w:val="da-DK" w:eastAsia="da-DK" w:bidi="ar-SA"/>
        </w:rPr>
        <w:lastRenderedPageBreak/>
        <w:drawing>
          <wp:inline distT="0" distB="0" distL="0" distR="0" wp14:anchorId="28E76364" wp14:editId="5CE0AF87">
            <wp:extent cx="3095244" cy="4678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5244" cy="4678680"/>
                    </a:xfrm>
                    <a:prstGeom prst="rect">
                      <a:avLst/>
                    </a:prstGeom>
                  </pic:spPr>
                </pic:pic>
              </a:graphicData>
            </a:graphic>
          </wp:inline>
        </w:drawing>
      </w:r>
    </w:p>
    <w:p w14:paraId="6A916D9D" w14:textId="08606E78" w:rsidR="00D96F43" w:rsidRDefault="00021DD6" w:rsidP="00021DD6">
      <w:pPr>
        <w:pStyle w:val="Billedtekst"/>
        <w:tabs>
          <w:tab w:val="left" w:pos="1560"/>
        </w:tabs>
        <w:spacing w:line="480" w:lineRule="auto"/>
        <w:rPr>
          <w:rFonts w:ascii="Times New Roman" w:hAnsi="Times New Roman" w:cs="Times New Roman"/>
          <w:b w:val="0"/>
          <w:color w:val="000000" w:themeColor="text1"/>
          <w:szCs w:val="24"/>
        </w:rPr>
      </w:pPr>
      <w:proofErr w:type="gramStart"/>
      <w:r w:rsidRPr="00294BBF">
        <w:rPr>
          <w:rFonts w:ascii="Times New Roman" w:hAnsi="Times New Roman" w:cs="Times New Roman"/>
          <w:color w:val="000000" w:themeColor="text1"/>
        </w:rPr>
        <w:t>Figure</w:t>
      </w:r>
      <w:r w:rsidR="00C920CB" w:rsidRPr="00294BBF">
        <w:rPr>
          <w:rFonts w:ascii="Times New Roman" w:hAnsi="Times New Roman" w:cs="Times New Roman"/>
          <w:color w:val="000000" w:themeColor="text1"/>
        </w:rPr>
        <w:t xml:space="preserve"> 3</w:t>
      </w:r>
      <w:r w:rsidRPr="00294BBF">
        <w:rPr>
          <w:rFonts w:ascii="Times New Roman" w:hAnsi="Times New Roman" w:cs="Times New Roman"/>
          <w:color w:val="000000" w:themeColor="text1"/>
        </w:rPr>
        <w:t>.</w:t>
      </w:r>
      <w:proofErr w:type="gramEnd"/>
      <w:r w:rsidRPr="00294BBF">
        <w:rPr>
          <w:rFonts w:ascii="Times New Roman" w:hAnsi="Times New Roman" w:cs="Times New Roman"/>
          <w:color w:val="000000" w:themeColor="text1"/>
        </w:rPr>
        <w:t xml:space="preserve"> </w:t>
      </w:r>
      <w:r w:rsidRPr="00294BBF">
        <w:rPr>
          <w:rFonts w:ascii="Times New Roman" w:hAnsi="Times New Roman" w:cs="Times New Roman"/>
          <w:b w:val="0"/>
          <w:color w:val="000000" w:themeColor="text1"/>
        </w:rPr>
        <w:t>Mean spring (March - May) temperature a) and salinity b) averaged over blue whiting’s spawning depth (250 to 600 m)</w:t>
      </w:r>
      <w:r w:rsidR="00B2214D" w:rsidRPr="00294BBF">
        <w:rPr>
          <w:rFonts w:ascii="Times New Roman" w:hAnsi="Times New Roman" w:cs="Times New Roman"/>
          <w:b w:val="0"/>
          <w:color w:val="000000" w:themeColor="text1"/>
        </w:rPr>
        <w:t xml:space="preserve"> </w:t>
      </w:r>
      <w:r w:rsidR="0072191D" w:rsidRPr="00294BBF">
        <w:rPr>
          <w:rFonts w:ascii="Times New Roman" w:hAnsi="Times New Roman" w:cs="Times New Roman"/>
          <w:b w:val="0"/>
          <w:color w:val="000000" w:themeColor="text1"/>
        </w:rPr>
        <w:t>within the study region (</w:t>
      </w:r>
      <w:r w:rsidR="005B13CA">
        <w:rPr>
          <w:rFonts w:ascii="Times New Roman" w:hAnsi="Times New Roman" w:cs="Times New Roman"/>
          <w:b w:val="0"/>
          <w:color w:val="000000" w:themeColor="text1"/>
        </w:rPr>
        <w:t xml:space="preserve">red box in </w:t>
      </w:r>
      <w:r w:rsidR="0072191D" w:rsidRPr="00294BBF">
        <w:rPr>
          <w:rFonts w:ascii="Times New Roman" w:hAnsi="Times New Roman" w:cs="Times New Roman"/>
          <w:b w:val="0"/>
          <w:color w:val="000000" w:themeColor="text1"/>
        </w:rPr>
        <w:t xml:space="preserve">Fig. 2a). Dashed horizontal </w:t>
      </w:r>
      <w:r w:rsidRPr="00294BBF">
        <w:rPr>
          <w:rFonts w:ascii="Times New Roman" w:hAnsi="Times New Roman" w:cs="Times New Roman"/>
          <w:b w:val="0"/>
          <w:color w:val="000000" w:themeColor="text1"/>
          <w:szCs w:val="22"/>
        </w:rPr>
        <w:t>lines indicate the</w:t>
      </w:r>
      <w:r w:rsidRPr="00294BBF">
        <w:rPr>
          <w:rFonts w:ascii="Times New Roman" w:hAnsi="Times New Roman" w:cs="Times New Roman"/>
          <w:b w:val="0"/>
          <w:color w:val="000000" w:themeColor="text1"/>
        </w:rPr>
        <w:t xml:space="preserve"> </w:t>
      </w:r>
      <w:r w:rsidRPr="00294BBF">
        <w:rPr>
          <w:rFonts w:ascii="Times New Roman" w:hAnsi="Times New Roman" w:cs="Times New Roman"/>
          <w:b w:val="0"/>
          <w:color w:val="000000" w:themeColor="text1"/>
          <w:szCs w:val="22"/>
        </w:rPr>
        <w:t>median</w:t>
      </w:r>
      <w:r w:rsidRPr="00294BBF">
        <w:rPr>
          <w:rFonts w:ascii="Times New Roman" w:hAnsi="Times New Roman" w:cs="Times New Roman"/>
          <w:b w:val="0"/>
          <w:color w:val="000000" w:themeColor="text1"/>
        </w:rPr>
        <w:t xml:space="preserve"> spring</w:t>
      </w:r>
      <w:r w:rsidRPr="00294BBF">
        <w:rPr>
          <w:rFonts w:ascii="Times New Roman" w:hAnsi="Times New Roman" w:cs="Times New Roman"/>
          <w:b w:val="0"/>
          <w:color w:val="000000" w:themeColor="text1"/>
          <w:szCs w:val="22"/>
        </w:rPr>
        <w:t xml:space="preserve"> </w:t>
      </w:r>
      <w:r w:rsidRPr="00294BBF">
        <w:rPr>
          <w:rFonts w:ascii="Times New Roman" w:hAnsi="Times New Roman" w:cs="Times New Roman"/>
          <w:b w:val="0"/>
          <w:color w:val="000000" w:themeColor="text1"/>
          <w:szCs w:val="24"/>
        </w:rPr>
        <w:t>temperature and salinity within the study region from 1951 to 2016 (</w:t>
      </w:r>
      <m:oMath>
        <m:acc>
          <m:accPr>
            <m:chr m:val="̅"/>
            <m:ctrlPr>
              <w:rPr>
                <w:rFonts w:ascii="Cambria Math" w:hAnsi="Cambria Math" w:cs="Times New Roman"/>
                <w:b w:val="0"/>
                <w:i/>
                <w:color w:val="000000" w:themeColor="text1"/>
                <w:szCs w:val="24"/>
              </w:rPr>
            </m:ctrlPr>
          </m:accPr>
          <m:e>
            <m:r>
              <m:rPr>
                <m:sty m:val="bi"/>
              </m:rPr>
              <w:rPr>
                <w:rFonts w:ascii="Cambria Math" w:hAnsi="Cambria Math" w:cs="Times New Roman"/>
                <w:color w:val="000000" w:themeColor="text1"/>
                <w:szCs w:val="24"/>
              </w:rPr>
              <m:t>T</m:t>
            </m:r>
          </m:e>
        </m:acc>
      </m:oMath>
      <w:r w:rsidRPr="00294BBF">
        <w:rPr>
          <w:rFonts w:ascii="Times New Roman" w:hAnsi="Times New Roman" w:cs="Times New Roman"/>
          <w:b w:val="0"/>
          <w:color w:val="000000" w:themeColor="text1"/>
          <w:szCs w:val="24"/>
        </w:rPr>
        <w:t xml:space="preserve">= 9.74 </w:t>
      </w:r>
      <w:r w:rsidRPr="00294BBF">
        <w:rPr>
          <w:rFonts w:ascii="Times New Roman" w:hAnsi="Times New Roman" w:cs="Times New Roman"/>
          <w:b w:val="0"/>
          <w:bCs w:val="0"/>
          <w:color w:val="000000" w:themeColor="text1"/>
          <w:szCs w:val="24"/>
        </w:rPr>
        <w:t>°C</w:t>
      </w:r>
      <w:r w:rsidRPr="00294BBF">
        <w:rPr>
          <w:rFonts w:ascii="Times New Roman" w:hAnsi="Times New Roman" w:cs="Times New Roman"/>
          <w:b w:val="0"/>
          <w:color w:val="000000" w:themeColor="text1"/>
          <w:szCs w:val="24"/>
        </w:rPr>
        <w:t>,</w:t>
      </w:r>
      <m:oMath>
        <m:r>
          <m:rPr>
            <m:sty m:val="bi"/>
          </m:rPr>
          <w:rPr>
            <w:rFonts w:ascii="Cambria Math" w:hAnsi="Cambria Math" w:cs="Times New Roman"/>
            <w:color w:val="000000" w:themeColor="text1"/>
            <w:szCs w:val="24"/>
          </w:rPr>
          <m:t xml:space="preserve"> </m:t>
        </m:r>
        <m:acc>
          <m:accPr>
            <m:chr m:val="̅"/>
            <m:ctrlPr>
              <w:rPr>
                <w:rFonts w:ascii="Cambria Math" w:hAnsi="Cambria Math" w:cs="Times New Roman"/>
                <w:b w:val="0"/>
                <w:i/>
                <w:color w:val="000000" w:themeColor="text1"/>
                <w:szCs w:val="24"/>
              </w:rPr>
            </m:ctrlPr>
          </m:accPr>
          <m:e>
            <m:r>
              <m:rPr>
                <m:sty m:val="bi"/>
              </m:rPr>
              <w:rPr>
                <w:rFonts w:ascii="Cambria Math" w:hAnsi="Cambria Math" w:cs="Times New Roman"/>
                <w:color w:val="000000" w:themeColor="text1"/>
                <w:szCs w:val="24"/>
              </w:rPr>
              <m:t>S</m:t>
            </m:r>
          </m:e>
        </m:acc>
      </m:oMath>
      <w:r w:rsidRPr="00294BBF">
        <w:rPr>
          <w:rFonts w:ascii="Times New Roman" w:hAnsi="Times New Roman" w:cs="Times New Roman"/>
          <w:b w:val="0"/>
          <w:color w:val="000000" w:themeColor="text1"/>
          <w:szCs w:val="24"/>
        </w:rPr>
        <w:t xml:space="preserve"> = 35.39) and dotted lines the 33</w:t>
      </w:r>
      <w:proofErr w:type="spellStart"/>
      <w:r w:rsidRPr="00294BBF">
        <w:rPr>
          <w:rFonts w:ascii="Times New Roman" w:hAnsi="Times New Roman" w:cs="Times New Roman"/>
          <w:b w:val="0"/>
          <w:color w:val="000000" w:themeColor="text1"/>
          <w:szCs w:val="24"/>
          <w:vertAlign w:val="superscript"/>
        </w:rPr>
        <w:t>rd</w:t>
      </w:r>
      <w:proofErr w:type="spellEnd"/>
      <w:r w:rsidR="00F83ABE" w:rsidRPr="00294BBF">
        <w:rPr>
          <w:rFonts w:ascii="Times New Roman" w:hAnsi="Times New Roman" w:cs="Times New Roman"/>
          <w:b w:val="0"/>
          <w:color w:val="000000" w:themeColor="text1"/>
          <w:szCs w:val="24"/>
        </w:rPr>
        <w:t xml:space="preserve"> and 67</w:t>
      </w:r>
      <w:r w:rsidRPr="00294BBF">
        <w:rPr>
          <w:rFonts w:ascii="Times New Roman" w:hAnsi="Times New Roman" w:cs="Times New Roman"/>
          <w:b w:val="0"/>
          <w:color w:val="000000" w:themeColor="text1"/>
          <w:szCs w:val="24"/>
          <w:vertAlign w:val="superscript"/>
        </w:rPr>
        <w:t>th</w:t>
      </w:r>
      <w:r w:rsidRPr="00294BBF">
        <w:rPr>
          <w:rFonts w:ascii="Times New Roman" w:hAnsi="Times New Roman" w:cs="Times New Roman"/>
          <w:b w:val="0"/>
          <w:color w:val="000000" w:themeColor="text1"/>
          <w:szCs w:val="24"/>
        </w:rPr>
        <w:t xml:space="preserve"> percentile</w:t>
      </w:r>
      <w:r w:rsidR="00A309CB">
        <w:rPr>
          <w:rFonts w:ascii="Times New Roman" w:hAnsi="Times New Roman" w:cs="Times New Roman"/>
          <w:b w:val="0"/>
          <w:color w:val="000000" w:themeColor="text1"/>
          <w:szCs w:val="24"/>
        </w:rPr>
        <w:t>s</w:t>
      </w:r>
      <w:r w:rsidRPr="00294BBF">
        <w:rPr>
          <w:rFonts w:ascii="Times New Roman" w:hAnsi="Times New Roman" w:cs="Times New Roman"/>
          <w:b w:val="0"/>
          <w:color w:val="000000" w:themeColor="text1"/>
          <w:szCs w:val="24"/>
        </w:rPr>
        <w:t xml:space="preserve">. </w:t>
      </w:r>
      <w:r w:rsidR="002E1009">
        <w:rPr>
          <w:rFonts w:ascii="Times New Roman" w:hAnsi="Times New Roman" w:cs="Times New Roman"/>
          <w:b w:val="0"/>
          <w:color w:val="000000" w:themeColor="text1"/>
          <w:szCs w:val="24"/>
        </w:rPr>
        <w:t>Red</w:t>
      </w:r>
      <w:r w:rsidR="002E1009" w:rsidRPr="00294BBF">
        <w:rPr>
          <w:rFonts w:ascii="Times New Roman" w:hAnsi="Times New Roman" w:cs="Times New Roman"/>
          <w:b w:val="0"/>
          <w:color w:val="000000" w:themeColor="text1"/>
          <w:szCs w:val="24"/>
        </w:rPr>
        <w:t xml:space="preserve"> </w:t>
      </w:r>
      <w:r w:rsidRPr="00294BBF">
        <w:rPr>
          <w:rFonts w:ascii="Times New Roman" w:hAnsi="Times New Roman" w:cs="Times New Roman"/>
          <w:b w:val="0"/>
          <w:color w:val="000000" w:themeColor="text1"/>
          <w:szCs w:val="24"/>
        </w:rPr>
        <w:t xml:space="preserve">colour indicates warmer/more saline conditions (T </w:t>
      </w:r>
      <w:r w:rsidRPr="00294BBF">
        <w:rPr>
          <w:rFonts w:ascii="Times New Roman" w:hAnsi="Times New Roman" w:cs="Times New Roman"/>
          <w:b w:val="0"/>
          <w:i/>
          <w:color w:val="000000" w:themeColor="text1"/>
          <w:szCs w:val="24"/>
        </w:rPr>
        <w:t>&gt;</w:t>
      </w:r>
      <m:oMath>
        <m:acc>
          <m:accPr>
            <m:chr m:val="̅"/>
            <m:ctrlPr>
              <w:rPr>
                <w:rFonts w:ascii="Cambria Math" w:hAnsi="Cambria Math" w:cs="Times New Roman"/>
                <w:b w:val="0"/>
                <w:i/>
                <w:color w:val="000000" w:themeColor="text1"/>
                <w:szCs w:val="24"/>
              </w:rPr>
            </m:ctrlPr>
          </m:accPr>
          <m:e>
            <m:r>
              <m:rPr>
                <m:sty m:val="bi"/>
              </m:rPr>
              <w:rPr>
                <w:rFonts w:ascii="Cambria Math" w:hAnsi="Cambria Math" w:cs="Times New Roman"/>
                <w:color w:val="000000" w:themeColor="text1"/>
                <w:szCs w:val="24"/>
              </w:rPr>
              <m:t xml:space="preserve"> T</m:t>
            </m:r>
          </m:e>
        </m:acc>
      </m:oMath>
      <w:r w:rsidRPr="00294BBF">
        <w:rPr>
          <w:rFonts w:ascii="Times New Roman" w:hAnsi="Times New Roman" w:cs="Times New Roman"/>
          <w:b w:val="0"/>
          <w:color w:val="000000" w:themeColor="text1"/>
          <w:szCs w:val="24"/>
        </w:rPr>
        <w:t>, S &gt;</w:t>
      </w:r>
      <m:oMath>
        <m:acc>
          <m:accPr>
            <m:chr m:val="̅"/>
            <m:ctrlPr>
              <w:rPr>
                <w:rFonts w:ascii="Cambria Math" w:hAnsi="Cambria Math" w:cs="Times New Roman"/>
                <w:b w:val="0"/>
                <w:i/>
                <w:color w:val="000000" w:themeColor="text1"/>
                <w:szCs w:val="24"/>
              </w:rPr>
            </m:ctrlPr>
          </m:accPr>
          <m:e>
            <m:r>
              <m:rPr>
                <m:sty m:val="bi"/>
              </m:rPr>
              <w:rPr>
                <w:rFonts w:ascii="Cambria Math" w:hAnsi="Cambria Math" w:cs="Times New Roman"/>
                <w:color w:val="000000" w:themeColor="text1"/>
                <w:szCs w:val="24"/>
              </w:rPr>
              <m:t xml:space="preserve"> S</m:t>
            </m:r>
          </m:e>
        </m:acc>
      </m:oMath>
      <w:r w:rsidRPr="00294BBF">
        <w:rPr>
          <w:rFonts w:ascii="Times New Roman" w:hAnsi="Times New Roman" w:cs="Times New Roman"/>
          <w:b w:val="0"/>
          <w:color w:val="000000" w:themeColor="text1"/>
          <w:szCs w:val="24"/>
        </w:rPr>
        <w:t xml:space="preserve"> ) and blue colder/fresher conditions (T &lt;</w:t>
      </w:r>
      <m:oMath>
        <m:acc>
          <m:accPr>
            <m:chr m:val="̅"/>
            <m:ctrlPr>
              <w:rPr>
                <w:rFonts w:ascii="Cambria Math" w:hAnsi="Cambria Math" w:cs="Times New Roman"/>
                <w:b w:val="0"/>
                <w:i/>
                <w:color w:val="000000" w:themeColor="text1"/>
                <w:szCs w:val="24"/>
              </w:rPr>
            </m:ctrlPr>
          </m:accPr>
          <m:e>
            <m:r>
              <m:rPr>
                <m:sty m:val="bi"/>
              </m:rPr>
              <w:rPr>
                <w:rFonts w:ascii="Cambria Math" w:hAnsi="Cambria Math" w:cs="Times New Roman"/>
                <w:color w:val="000000" w:themeColor="text1"/>
                <w:szCs w:val="24"/>
              </w:rPr>
              <m:t xml:space="preserve"> T</m:t>
            </m:r>
          </m:e>
        </m:acc>
      </m:oMath>
      <w:r w:rsidRPr="00294BBF">
        <w:rPr>
          <w:rFonts w:ascii="Times New Roman" w:hAnsi="Times New Roman" w:cs="Times New Roman"/>
          <w:b w:val="0"/>
          <w:color w:val="000000" w:themeColor="text1"/>
          <w:szCs w:val="24"/>
        </w:rPr>
        <w:t xml:space="preserve"> , S &lt;</w:t>
      </w:r>
      <m:oMath>
        <m:acc>
          <m:accPr>
            <m:chr m:val="̅"/>
            <m:ctrlPr>
              <w:rPr>
                <w:rFonts w:ascii="Cambria Math" w:hAnsi="Cambria Math" w:cs="Times New Roman"/>
                <w:b w:val="0"/>
                <w:i/>
                <w:color w:val="000000" w:themeColor="text1"/>
                <w:szCs w:val="24"/>
              </w:rPr>
            </m:ctrlPr>
          </m:accPr>
          <m:e>
            <m:r>
              <m:rPr>
                <m:sty m:val="bi"/>
              </m:rPr>
              <w:rPr>
                <w:rFonts w:ascii="Cambria Math" w:hAnsi="Cambria Math" w:cs="Times New Roman"/>
                <w:color w:val="000000" w:themeColor="text1"/>
                <w:szCs w:val="24"/>
              </w:rPr>
              <m:t xml:space="preserve"> S</m:t>
            </m:r>
          </m:e>
        </m:acc>
      </m:oMath>
      <w:r w:rsidRPr="00294BBF">
        <w:rPr>
          <w:rFonts w:ascii="Times New Roman" w:hAnsi="Times New Roman" w:cs="Times New Roman"/>
          <w:b w:val="0"/>
          <w:color w:val="000000" w:themeColor="text1"/>
          <w:szCs w:val="24"/>
        </w:rPr>
        <w:t xml:space="preserve"> ). Horizontal bars indicate years defined by one of the two regimes: the saline and warm regime (red bar) with T and S ab</w:t>
      </w:r>
      <w:r w:rsidR="00F83ABE" w:rsidRPr="00294BBF">
        <w:rPr>
          <w:rFonts w:ascii="Times New Roman" w:hAnsi="Times New Roman" w:cs="Times New Roman"/>
          <w:b w:val="0"/>
          <w:color w:val="000000" w:themeColor="text1"/>
          <w:szCs w:val="24"/>
        </w:rPr>
        <w:t>ove the 67</w:t>
      </w:r>
      <w:r w:rsidRPr="00294BBF">
        <w:rPr>
          <w:rFonts w:ascii="Times New Roman" w:hAnsi="Times New Roman" w:cs="Times New Roman"/>
          <w:b w:val="0"/>
          <w:color w:val="000000" w:themeColor="text1"/>
          <w:szCs w:val="24"/>
          <w:vertAlign w:val="superscript"/>
        </w:rPr>
        <w:t>th</w:t>
      </w:r>
      <w:r w:rsidRPr="00294BBF">
        <w:rPr>
          <w:rFonts w:ascii="Times New Roman" w:hAnsi="Times New Roman" w:cs="Times New Roman"/>
          <w:b w:val="0"/>
          <w:color w:val="000000" w:themeColor="text1"/>
          <w:szCs w:val="24"/>
        </w:rPr>
        <w:t xml:space="preserve"> percentile, and the fresh and cold regime (blue bar) with T and S below the 33</w:t>
      </w:r>
      <w:r w:rsidRPr="00294BBF">
        <w:rPr>
          <w:rFonts w:ascii="Times New Roman" w:hAnsi="Times New Roman" w:cs="Times New Roman"/>
          <w:b w:val="0"/>
          <w:color w:val="000000" w:themeColor="text1"/>
          <w:szCs w:val="24"/>
          <w:vertAlign w:val="superscript"/>
        </w:rPr>
        <w:t>rd</w:t>
      </w:r>
      <w:r w:rsidRPr="00294BBF">
        <w:rPr>
          <w:rFonts w:ascii="Times New Roman" w:hAnsi="Times New Roman" w:cs="Times New Roman"/>
          <w:b w:val="0"/>
          <w:color w:val="000000" w:themeColor="text1"/>
          <w:szCs w:val="24"/>
        </w:rPr>
        <w:t xml:space="preserve"> percentile.</w:t>
      </w:r>
    </w:p>
    <w:p w14:paraId="18EAF25C" w14:textId="7F3182B6" w:rsidR="00021DD6" w:rsidRPr="00294BBF" w:rsidRDefault="00D96F43" w:rsidP="00021DD6">
      <w:pPr>
        <w:pStyle w:val="Billedtekst"/>
        <w:tabs>
          <w:tab w:val="left" w:pos="1560"/>
        </w:tabs>
        <w:spacing w:line="480" w:lineRule="auto"/>
        <w:rPr>
          <w:rFonts w:ascii="Times New Roman" w:hAnsi="Times New Roman" w:cs="Times New Roman"/>
          <w:b w:val="0"/>
          <w:color w:val="000000" w:themeColor="text1"/>
          <w:szCs w:val="24"/>
        </w:rPr>
      </w:pPr>
      <w:r>
        <w:rPr>
          <w:rFonts w:ascii="Times New Roman" w:hAnsi="Times New Roman" w:cs="Times New Roman"/>
          <w:b w:val="0"/>
          <w:noProof/>
          <w:color w:val="000000" w:themeColor="text1"/>
          <w:szCs w:val="24"/>
          <w:lang w:val="da-DK" w:eastAsia="da-DK" w:bidi="ar-SA"/>
        </w:rPr>
        <w:lastRenderedPageBreak/>
        <w:drawing>
          <wp:inline distT="0" distB="0" distL="0" distR="0" wp14:anchorId="29708378" wp14:editId="1E015F9C">
            <wp:extent cx="4731355" cy="237573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4.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1355" cy="2375737"/>
                    </a:xfrm>
                    <a:prstGeom prst="rect">
                      <a:avLst/>
                    </a:prstGeom>
                  </pic:spPr>
                </pic:pic>
              </a:graphicData>
            </a:graphic>
          </wp:inline>
        </w:drawing>
      </w:r>
    </w:p>
    <w:p w14:paraId="68271333" w14:textId="6BF1E7E5" w:rsidR="00D96F43" w:rsidRDefault="00021DD6" w:rsidP="00021DD6">
      <w:pPr>
        <w:pStyle w:val="Billedtekst"/>
        <w:spacing w:line="480" w:lineRule="auto"/>
        <w:rPr>
          <w:rFonts w:ascii="Times New Roman" w:hAnsi="Times New Roman" w:cs="Times New Roman"/>
          <w:b w:val="0"/>
          <w:color w:val="000000" w:themeColor="text1"/>
          <w:szCs w:val="24"/>
        </w:rPr>
      </w:pPr>
      <w:proofErr w:type="gramStart"/>
      <w:r w:rsidRPr="00294BBF">
        <w:rPr>
          <w:rFonts w:ascii="Times New Roman" w:hAnsi="Times New Roman" w:cs="Times New Roman"/>
          <w:color w:val="000000" w:themeColor="text1"/>
          <w:szCs w:val="24"/>
        </w:rPr>
        <w:t>Figure</w:t>
      </w:r>
      <w:r w:rsidR="00C920CB" w:rsidRPr="00294BBF">
        <w:rPr>
          <w:rFonts w:ascii="Times New Roman" w:hAnsi="Times New Roman" w:cs="Times New Roman"/>
          <w:color w:val="000000" w:themeColor="text1"/>
          <w:szCs w:val="24"/>
        </w:rPr>
        <w:t xml:space="preserve"> 4</w:t>
      </w:r>
      <w:r w:rsidRPr="00294BBF">
        <w:rPr>
          <w:rFonts w:ascii="Times New Roman" w:hAnsi="Times New Roman" w:cs="Times New Roman"/>
          <w:color w:val="000000" w:themeColor="text1"/>
          <w:szCs w:val="24"/>
        </w:rPr>
        <w:t>.</w:t>
      </w:r>
      <w:proofErr w:type="gramEnd"/>
      <w:r w:rsidRPr="00294BBF">
        <w:rPr>
          <w:rFonts w:ascii="Times New Roman" w:hAnsi="Times New Roman" w:cs="Times New Roman"/>
          <w:color w:val="000000" w:themeColor="text1"/>
          <w:szCs w:val="24"/>
        </w:rPr>
        <w:t xml:space="preserve"> </w:t>
      </w:r>
      <w:r w:rsidRPr="00294BBF">
        <w:rPr>
          <w:rFonts w:ascii="Times New Roman" w:hAnsi="Times New Roman" w:cs="Times New Roman"/>
          <w:b w:val="0"/>
          <w:color w:val="000000" w:themeColor="text1"/>
          <w:szCs w:val="24"/>
        </w:rPr>
        <w:t xml:space="preserve">Salinity averaged over blue whiting’s spawning depth (250 to 600 m) during the saline and warm a) and fresh and cold b) regimes in March. The black solid lines indicate the 700 m isobaths and the red dashed lines the </w:t>
      </w:r>
      <w:proofErr w:type="spellStart"/>
      <w:r w:rsidRPr="00294BBF">
        <w:rPr>
          <w:rFonts w:ascii="Times New Roman" w:hAnsi="Times New Roman" w:cs="Times New Roman"/>
          <w:b w:val="0"/>
          <w:color w:val="000000" w:themeColor="text1"/>
          <w:szCs w:val="24"/>
        </w:rPr>
        <w:t>isoline</w:t>
      </w:r>
      <w:proofErr w:type="spellEnd"/>
      <w:r w:rsidRPr="00294BBF">
        <w:rPr>
          <w:rFonts w:ascii="Times New Roman" w:hAnsi="Times New Roman" w:cs="Times New Roman"/>
          <w:b w:val="0"/>
          <w:color w:val="000000" w:themeColor="text1"/>
          <w:szCs w:val="24"/>
        </w:rPr>
        <w:t xml:space="preserve"> of 35.3 and 35.5 </w:t>
      </w:r>
      <w:proofErr w:type="spellStart"/>
      <w:r w:rsidR="00096D6E">
        <w:rPr>
          <w:rFonts w:ascii="Times New Roman" w:hAnsi="Times New Roman" w:cs="Times New Roman"/>
          <w:b w:val="0"/>
          <w:color w:val="000000" w:themeColor="text1"/>
          <w:szCs w:val="24"/>
        </w:rPr>
        <w:t>psu</w:t>
      </w:r>
      <w:proofErr w:type="spellEnd"/>
      <w:r w:rsidR="00096D6E">
        <w:rPr>
          <w:rFonts w:ascii="Times New Roman" w:hAnsi="Times New Roman" w:cs="Times New Roman"/>
          <w:b w:val="0"/>
          <w:color w:val="000000" w:themeColor="text1"/>
          <w:szCs w:val="24"/>
        </w:rPr>
        <w:t xml:space="preserve"> </w:t>
      </w:r>
      <w:r w:rsidRPr="00294BBF">
        <w:rPr>
          <w:rFonts w:ascii="Times New Roman" w:hAnsi="Times New Roman" w:cs="Times New Roman"/>
          <w:b w:val="0"/>
          <w:color w:val="000000" w:themeColor="text1"/>
          <w:szCs w:val="24"/>
        </w:rPr>
        <w:t>averaged over blue whiting’s spawning depth, indicative of the optimum salinity range for spawning in blue whiting (</w:t>
      </w:r>
      <w:r w:rsidR="008A7F42" w:rsidRPr="00294BBF">
        <w:rPr>
          <w:rFonts w:ascii="Times New Roman" w:hAnsi="Times New Roman" w:cs="Times New Roman"/>
          <w:b w:val="0"/>
          <w:color w:val="000000" w:themeColor="text1"/>
          <w:szCs w:val="24"/>
        </w:rPr>
        <w:t>Fig. 6</w:t>
      </w:r>
      <w:r w:rsidRPr="00294BBF">
        <w:rPr>
          <w:rFonts w:ascii="Times New Roman" w:hAnsi="Times New Roman" w:cs="Times New Roman"/>
          <w:b w:val="0"/>
          <w:color w:val="000000" w:themeColor="text1"/>
          <w:szCs w:val="24"/>
        </w:rPr>
        <w:t>d).</w:t>
      </w:r>
      <w:r w:rsidR="00622E32">
        <w:rPr>
          <w:rFonts w:ascii="Times New Roman" w:hAnsi="Times New Roman" w:cs="Times New Roman"/>
          <w:b w:val="0"/>
          <w:color w:val="000000" w:themeColor="text1"/>
          <w:szCs w:val="24"/>
        </w:rPr>
        <w:t xml:space="preserve"> In regions where water depth is less than 250m, bottom salinity is plotted. </w:t>
      </w:r>
    </w:p>
    <w:p w14:paraId="3A5A1AFA" w14:textId="77777777" w:rsidR="00D96F43" w:rsidRDefault="00D96F43">
      <w:pPr>
        <w:spacing w:after="200" w:line="276" w:lineRule="auto"/>
        <w:jc w:val="left"/>
        <w:rPr>
          <w:rFonts w:cs="Times New Roman"/>
          <w:bCs/>
          <w:color w:val="000000" w:themeColor="text1"/>
          <w:szCs w:val="24"/>
        </w:rPr>
      </w:pPr>
      <w:r>
        <w:rPr>
          <w:rFonts w:cs="Times New Roman"/>
          <w:b/>
          <w:color w:val="000000" w:themeColor="text1"/>
          <w:szCs w:val="24"/>
        </w:rPr>
        <w:br w:type="page"/>
      </w:r>
    </w:p>
    <w:p w14:paraId="73284BD4" w14:textId="41EE74A7" w:rsidR="00021DD6" w:rsidRPr="00294BBF" w:rsidRDefault="00D96F43" w:rsidP="00021DD6">
      <w:pPr>
        <w:pStyle w:val="Billedtekst"/>
        <w:spacing w:line="480" w:lineRule="auto"/>
        <w:rPr>
          <w:rFonts w:ascii="Times New Roman" w:hAnsi="Times New Roman" w:cs="Times New Roman"/>
          <w:b w:val="0"/>
          <w:color w:val="000000" w:themeColor="text1"/>
          <w:szCs w:val="24"/>
        </w:rPr>
      </w:pPr>
      <w:r>
        <w:rPr>
          <w:rFonts w:ascii="Times New Roman" w:hAnsi="Times New Roman" w:cs="Times New Roman"/>
          <w:b w:val="0"/>
          <w:noProof/>
          <w:color w:val="000000" w:themeColor="text1"/>
          <w:szCs w:val="24"/>
          <w:lang w:val="da-DK" w:eastAsia="da-DK" w:bidi="ar-SA"/>
        </w:rPr>
        <w:lastRenderedPageBreak/>
        <w:drawing>
          <wp:inline distT="0" distB="0" distL="0" distR="0" wp14:anchorId="73FE04CE" wp14:editId="11B1B8A9">
            <wp:extent cx="4617729" cy="64081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 new combined figure same scale.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7729" cy="6408127"/>
                    </a:xfrm>
                    <a:prstGeom prst="rect">
                      <a:avLst/>
                    </a:prstGeom>
                  </pic:spPr>
                </pic:pic>
              </a:graphicData>
            </a:graphic>
          </wp:inline>
        </w:drawing>
      </w:r>
    </w:p>
    <w:p w14:paraId="55827876" w14:textId="580B0B16" w:rsidR="00D96F43" w:rsidRDefault="00021DD6" w:rsidP="008A7F42">
      <w:pPr>
        <w:rPr>
          <w:rFonts w:cs="Times New Roman"/>
          <w:color w:val="000000" w:themeColor="text1"/>
          <w:szCs w:val="24"/>
        </w:rPr>
      </w:pPr>
      <w:proofErr w:type="gramStart"/>
      <w:r w:rsidRPr="00294BBF">
        <w:rPr>
          <w:rFonts w:cs="Times New Roman"/>
          <w:b/>
          <w:color w:val="000000" w:themeColor="text1"/>
          <w:szCs w:val="24"/>
        </w:rPr>
        <w:t>Figure</w:t>
      </w:r>
      <w:r w:rsidR="00C920CB" w:rsidRPr="00294BBF">
        <w:rPr>
          <w:rFonts w:cs="Times New Roman"/>
          <w:b/>
          <w:color w:val="000000" w:themeColor="text1"/>
          <w:szCs w:val="24"/>
        </w:rPr>
        <w:t xml:space="preserve"> 5</w:t>
      </w:r>
      <w:r w:rsidRPr="00294BBF">
        <w:rPr>
          <w:rFonts w:cs="Times New Roman"/>
          <w:b/>
          <w:color w:val="000000" w:themeColor="text1"/>
          <w:szCs w:val="24"/>
        </w:rPr>
        <w:t>.</w:t>
      </w:r>
      <w:proofErr w:type="gramEnd"/>
      <w:r w:rsidRPr="00294BBF">
        <w:rPr>
          <w:rFonts w:cs="Times New Roman"/>
          <w:color w:val="000000" w:themeColor="text1"/>
          <w:szCs w:val="24"/>
        </w:rPr>
        <w:t xml:space="preserve"> </w:t>
      </w:r>
      <w:r w:rsidR="008A7F42" w:rsidRPr="00294BBF">
        <w:rPr>
          <w:rFonts w:eastAsia="Times New Roman" w:cs="Times New Roman"/>
          <w:noProof/>
          <w:color w:val="000000" w:themeColor="text1"/>
          <w:szCs w:val="24"/>
          <w:lang w:eastAsia="en-GB"/>
        </w:rPr>
        <w:t xml:space="preserve">Larval-observation probabilites, </w:t>
      </w:r>
      <w:r w:rsidR="008A7F42" w:rsidRPr="00294BBF">
        <w:rPr>
          <w:rFonts w:cs="Times New Roman"/>
          <w:color w:val="000000" w:themeColor="text1"/>
          <w:szCs w:val="24"/>
        </w:rPr>
        <w:t xml:space="preserve">a proxy for blue whiting spawning distribution, based on space-time interpolation (STI2, Table 2), mapped for April (a-c) and as latitude-time plot from February to June (d-f), during the </w:t>
      </w:r>
      <w:r w:rsidR="003F437A" w:rsidRPr="00294BBF">
        <w:rPr>
          <w:rFonts w:cs="Times New Roman"/>
          <w:color w:val="000000" w:themeColor="text1"/>
          <w:szCs w:val="24"/>
        </w:rPr>
        <w:t xml:space="preserve">saline and warm </w:t>
      </w:r>
      <w:r w:rsidRPr="00294BBF">
        <w:rPr>
          <w:rFonts w:cs="Times New Roman"/>
          <w:color w:val="000000" w:themeColor="text1"/>
          <w:szCs w:val="24"/>
        </w:rPr>
        <w:t>a</w:t>
      </w:r>
      <w:r w:rsidR="008A7F42" w:rsidRPr="00294BBF">
        <w:rPr>
          <w:rFonts w:cs="Times New Roman"/>
          <w:color w:val="000000" w:themeColor="text1"/>
          <w:szCs w:val="24"/>
        </w:rPr>
        <w:t xml:space="preserve"> &amp; d</w:t>
      </w:r>
      <w:r w:rsidRPr="00294BBF">
        <w:rPr>
          <w:rFonts w:cs="Times New Roman"/>
          <w:color w:val="000000" w:themeColor="text1"/>
          <w:szCs w:val="24"/>
        </w:rPr>
        <w:t xml:space="preserve">), and </w:t>
      </w:r>
      <w:r w:rsidR="003F437A" w:rsidRPr="00294BBF">
        <w:rPr>
          <w:rFonts w:cs="Times New Roman"/>
          <w:color w:val="000000" w:themeColor="text1"/>
          <w:szCs w:val="24"/>
        </w:rPr>
        <w:t xml:space="preserve">fresh and cold </w:t>
      </w:r>
      <w:r w:rsidRPr="00294BBF">
        <w:rPr>
          <w:rFonts w:cs="Times New Roman"/>
          <w:color w:val="000000" w:themeColor="text1"/>
          <w:szCs w:val="24"/>
        </w:rPr>
        <w:t>b</w:t>
      </w:r>
      <w:r w:rsidR="008A7F42" w:rsidRPr="00294BBF">
        <w:rPr>
          <w:rFonts w:cs="Times New Roman"/>
          <w:color w:val="000000" w:themeColor="text1"/>
          <w:szCs w:val="24"/>
        </w:rPr>
        <w:t xml:space="preserve"> &amp; e</w:t>
      </w:r>
      <w:r w:rsidRPr="00294BBF">
        <w:rPr>
          <w:rFonts w:cs="Times New Roman"/>
          <w:color w:val="000000" w:themeColor="text1"/>
          <w:szCs w:val="24"/>
        </w:rPr>
        <w:t>) regimes (1951</w:t>
      </w:r>
      <w:r w:rsidR="00C920CB" w:rsidRPr="00294BBF">
        <w:rPr>
          <w:rFonts w:cs="Times New Roman"/>
          <w:color w:val="000000" w:themeColor="text1"/>
          <w:szCs w:val="24"/>
        </w:rPr>
        <w:t xml:space="preserve"> </w:t>
      </w:r>
      <w:r w:rsidRPr="00294BBF">
        <w:rPr>
          <w:rFonts w:cs="Times New Roman"/>
          <w:color w:val="000000" w:themeColor="text1"/>
          <w:szCs w:val="24"/>
        </w:rPr>
        <w:t>-</w:t>
      </w:r>
      <w:r w:rsidR="00C920CB" w:rsidRPr="00294BBF">
        <w:rPr>
          <w:rFonts w:cs="Times New Roman"/>
          <w:color w:val="000000" w:themeColor="text1"/>
          <w:szCs w:val="24"/>
        </w:rPr>
        <w:t xml:space="preserve"> </w:t>
      </w:r>
      <w:r w:rsidRPr="00294BBF">
        <w:rPr>
          <w:rFonts w:cs="Times New Roman"/>
          <w:color w:val="000000" w:themeColor="text1"/>
          <w:szCs w:val="24"/>
        </w:rPr>
        <w:t>20</w:t>
      </w:r>
      <w:r w:rsidR="00594211">
        <w:rPr>
          <w:rFonts w:cs="Times New Roman"/>
          <w:color w:val="000000" w:themeColor="text1"/>
          <w:szCs w:val="24"/>
        </w:rPr>
        <w:t>05</w:t>
      </w:r>
      <w:r w:rsidRPr="00294BBF">
        <w:rPr>
          <w:rFonts w:cs="Times New Roman"/>
          <w:color w:val="000000" w:themeColor="text1"/>
          <w:szCs w:val="24"/>
        </w:rPr>
        <w:t>); Figure c</w:t>
      </w:r>
      <w:r w:rsidR="008A7F42" w:rsidRPr="00294BBF">
        <w:rPr>
          <w:rFonts w:cs="Times New Roman"/>
          <w:color w:val="000000" w:themeColor="text1"/>
          <w:szCs w:val="24"/>
        </w:rPr>
        <w:t xml:space="preserve"> &amp; f</w:t>
      </w:r>
      <w:r w:rsidRPr="00294BBF">
        <w:rPr>
          <w:rFonts w:cs="Times New Roman"/>
          <w:color w:val="000000" w:themeColor="text1"/>
          <w:szCs w:val="24"/>
        </w:rPr>
        <w:t xml:space="preserve">) depict the probability difference of larval-presence between the two regimes, i.e. the difference </w:t>
      </w:r>
      <w:r w:rsidR="00ED7E30">
        <w:rPr>
          <w:rFonts w:cs="Times New Roman"/>
          <w:color w:val="000000" w:themeColor="text1"/>
          <w:szCs w:val="24"/>
        </w:rPr>
        <w:t xml:space="preserve">in larval </w:t>
      </w:r>
      <w:r w:rsidR="00ED7E30">
        <w:rPr>
          <w:rFonts w:cs="Times New Roman"/>
          <w:color w:val="000000" w:themeColor="text1"/>
          <w:szCs w:val="24"/>
        </w:rPr>
        <w:lastRenderedPageBreak/>
        <w:t xml:space="preserve">observation probability </w:t>
      </w:r>
      <w:r w:rsidRPr="00294BBF">
        <w:rPr>
          <w:rFonts w:cs="Times New Roman"/>
          <w:color w:val="000000" w:themeColor="text1"/>
          <w:szCs w:val="24"/>
        </w:rPr>
        <w:t>between the saline &amp; warm regime (a</w:t>
      </w:r>
      <w:r w:rsidR="008A7F42" w:rsidRPr="00294BBF">
        <w:rPr>
          <w:rFonts w:cs="Times New Roman"/>
          <w:color w:val="000000" w:themeColor="text1"/>
          <w:szCs w:val="24"/>
        </w:rPr>
        <w:t>/d</w:t>
      </w:r>
      <w:r w:rsidRPr="00294BBF">
        <w:rPr>
          <w:rFonts w:cs="Times New Roman"/>
          <w:color w:val="000000" w:themeColor="text1"/>
          <w:szCs w:val="24"/>
        </w:rPr>
        <w:t>) and fresh &amp; cold regime (b</w:t>
      </w:r>
      <w:r w:rsidR="008A7F42" w:rsidRPr="00294BBF">
        <w:rPr>
          <w:rFonts w:cs="Times New Roman"/>
          <w:color w:val="000000" w:themeColor="text1"/>
          <w:szCs w:val="24"/>
        </w:rPr>
        <w:t>/e</w:t>
      </w:r>
      <w:r w:rsidRPr="00294BBF">
        <w:rPr>
          <w:rFonts w:cs="Times New Roman"/>
          <w:color w:val="000000" w:themeColor="text1"/>
          <w:szCs w:val="24"/>
        </w:rPr>
        <w:t>); with red colours corresponding to higher larval-observation probabilities during the saline and warm regime compared to the fresh and cold regime, while blue colours indicate the opposite, i.e. higher larval-observation probabilities during the fresh and cold regime. The black lines</w:t>
      </w:r>
      <w:r w:rsidR="008A7F42" w:rsidRPr="00294BBF">
        <w:rPr>
          <w:rFonts w:cs="Times New Roman"/>
          <w:color w:val="000000" w:themeColor="text1"/>
          <w:szCs w:val="24"/>
        </w:rPr>
        <w:t xml:space="preserve"> in a-c</w:t>
      </w:r>
      <w:r w:rsidRPr="00294BBF">
        <w:rPr>
          <w:rFonts w:cs="Times New Roman"/>
          <w:color w:val="000000" w:themeColor="text1"/>
          <w:szCs w:val="24"/>
        </w:rPr>
        <w:t xml:space="preserve"> indicate the 700 m isobaths.</w:t>
      </w:r>
    </w:p>
    <w:p w14:paraId="3AB52222" w14:textId="77777777" w:rsidR="00D96F43" w:rsidRDefault="00D96F43">
      <w:pPr>
        <w:spacing w:after="200" w:line="276" w:lineRule="auto"/>
        <w:jc w:val="left"/>
        <w:rPr>
          <w:rFonts w:cs="Times New Roman"/>
          <w:color w:val="000000" w:themeColor="text1"/>
          <w:szCs w:val="24"/>
        </w:rPr>
      </w:pPr>
      <w:r>
        <w:rPr>
          <w:rFonts w:cs="Times New Roman"/>
          <w:color w:val="000000" w:themeColor="text1"/>
          <w:szCs w:val="24"/>
        </w:rPr>
        <w:br w:type="page"/>
      </w:r>
    </w:p>
    <w:p w14:paraId="0C1D3871" w14:textId="411035CD" w:rsidR="008A7F42" w:rsidRPr="00294BBF" w:rsidRDefault="00D96F43" w:rsidP="008A7F42">
      <w:pPr>
        <w:rPr>
          <w:rFonts w:cs="Times New Roman"/>
          <w:color w:val="000000" w:themeColor="text1"/>
          <w:szCs w:val="24"/>
        </w:rPr>
      </w:pPr>
      <w:r>
        <w:rPr>
          <w:rFonts w:cs="Times New Roman"/>
          <w:noProof/>
          <w:color w:val="000000" w:themeColor="text1"/>
          <w:szCs w:val="24"/>
          <w:lang w:val="da-DK" w:eastAsia="da-DK" w:bidi="ar-SA"/>
        </w:rPr>
        <w:lastRenderedPageBreak/>
        <w:drawing>
          <wp:inline distT="0" distB="0" distL="0" distR="0" wp14:anchorId="25ECCDFE" wp14:editId="19A99DC5">
            <wp:extent cx="5038354" cy="431963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6.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8354" cy="4319634"/>
                    </a:xfrm>
                    <a:prstGeom prst="rect">
                      <a:avLst/>
                    </a:prstGeom>
                  </pic:spPr>
                </pic:pic>
              </a:graphicData>
            </a:graphic>
          </wp:inline>
        </w:drawing>
      </w:r>
    </w:p>
    <w:p w14:paraId="20890183" w14:textId="4F9ABFE7" w:rsidR="00D96F43" w:rsidRDefault="00021DD6" w:rsidP="00021DD6">
      <w:pPr>
        <w:pStyle w:val="Billedtekst"/>
        <w:spacing w:line="480" w:lineRule="auto"/>
        <w:rPr>
          <w:rFonts w:ascii="Times New Roman" w:hAnsi="Times New Roman" w:cs="Times New Roman"/>
          <w:b w:val="0"/>
          <w:color w:val="000000" w:themeColor="text1"/>
        </w:rPr>
      </w:pPr>
      <w:proofErr w:type="gramStart"/>
      <w:r w:rsidRPr="00294BBF">
        <w:rPr>
          <w:rFonts w:ascii="Times New Roman" w:hAnsi="Times New Roman" w:cs="Times New Roman"/>
          <w:color w:val="000000" w:themeColor="text1"/>
        </w:rPr>
        <w:t xml:space="preserve">Figure </w:t>
      </w:r>
      <w:r w:rsidR="008A7F42" w:rsidRPr="00294BBF">
        <w:rPr>
          <w:rFonts w:ascii="Times New Roman" w:hAnsi="Times New Roman" w:cs="Times New Roman"/>
          <w:color w:val="000000" w:themeColor="text1"/>
        </w:rPr>
        <w:t>6</w:t>
      </w:r>
      <w:r w:rsidR="00C920CB" w:rsidRPr="00294BBF">
        <w:rPr>
          <w:rFonts w:ascii="Times New Roman" w:hAnsi="Times New Roman" w:cs="Times New Roman"/>
          <w:color w:val="000000" w:themeColor="text1"/>
        </w:rPr>
        <w:t>.</w:t>
      </w:r>
      <w:proofErr w:type="gramEnd"/>
      <w:r w:rsidR="00C920CB" w:rsidRPr="00294BBF">
        <w:rPr>
          <w:rFonts w:ascii="Times New Roman" w:hAnsi="Times New Roman" w:cs="Times New Roman"/>
          <w:color w:val="000000" w:themeColor="text1"/>
        </w:rPr>
        <w:t xml:space="preserve"> </w:t>
      </w:r>
      <w:proofErr w:type="gramStart"/>
      <w:r w:rsidRPr="00294BBF">
        <w:rPr>
          <w:rFonts w:ascii="Times New Roman" w:hAnsi="Times New Roman" w:cs="Times New Roman"/>
          <w:b w:val="0"/>
          <w:color w:val="000000" w:themeColor="text1"/>
        </w:rPr>
        <w:t>SDM components.</w:t>
      </w:r>
      <w:proofErr w:type="gramEnd"/>
      <w:r w:rsidRPr="00294BBF">
        <w:rPr>
          <w:rFonts w:ascii="Times New Roman" w:hAnsi="Times New Roman" w:cs="Times New Roman"/>
          <w:b w:val="0"/>
          <w:color w:val="000000" w:themeColor="text1"/>
        </w:rPr>
        <w:t xml:space="preserve"> a) Contour plot of the larval-observation probability as a function of latitude [in °N] and the day of the year (DOY, here shown as month). b-d) Smooth functions of the SDM with b) the solar elevation angle (</w:t>
      </w:r>
      <w:proofErr w:type="gramStart"/>
      <w:r w:rsidRPr="00294BBF">
        <w:rPr>
          <w:rFonts w:ascii="Symbol" w:hAnsi="Symbol"/>
          <w:b w:val="0"/>
          <w:i/>
          <w:color w:val="000000" w:themeColor="text1"/>
        </w:rPr>
        <w:t></w:t>
      </w:r>
      <w:r w:rsidRPr="00294BBF">
        <w:rPr>
          <w:b w:val="0"/>
          <w:color w:val="000000" w:themeColor="text1"/>
        </w:rPr>
        <w:t xml:space="preserve"> </w:t>
      </w:r>
      <w:r w:rsidR="00C920CB" w:rsidRPr="00294BBF">
        <w:rPr>
          <w:b w:val="0"/>
          <w:color w:val="000000" w:themeColor="text1"/>
        </w:rPr>
        <w:t xml:space="preserve"> </w:t>
      </w:r>
      <w:r w:rsidRPr="00294BBF">
        <w:rPr>
          <w:rFonts w:ascii="Times New Roman" w:hAnsi="Times New Roman" w:cs="Times New Roman"/>
          <w:b w:val="0"/>
          <w:color w:val="000000" w:themeColor="text1"/>
        </w:rPr>
        <w:t>in</w:t>
      </w:r>
      <w:proofErr w:type="gramEnd"/>
      <w:r w:rsidRPr="00294BBF">
        <w:rPr>
          <w:rFonts w:ascii="Times New Roman" w:hAnsi="Times New Roman" w:cs="Times New Roman"/>
          <w:b w:val="0"/>
          <w:color w:val="000000" w:themeColor="text1"/>
        </w:rPr>
        <w:t xml:space="preserve"> °degrees), c) the depth [m], and d) the salinity at spawning depth during the spawning time of blue whiting (S</w:t>
      </w:r>
      <w:r w:rsidRPr="00294BBF">
        <w:rPr>
          <w:rFonts w:ascii="Times New Roman" w:hAnsi="Times New Roman" w:cs="Times New Roman"/>
          <w:b w:val="0"/>
          <w:color w:val="000000" w:themeColor="text1"/>
          <w:vertAlign w:val="subscript"/>
        </w:rPr>
        <w:t>SPAWN</w:t>
      </w:r>
      <w:r w:rsidRPr="00294BBF">
        <w:rPr>
          <w:rFonts w:ascii="Times New Roman" w:hAnsi="Times New Roman" w:cs="Times New Roman"/>
          <w:b w:val="0"/>
          <w:color w:val="000000" w:themeColor="text1"/>
        </w:rPr>
        <w:t xml:space="preserve">). In Figures b-d) the solid non-linear lines indicates the estimate of the smooth </w:t>
      </w:r>
      <w:proofErr w:type="gramStart"/>
      <w:r w:rsidRPr="00294BBF">
        <w:rPr>
          <w:rFonts w:ascii="Times New Roman" w:hAnsi="Times New Roman" w:cs="Times New Roman"/>
          <w:b w:val="0"/>
          <w:color w:val="000000" w:themeColor="text1"/>
        </w:rPr>
        <w:t>s(</w:t>
      </w:r>
      <w:proofErr w:type="gramEnd"/>
      <w:r w:rsidRPr="00294BBF">
        <w:rPr>
          <w:rFonts w:ascii="Times New Roman" w:hAnsi="Times New Roman" w:cs="Times New Roman"/>
          <w:b w:val="0"/>
          <w:color w:val="000000" w:themeColor="text1"/>
        </w:rPr>
        <w:t>) and the dashed lines indicate the 95% confidence</w:t>
      </w:r>
      <w:r w:rsidR="003353B6" w:rsidRPr="00294BBF">
        <w:rPr>
          <w:rFonts w:ascii="Times New Roman" w:hAnsi="Times New Roman" w:cs="Times New Roman"/>
          <w:b w:val="0"/>
          <w:color w:val="000000" w:themeColor="text1"/>
        </w:rPr>
        <w:t xml:space="preserve"> interval</w:t>
      </w:r>
      <w:r w:rsidRPr="00294BBF">
        <w:rPr>
          <w:rFonts w:ascii="Times New Roman" w:hAnsi="Times New Roman" w:cs="Times New Roman"/>
          <w:b w:val="0"/>
          <w:color w:val="000000" w:themeColor="text1"/>
        </w:rPr>
        <w:t>. The vertical line in b) indicates sunrise/sunset</w:t>
      </w:r>
      <w:r w:rsidR="00BD74E9" w:rsidRPr="00294BBF">
        <w:rPr>
          <w:rFonts w:ascii="Times New Roman" w:hAnsi="Times New Roman" w:cs="Times New Roman"/>
          <w:b w:val="0"/>
          <w:color w:val="000000" w:themeColor="text1"/>
        </w:rPr>
        <w:t>, with positive values indicating that the sun is above the horizon</w:t>
      </w:r>
      <w:r w:rsidR="009A5B92" w:rsidRPr="00294BBF">
        <w:rPr>
          <w:rFonts w:ascii="Times New Roman" w:hAnsi="Times New Roman" w:cs="Times New Roman"/>
          <w:b w:val="0"/>
          <w:color w:val="000000" w:themeColor="text1"/>
        </w:rPr>
        <w:t>, i.e.</w:t>
      </w:r>
      <w:r w:rsidR="00BD74E9" w:rsidRPr="00294BBF">
        <w:rPr>
          <w:rFonts w:ascii="Times New Roman" w:hAnsi="Times New Roman" w:cs="Times New Roman"/>
          <w:b w:val="0"/>
          <w:color w:val="000000" w:themeColor="text1"/>
        </w:rPr>
        <w:t xml:space="preserve"> that </w:t>
      </w:r>
      <w:r w:rsidR="009A5B92" w:rsidRPr="00294BBF">
        <w:rPr>
          <w:rFonts w:ascii="Times New Roman" w:hAnsi="Times New Roman" w:cs="Times New Roman"/>
          <w:b w:val="0"/>
          <w:color w:val="000000" w:themeColor="text1"/>
        </w:rPr>
        <w:t xml:space="preserve">there is </w:t>
      </w:r>
      <w:r w:rsidR="00BD74E9" w:rsidRPr="00294BBF">
        <w:rPr>
          <w:rFonts w:ascii="Times New Roman" w:hAnsi="Times New Roman" w:cs="Times New Roman"/>
          <w:b w:val="0"/>
          <w:color w:val="000000" w:themeColor="text1"/>
        </w:rPr>
        <w:t>light</w:t>
      </w:r>
      <w:r w:rsidRPr="00294BBF">
        <w:rPr>
          <w:rFonts w:ascii="Times New Roman" w:hAnsi="Times New Roman" w:cs="Times New Roman"/>
          <w:b w:val="0"/>
          <w:color w:val="000000" w:themeColor="text1"/>
        </w:rPr>
        <w:t>.</w:t>
      </w:r>
    </w:p>
    <w:p w14:paraId="7EC0E026" w14:textId="77777777" w:rsidR="00D96F43" w:rsidRDefault="00D96F43">
      <w:pPr>
        <w:spacing w:after="200" w:line="276" w:lineRule="auto"/>
        <w:jc w:val="left"/>
        <w:rPr>
          <w:rFonts w:cs="Times New Roman"/>
          <w:bCs/>
          <w:color w:val="000000" w:themeColor="text1"/>
          <w:szCs w:val="18"/>
        </w:rPr>
      </w:pPr>
      <w:r>
        <w:rPr>
          <w:rFonts w:cs="Times New Roman"/>
          <w:b/>
          <w:color w:val="000000" w:themeColor="text1"/>
        </w:rPr>
        <w:br w:type="page"/>
      </w:r>
    </w:p>
    <w:p w14:paraId="0C205648" w14:textId="6A71D975" w:rsidR="00021DD6" w:rsidRPr="00294BBF" w:rsidRDefault="00D96F43" w:rsidP="00021DD6">
      <w:pPr>
        <w:pStyle w:val="Billedtekst"/>
        <w:spacing w:line="480" w:lineRule="auto"/>
        <w:rPr>
          <w:rFonts w:ascii="Times New Roman" w:hAnsi="Times New Roman" w:cs="Times New Roman"/>
          <w:b w:val="0"/>
          <w:color w:val="000000" w:themeColor="text1"/>
        </w:rPr>
      </w:pPr>
      <w:r>
        <w:rPr>
          <w:rFonts w:ascii="Times New Roman" w:hAnsi="Times New Roman" w:cs="Times New Roman"/>
          <w:b w:val="0"/>
          <w:noProof/>
          <w:color w:val="000000" w:themeColor="text1"/>
          <w:lang w:val="da-DK" w:eastAsia="da-DK" w:bidi="ar-SA"/>
        </w:rPr>
        <w:lastRenderedPageBreak/>
        <w:drawing>
          <wp:inline distT="0" distB="0" distL="0" distR="0" wp14:anchorId="2CB0576A" wp14:editId="21F9271B">
            <wp:extent cx="2699009" cy="1979680"/>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7.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9009" cy="1979680"/>
                    </a:xfrm>
                    <a:prstGeom prst="rect">
                      <a:avLst/>
                    </a:prstGeom>
                  </pic:spPr>
                </pic:pic>
              </a:graphicData>
            </a:graphic>
          </wp:inline>
        </w:drawing>
      </w:r>
    </w:p>
    <w:p w14:paraId="430BC94B" w14:textId="22852E5B" w:rsidR="00D96F43" w:rsidRDefault="00021DD6" w:rsidP="00C46184">
      <w:pPr>
        <w:pStyle w:val="Billedtekst"/>
        <w:spacing w:line="480" w:lineRule="auto"/>
        <w:rPr>
          <w:rFonts w:ascii="Times New Roman" w:hAnsi="Times New Roman" w:cs="Times New Roman"/>
          <w:b w:val="0"/>
          <w:color w:val="000000" w:themeColor="text1"/>
          <w:szCs w:val="20"/>
        </w:rPr>
      </w:pPr>
      <w:proofErr w:type="gramStart"/>
      <w:r w:rsidRPr="00294BBF">
        <w:rPr>
          <w:rFonts w:ascii="Times New Roman" w:hAnsi="Times New Roman" w:cs="Times New Roman"/>
          <w:color w:val="000000" w:themeColor="text1"/>
        </w:rPr>
        <w:t>Figure</w:t>
      </w:r>
      <w:r w:rsidR="008A7F42" w:rsidRPr="00294BBF">
        <w:rPr>
          <w:rFonts w:ascii="Times New Roman" w:hAnsi="Times New Roman" w:cs="Times New Roman"/>
          <w:color w:val="000000" w:themeColor="text1"/>
        </w:rPr>
        <w:t xml:space="preserve"> 7</w:t>
      </w:r>
      <w:r w:rsidRPr="00294BBF">
        <w:rPr>
          <w:rFonts w:ascii="Times New Roman" w:hAnsi="Times New Roman" w:cs="Times New Roman"/>
          <w:color w:val="000000" w:themeColor="text1"/>
        </w:rPr>
        <w:t>.</w:t>
      </w:r>
      <w:proofErr w:type="gramEnd"/>
      <w:r w:rsidRPr="00294BBF">
        <w:rPr>
          <w:rFonts w:ascii="Times New Roman" w:hAnsi="Times New Roman" w:cs="Times New Roman"/>
          <w:b w:val="0"/>
          <w:color w:val="000000" w:themeColor="text1"/>
        </w:rPr>
        <w:t xml:space="preserve"> </w:t>
      </w:r>
      <w:proofErr w:type="gramStart"/>
      <w:r w:rsidRPr="00294BBF">
        <w:rPr>
          <w:rFonts w:ascii="Times New Roman" w:hAnsi="Times New Roman" w:cs="Times New Roman"/>
          <w:b w:val="0"/>
          <w:color w:val="000000" w:themeColor="text1"/>
        </w:rPr>
        <w:t>Permutation importance of variables.</w:t>
      </w:r>
      <w:proofErr w:type="gramEnd"/>
      <w:r w:rsidRPr="00294BBF">
        <w:rPr>
          <w:rFonts w:ascii="Times New Roman" w:hAnsi="Times New Roman" w:cs="Times New Roman"/>
          <w:b w:val="0"/>
          <w:color w:val="000000" w:themeColor="text1"/>
        </w:rPr>
        <w:t xml:space="preserve"> The difference in </w:t>
      </w:r>
      <w:r w:rsidRPr="00294BBF">
        <w:rPr>
          <w:rFonts w:ascii="Times New Roman" w:hAnsi="Times New Roman" w:cs="Times New Roman"/>
          <w:b w:val="0"/>
          <w:color w:val="000000" w:themeColor="text1"/>
          <w:szCs w:val="20"/>
        </w:rPr>
        <w:t>true skill statistics (TSS) between the original model and models with randomized explanatory variables is used as a</w:t>
      </w:r>
      <w:r w:rsidR="004C7F20" w:rsidRPr="00294BBF">
        <w:rPr>
          <w:rFonts w:ascii="Times New Roman" w:hAnsi="Times New Roman" w:cs="Times New Roman"/>
          <w:b w:val="0"/>
          <w:color w:val="000000" w:themeColor="text1"/>
          <w:szCs w:val="20"/>
        </w:rPr>
        <w:t>n indicator</w:t>
      </w:r>
      <w:r w:rsidRPr="00294BBF">
        <w:rPr>
          <w:rFonts w:ascii="Times New Roman" w:hAnsi="Times New Roman" w:cs="Times New Roman"/>
          <w:b w:val="0"/>
          <w:color w:val="000000" w:themeColor="text1"/>
          <w:szCs w:val="20"/>
        </w:rPr>
        <w:t xml:space="preserve"> </w:t>
      </w:r>
      <w:r w:rsidR="004C7F20" w:rsidRPr="00294BBF">
        <w:rPr>
          <w:rFonts w:ascii="Times New Roman" w:hAnsi="Times New Roman" w:cs="Times New Roman"/>
          <w:b w:val="0"/>
          <w:color w:val="000000" w:themeColor="text1"/>
          <w:szCs w:val="20"/>
        </w:rPr>
        <w:t xml:space="preserve">of </w:t>
      </w:r>
      <w:r w:rsidRPr="00294BBF">
        <w:rPr>
          <w:rFonts w:ascii="Times New Roman" w:hAnsi="Times New Roman" w:cs="Times New Roman"/>
          <w:b w:val="0"/>
          <w:color w:val="000000" w:themeColor="text1"/>
          <w:szCs w:val="20"/>
        </w:rPr>
        <w:t>the importance of each explanatory variable</w:t>
      </w:r>
      <w:r w:rsidR="004C7F20" w:rsidRPr="00294BBF">
        <w:rPr>
          <w:rFonts w:ascii="Times New Roman" w:hAnsi="Times New Roman" w:cs="Times New Roman"/>
          <w:b w:val="0"/>
          <w:color w:val="000000" w:themeColor="text1"/>
          <w:szCs w:val="20"/>
        </w:rPr>
        <w:t xml:space="preserve"> in the model fit</w:t>
      </w:r>
      <w:r w:rsidR="00845B25" w:rsidRPr="00294BBF">
        <w:rPr>
          <w:rFonts w:ascii="Times New Roman" w:hAnsi="Times New Roman" w:cs="Times New Roman"/>
          <w:b w:val="0"/>
          <w:color w:val="000000" w:themeColor="text1"/>
          <w:szCs w:val="20"/>
        </w:rPr>
        <w:t>:</w:t>
      </w:r>
      <w:r w:rsidRPr="00294BBF">
        <w:rPr>
          <w:rFonts w:ascii="Times New Roman" w:hAnsi="Times New Roman" w:cs="Times New Roman"/>
          <w:b w:val="0"/>
          <w:color w:val="000000" w:themeColor="text1"/>
          <w:szCs w:val="20"/>
        </w:rPr>
        <w:t xml:space="preserve"> Latitude (</w:t>
      </w:r>
      <w:proofErr w:type="spellStart"/>
      <w:r w:rsidRPr="00294BBF">
        <w:rPr>
          <w:rFonts w:ascii="Times New Roman" w:hAnsi="Times New Roman" w:cs="Times New Roman"/>
          <w:b w:val="0"/>
          <w:color w:val="000000" w:themeColor="text1"/>
          <w:szCs w:val="20"/>
        </w:rPr>
        <w:t>Lat</w:t>
      </w:r>
      <w:proofErr w:type="spellEnd"/>
      <w:r w:rsidRPr="00294BBF">
        <w:rPr>
          <w:rFonts w:ascii="Times New Roman" w:hAnsi="Times New Roman" w:cs="Times New Roman"/>
          <w:b w:val="0"/>
          <w:color w:val="000000" w:themeColor="text1"/>
          <w:szCs w:val="20"/>
        </w:rPr>
        <w:t xml:space="preserve">), day-of-year (DOY), solar elevation angle (Theta), log-transformed depth (Depth) and the salinity </w:t>
      </w:r>
      <w:r w:rsidRPr="00294BBF">
        <w:rPr>
          <w:rFonts w:ascii="Times New Roman" w:hAnsi="Times New Roman" w:cs="Times New Roman"/>
          <w:b w:val="0"/>
          <w:color w:val="000000" w:themeColor="text1"/>
        </w:rPr>
        <w:t>at spawning depth during the spawning time of blue whiting (S</w:t>
      </w:r>
      <w:r w:rsidRPr="00294BBF">
        <w:rPr>
          <w:rFonts w:ascii="Times New Roman" w:hAnsi="Times New Roman" w:cs="Times New Roman"/>
          <w:b w:val="0"/>
          <w:color w:val="000000" w:themeColor="text1"/>
          <w:vertAlign w:val="subscript"/>
        </w:rPr>
        <w:t>SPAWN</w:t>
      </w:r>
      <w:r w:rsidRPr="00294BBF">
        <w:rPr>
          <w:rFonts w:ascii="Times New Roman" w:hAnsi="Times New Roman" w:cs="Times New Roman"/>
          <w:b w:val="0"/>
          <w:color w:val="000000" w:themeColor="text1"/>
        </w:rPr>
        <w:t>).</w:t>
      </w:r>
      <w:r w:rsidRPr="00294BBF">
        <w:rPr>
          <w:rFonts w:ascii="Times New Roman" w:hAnsi="Times New Roman" w:cs="Times New Roman"/>
          <w:b w:val="0"/>
          <w:color w:val="000000" w:themeColor="text1"/>
          <w:szCs w:val="20"/>
        </w:rPr>
        <w:t xml:space="preserve"> The “x” indicates that both Latitude and DOY variables within the 2D smoother were randomized at the same time.</w:t>
      </w:r>
      <w:r w:rsidR="00C46184" w:rsidRPr="00294BBF">
        <w:rPr>
          <w:rFonts w:ascii="Times New Roman" w:hAnsi="Times New Roman" w:cs="Times New Roman"/>
          <w:b w:val="0"/>
          <w:color w:val="000000" w:themeColor="text1"/>
          <w:szCs w:val="20"/>
        </w:rPr>
        <w:t xml:space="preserve"> The permutation importance in terms of positive predictive prevalence (PPV) was very similar to TSS and is therefore not shown.</w:t>
      </w:r>
    </w:p>
    <w:p w14:paraId="6A501D17" w14:textId="77777777" w:rsidR="00D96F43" w:rsidRDefault="00D96F43">
      <w:pPr>
        <w:spacing w:after="200" w:line="276" w:lineRule="auto"/>
        <w:jc w:val="left"/>
        <w:rPr>
          <w:rFonts w:cs="Times New Roman"/>
          <w:bCs/>
          <w:color w:val="000000" w:themeColor="text1"/>
          <w:szCs w:val="20"/>
        </w:rPr>
      </w:pPr>
      <w:r>
        <w:rPr>
          <w:rFonts w:cs="Times New Roman"/>
          <w:b/>
          <w:color w:val="000000" w:themeColor="text1"/>
          <w:szCs w:val="20"/>
        </w:rPr>
        <w:br w:type="page"/>
      </w:r>
    </w:p>
    <w:p w14:paraId="1B518C6F" w14:textId="37F2E7B1" w:rsidR="00021DD6" w:rsidRPr="00294BBF" w:rsidRDefault="00D96F43" w:rsidP="00C46184">
      <w:pPr>
        <w:pStyle w:val="Billedtekst"/>
        <w:spacing w:line="480" w:lineRule="auto"/>
        <w:rPr>
          <w:rFonts w:ascii="Times New Roman" w:hAnsi="Times New Roman" w:cs="Times New Roman"/>
          <w:b w:val="0"/>
          <w:color w:val="000000" w:themeColor="text1"/>
          <w:szCs w:val="20"/>
        </w:rPr>
      </w:pPr>
      <w:r>
        <w:rPr>
          <w:rFonts w:ascii="Times New Roman" w:hAnsi="Times New Roman" w:cs="Times New Roman"/>
          <w:b w:val="0"/>
          <w:noProof/>
          <w:color w:val="000000" w:themeColor="text1"/>
          <w:szCs w:val="20"/>
          <w:lang w:val="da-DK" w:eastAsia="da-DK" w:bidi="ar-SA"/>
        </w:rPr>
        <w:lastRenderedPageBreak/>
        <w:drawing>
          <wp:inline distT="0" distB="0" distL="0" distR="0" wp14:anchorId="7CAF36C2" wp14:editId="55EA5BE4">
            <wp:extent cx="5400040" cy="2593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8.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2593975"/>
                    </a:xfrm>
                    <a:prstGeom prst="rect">
                      <a:avLst/>
                    </a:prstGeom>
                  </pic:spPr>
                </pic:pic>
              </a:graphicData>
            </a:graphic>
          </wp:inline>
        </w:drawing>
      </w:r>
    </w:p>
    <w:p w14:paraId="556D2353" w14:textId="15475381" w:rsidR="00D96F43" w:rsidRDefault="00021DD6" w:rsidP="00021DD6">
      <w:pPr>
        <w:pStyle w:val="Billedtekst"/>
        <w:spacing w:line="480" w:lineRule="auto"/>
        <w:rPr>
          <w:rFonts w:ascii="Times New Roman" w:hAnsi="Times New Roman" w:cs="Times New Roman"/>
          <w:b w:val="0"/>
          <w:color w:val="000000" w:themeColor="text1"/>
        </w:rPr>
      </w:pPr>
      <w:proofErr w:type="gramStart"/>
      <w:r w:rsidRPr="00294BBF">
        <w:rPr>
          <w:rFonts w:ascii="Times New Roman" w:hAnsi="Times New Roman" w:cs="Times New Roman"/>
          <w:color w:val="000000" w:themeColor="text1"/>
        </w:rPr>
        <w:t>Figure</w:t>
      </w:r>
      <w:r w:rsidR="008A7F42" w:rsidRPr="00294BBF">
        <w:rPr>
          <w:rFonts w:ascii="Times New Roman" w:hAnsi="Times New Roman" w:cs="Times New Roman"/>
          <w:color w:val="000000" w:themeColor="text1"/>
        </w:rPr>
        <w:t xml:space="preserve"> 8</w:t>
      </w:r>
      <w:r w:rsidRPr="00294BBF">
        <w:rPr>
          <w:rFonts w:ascii="Times New Roman" w:hAnsi="Times New Roman" w:cs="Times New Roman"/>
          <w:color w:val="000000" w:themeColor="text1"/>
        </w:rPr>
        <w:t>.</w:t>
      </w:r>
      <w:proofErr w:type="gramEnd"/>
      <w:r w:rsidRPr="00294BBF">
        <w:rPr>
          <w:rFonts w:ascii="Times New Roman" w:hAnsi="Times New Roman" w:cs="Times New Roman"/>
          <w:color w:val="000000" w:themeColor="text1"/>
        </w:rPr>
        <w:t xml:space="preserve"> </w:t>
      </w:r>
      <w:r w:rsidRPr="00294BBF">
        <w:rPr>
          <w:rFonts w:ascii="Times New Roman" w:hAnsi="Times New Roman" w:cs="Times New Roman"/>
          <w:b w:val="0"/>
          <w:color w:val="000000" w:themeColor="text1"/>
        </w:rPr>
        <w:t xml:space="preserve">Map of </w:t>
      </w:r>
      <w:r w:rsidR="00EE5F88">
        <w:rPr>
          <w:rFonts w:ascii="Times New Roman" w:hAnsi="Times New Roman" w:cs="Times New Roman"/>
          <w:b w:val="0"/>
          <w:color w:val="000000" w:themeColor="text1"/>
        </w:rPr>
        <w:t xml:space="preserve">CPR </w:t>
      </w:r>
      <w:r w:rsidRPr="00294BBF">
        <w:rPr>
          <w:rFonts w:ascii="Times New Roman" w:hAnsi="Times New Roman" w:cs="Times New Roman"/>
          <w:b w:val="0"/>
          <w:color w:val="000000" w:themeColor="text1"/>
        </w:rPr>
        <w:t xml:space="preserve">larval-presence probabilities </w:t>
      </w:r>
      <w:r w:rsidR="00EE5F88">
        <w:rPr>
          <w:rFonts w:ascii="Times New Roman" w:hAnsi="Times New Roman" w:cs="Times New Roman"/>
          <w:b w:val="0"/>
          <w:color w:val="000000" w:themeColor="text1"/>
        </w:rPr>
        <w:t>(</w:t>
      </w:r>
      <w:r w:rsidRPr="00294BBF">
        <w:rPr>
          <w:rFonts w:ascii="Times New Roman" w:hAnsi="Times New Roman" w:cs="Times New Roman"/>
          <w:b w:val="0"/>
          <w:color w:val="000000" w:themeColor="text1"/>
        </w:rPr>
        <w:t>a proxy for blue whiting spawning distributions</w:t>
      </w:r>
      <w:r w:rsidR="00EE5F88">
        <w:rPr>
          <w:rFonts w:ascii="Times New Roman" w:hAnsi="Times New Roman" w:cs="Times New Roman"/>
          <w:b w:val="0"/>
          <w:color w:val="000000" w:themeColor="text1"/>
        </w:rPr>
        <w:t>)</w:t>
      </w:r>
      <w:r w:rsidRPr="00294BBF">
        <w:rPr>
          <w:rFonts w:ascii="Times New Roman" w:hAnsi="Times New Roman" w:cs="Times New Roman"/>
          <w:b w:val="0"/>
          <w:color w:val="000000" w:themeColor="text1"/>
        </w:rPr>
        <w:t xml:space="preserve"> </w:t>
      </w:r>
      <w:r w:rsidR="00EE5F88">
        <w:rPr>
          <w:rFonts w:ascii="Times New Roman" w:hAnsi="Times New Roman" w:cs="Times New Roman"/>
          <w:b w:val="0"/>
          <w:color w:val="000000" w:themeColor="text1"/>
        </w:rPr>
        <w:t xml:space="preserve">estimated </w:t>
      </w:r>
      <w:r w:rsidRPr="00294BBF">
        <w:rPr>
          <w:rFonts w:ascii="Times New Roman" w:hAnsi="Times New Roman" w:cs="Times New Roman"/>
          <w:b w:val="0"/>
          <w:color w:val="000000" w:themeColor="text1"/>
        </w:rPr>
        <w:t xml:space="preserve">by the SDM </w:t>
      </w:r>
      <w:r w:rsidR="004E1BBE">
        <w:rPr>
          <w:rFonts w:ascii="Times New Roman" w:hAnsi="Times New Roman" w:cs="Times New Roman"/>
          <w:b w:val="0"/>
          <w:color w:val="000000" w:themeColor="text1"/>
        </w:rPr>
        <w:t xml:space="preserve">in April </w:t>
      </w:r>
      <w:r w:rsidRPr="00294BBF">
        <w:rPr>
          <w:rFonts w:ascii="Times New Roman" w:hAnsi="Times New Roman" w:cs="Times New Roman"/>
          <w:b w:val="0"/>
          <w:color w:val="000000" w:themeColor="text1"/>
        </w:rPr>
        <w:t xml:space="preserve">during a) the </w:t>
      </w:r>
      <w:r w:rsidR="003F437A" w:rsidRPr="00294BBF">
        <w:rPr>
          <w:rFonts w:ascii="Times New Roman" w:hAnsi="Times New Roman" w:cs="Times New Roman"/>
          <w:b w:val="0"/>
          <w:color w:val="000000" w:themeColor="text1"/>
        </w:rPr>
        <w:t xml:space="preserve">more saline and warmer </w:t>
      </w:r>
      <w:r w:rsidRPr="00294BBF">
        <w:rPr>
          <w:rFonts w:ascii="Times New Roman" w:hAnsi="Times New Roman" w:cs="Times New Roman"/>
          <w:b w:val="0"/>
          <w:color w:val="000000" w:themeColor="text1"/>
        </w:rPr>
        <w:t xml:space="preserve">and b) and </w:t>
      </w:r>
      <w:r w:rsidR="003F437A" w:rsidRPr="00294BBF">
        <w:rPr>
          <w:rFonts w:ascii="Times New Roman" w:hAnsi="Times New Roman" w:cs="Times New Roman"/>
          <w:b w:val="0"/>
          <w:color w:val="000000" w:themeColor="text1"/>
        </w:rPr>
        <w:t xml:space="preserve">fresher and colder </w:t>
      </w:r>
      <w:r w:rsidR="00675563" w:rsidRPr="00294BBF">
        <w:rPr>
          <w:rFonts w:ascii="Times New Roman" w:hAnsi="Times New Roman" w:cs="Times New Roman"/>
          <w:b w:val="0"/>
          <w:color w:val="000000" w:themeColor="text1"/>
        </w:rPr>
        <w:t>regime</w:t>
      </w:r>
      <w:r w:rsidRPr="00294BBF">
        <w:rPr>
          <w:rFonts w:ascii="Times New Roman" w:hAnsi="Times New Roman" w:cs="Times New Roman"/>
          <w:b w:val="0"/>
          <w:color w:val="000000" w:themeColor="text1"/>
        </w:rPr>
        <w:t xml:space="preserve"> and c) the probability difference between the two regimes. The probability difference was calculated by subtracting the </w:t>
      </w:r>
      <w:r w:rsidR="008C4451">
        <w:rPr>
          <w:rFonts w:ascii="Times New Roman" w:hAnsi="Times New Roman" w:cs="Times New Roman"/>
          <w:b w:val="0"/>
          <w:color w:val="000000" w:themeColor="text1"/>
        </w:rPr>
        <w:t xml:space="preserve">CPR </w:t>
      </w:r>
      <w:r w:rsidRPr="00294BBF">
        <w:rPr>
          <w:rFonts w:ascii="Times New Roman" w:hAnsi="Times New Roman" w:cs="Times New Roman"/>
          <w:b w:val="0"/>
          <w:color w:val="000000" w:themeColor="text1"/>
        </w:rPr>
        <w:t xml:space="preserve">larval-presence probability encountered during the saline &amp; warm regime by </w:t>
      </w:r>
      <w:r w:rsidR="006D46DB">
        <w:rPr>
          <w:rFonts w:ascii="Times New Roman" w:hAnsi="Times New Roman" w:cs="Times New Roman"/>
          <w:b w:val="0"/>
          <w:color w:val="000000" w:themeColor="text1"/>
        </w:rPr>
        <w:t>that</w:t>
      </w:r>
      <w:r w:rsidRPr="00294BBF">
        <w:rPr>
          <w:rFonts w:ascii="Times New Roman" w:hAnsi="Times New Roman" w:cs="Times New Roman"/>
          <w:b w:val="0"/>
          <w:color w:val="000000" w:themeColor="text1"/>
        </w:rPr>
        <w:t xml:space="preserve"> during fresh &amp; cold regime. Accordingly, positive values (red) correspond to higher probability of </w:t>
      </w:r>
      <w:r w:rsidR="00F7760C">
        <w:rPr>
          <w:rFonts w:ascii="Times New Roman" w:hAnsi="Times New Roman" w:cs="Times New Roman"/>
          <w:b w:val="0"/>
          <w:color w:val="000000" w:themeColor="text1"/>
        </w:rPr>
        <w:t xml:space="preserve">larval </w:t>
      </w:r>
      <w:r w:rsidRPr="00294BBF">
        <w:rPr>
          <w:rFonts w:ascii="Times New Roman" w:hAnsi="Times New Roman" w:cs="Times New Roman"/>
          <w:b w:val="0"/>
          <w:color w:val="000000" w:themeColor="text1"/>
        </w:rPr>
        <w:t xml:space="preserve">observation during a saline &amp; warm regime compared to the fresher &amp; colder regime. </w:t>
      </w:r>
      <w:r w:rsidR="00675563" w:rsidRPr="00294BBF">
        <w:rPr>
          <w:rFonts w:ascii="Times New Roman" w:hAnsi="Times New Roman" w:cs="Times New Roman"/>
          <w:b w:val="0"/>
          <w:color w:val="000000" w:themeColor="text1"/>
        </w:rPr>
        <w:t>The black lines indicate the 700 m isobaths.</w:t>
      </w:r>
    </w:p>
    <w:p w14:paraId="6C5B2FB6" w14:textId="77777777" w:rsidR="00D96F43" w:rsidRDefault="00D96F43">
      <w:pPr>
        <w:spacing w:after="200" w:line="276" w:lineRule="auto"/>
        <w:jc w:val="left"/>
        <w:rPr>
          <w:rFonts w:cs="Times New Roman"/>
          <w:bCs/>
          <w:color w:val="000000" w:themeColor="text1"/>
          <w:szCs w:val="18"/>
        </w:rPr>
      </w:pPr>
      <w:r>
        <w:rPr>
          <w:rFonts w:cs="Times New Roman"/>
          <w:b/>
          <w:color w:val="000000" w:themeColor="text1"/>
        </w:rPr>
        <w:br w:type="page"/>
      </w:r>
    </w:p>
    <w:p w14:paraId="56339E28" w14:textId="44941A82" w:rsidR="00021DD6" w:rsidRPr="00294BBF" w:rsidRDefault="00D96F43" w:rsidP="00021DD6">
      <w:pPr>
        <w:pStyle w:val="Billedtekst"/>
        <w:spacing w:line="480" w:lineRule="auto"/>
        <w:rPr>
          <w:rFonts w:ascii="Times New Roman" w:hAnsi="Times New Roman" w:cs="Times New Roman"/>
          <w:b w:val="0"/>
          <w:color w:val="000000" w:themeColor="text1"/>
        </w:rPr>
      </w:pPr>
      <w:r>
        <w:rPr>
          <w:rFonts w:ascii="Times New Roman" w:hAnsi="Times New Roman" w:cs="Times New Roman"/>
          <w:b w:val="0"/>
          <w:noProof/>
          <w:color w:val="000000" w:themeColor="text1"/>
          <w:lang w:val="da-DK" w:eastAsia="da-DK" w:bidi="ar-SA"/>
        </w:rPr>
        <w:lastRenderedPageBreak/>
        <w:drawing>
          <wp:inline distT="0" distB="0" distL="0" distR="0" wp14:anchorId="00C9BBE8" wp14:editId="17ECC484">
            <wp:extent cx="2807214" cy="50383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9.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7214" cy="5038354"/>
                    </a:xfrm>
                    <a:prstGeom prst="rect">
                      <a:avLst/>
                    </a:prstGeom>
                  </pic:spPr>
                </pic:pic>
              </a:graphicData>
            </a:graphic>
          </wp:inline>
        </w:drawing>
      </w:r>
    </w:p>
    <w:p w14:paraId="4AF5F78B" w14:textId="6F3DBEC9" w:rsidR="00D96F43" w:rsidRDefault="00021DD6" w:rsidP="00D96F43">
      <w:pPr>
        <w:pStyle w:val="Billedtekst"/>
        <w:spacing w:line="480" w:lineRule="auto"/>
        <w:rPr>
          <w:rFonts w:ascii="Times New Roman" w:hAnsi="Times New Roman" w:cs="Times New Roman"/>
          <w:b w:val="0"/>
          <w:color w:val="000000" w:themeColor="text1"/>
        </w:rPr>
      </w:pPr>
      <w:proofErr w:type="gramStart"/>
      <w:r w:rsidRPr="00294BBF">
        <w:rPr>
          <w:rFonts w:ascii="Times New Roman" w:hAnsi="Times New Roman" w:cs="Times New Roman"/>
          <w:color w:val="000000" w:themeColor="text1"/>
        </w:rPr>
        <w:t>Figure</w:t>
      </w:r>
      <w:r w:rsidR="008A7F42" w:rsidRPr="00294BBF">
        <w:rPr>
          <w:rFonts w:ascii="Times New Roman" w:hAnsi="Times New Roman" w:cs="Times New Roman"/>
          <w:color w:val="000000" w:themeColor="text1"/>
        </w:rPr>
        <w:t xml:space="preserve"> 9</w:t>
      </w:r>
      <w:r w:rsidRPr="00294BBF">
        <w:rPr>
          <w:rFonts w:ascii="Times New Roman" w:hAnsi="Times New Roman" w:cs="Times New Roman"/>
          <w:color w:val="000000" w:themeColor="text1"/>
        </w:rPr>
        <w:t>.</w:t>
      </w:r>
      <w:proofErr w:type="gramEnd"/>
      <w:r w:rsidRPr="00294BBF">
        <w:rPr>
          <w:rFonts w:ascii="Times New Roman" w:hAnsi="Times New Roman" w:cs="Times New Roman"/>
          <w:b w:val="0"/>
          <w:color w:val="000000" w:themeColor="text1"/>
        </w:rPr>
        <w:t xml:space="preserve"> Presence frequency of spawning blue whiting (number of pixels with presences) observed in a) scientific surveys and b) caught in fisheries during March compared to the salinity at which these observations were made (bars). The solid (blue) line indicates the modelled smooth function of blue whiting larval</w:t>
      </w:r>
      <w:r w:rsidR="00444F6E" w:rsidRPr="00294BBF">
        <w:rPr>
          <w:rFonts w:ascii="Times New Roman" w:hAnsi="Times New Roman" w:cs="Times New Roman"/>
          <w:b w:val="0"/>
          <w:color w:val="000000" w:themeColor="text1"/>
        </w:rPr>
        <w:t>-presence obtained from the SDM</w:t>
      </w:r>
      <w:r w:rsidRPr="00294BBF">
        <w:rPr>
          <w:rFonts w:ascii="Times New Roman" w:hAnsi="Times New Roman" w:cs="Times New Roman"/>
          <w:b w:val="0"/>
          <w:color w:val="000000" w:themeColor="text1"/>
        </w:rPr>
        <w:t xml:space="preserve"> (</w:t>
      </w:r>
      <w:r w:rsidR="008A7F42" w:rsidRPr="00294BBF">
        <w:rPr>
          <w:rFonts w:ascii="Times New Roman" w:hAnsi="Times New Roman" w:cs="Times New Roman"/>
          <w:b w:val="0"/>
          <w:color w:val="000000" w:themeColor="text1"/>
        </w:rPr>
        <w:t>Fig. 6</w:t>
      </w:r>
      <w:r w:rsidRPr="00294BBF">
        <w:rPr>
          <w:rFonts w:ascii="Times New Roman" w:hAnsi="Times New Roman" w:cs="Times New Roman"/>
          <w:b w:val="0"/>
          <w:color w:val="000000" w:themeColor="text1"/>
        </w:rPr>
        <w:t>d), w</w:t>
      </w:r>
      <w:r w:rsidR="00444F6E" w:rsidRPr="00294BBF">
        <w:rPr>
          <w:rFonts w:ascii="Times New Roman" w:hAnsi="Times New Roman" w:cs="Times New Roman"/>
          <w:b w:val="0"/>
          <w:color w:val="000000" w:themeColor="text1"/>
        </w:rPr>
        <w:t>ith dashed lines  indicating the 95% confidence interval</w:t>
      </w:r>
      <w:r w:rsidRPr="00294BBF">
        <w:rPr>
          <w:rFonts w:ascii="Times New Roman" w:hAnsi="Times New Roman" w:cs="Times New Roman"/>
          <w:b w:val="0"/>
          <w:color w:val="000000" w:themeColor="text1"/>
        </w:rPr>
        <w:t xml:space="preserve">. </w:t>
      </w:r>
    </w:p>
    <w:p w14:paraId="2ECD1D48" w14:textId="77777777" w:rsidR="00D96F43" w:rsidRDefault="00D96F43">
      <w:pPr>
        <w:spacing w:after="200" w:line="276" w:lineRule="auto"/>
        <w:jc w:val="left"/>
        <w:rPr>
          <w:rFonts w:cs="Times New Roman"/>
          <w:bCs/>
          <w:color w:val="000000" w:themeColor="text1"/>
          <w:szCs w:val="18"/>
        </w:rPr>
      </w:pPr>
      <w:r>
        <w:rPr>
          <w:rFonts w:cs="Times New Roman"/>
          <w:b/>
          <w:color w:val="000000" w:themeColor="text1"/>
        </w:rPr>
        <w:br w:type="page"/>
      </w:r>
    </w:p>
    <w:p w14:paraId="3481B65C" w14:textId="54B163EC" w:rsidR="00D96F43" w:rsidRPr="00D96F43" w:rsidRDefault="00D96F43" w:rsidP="00D96F43">
      <w:pPr>
        <w:pStyle w:val="Billedtekst"/>
        <w:spacing w:line="480" w:lineRule="auto"/>
        <w:rPr>
          <w:rFonts w:ascii="Times New Roman" w:hAnsi="Times New Roman" w:cs="Times New Roman"/>
          <w:b w:val="0"/>
          <w:color w:val="000000" w:themeColor="text1"/>
        </w:rPr>
      </w:pPr>
      <w:r>
        <w:rPr>
          <w:rFonts w:ascii="Times New Roman" w:hAnsi="Times New Roman" w:cs="Times New Roman"/>
          <w:b w:val="0"/>
          <w:noProof/>
          <w:color w:val="000000" w:themeColor="text1"/>
          <w:lang w:val="da-DK" w:eastAsia="da-DK" w:bidi="ar-SA"/>
        </w:rPr>
        <w:lastRenderedPageBreak/>
        <w:drawing>
          <wp:inline distT="0" distB="0" distL="0" distR="0" wp14:anchorId="34532D9A" wp14:editId="5DAF89E9">
            <wp:extent cx="5400040" cy="50450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10.tif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5045075"/>
                    </a:xfrm>
                    <a:prstGeom prst="rect">
                      <a:avLst/>
                    </a:prstGeom>
                  </pic:spPr>
                </pic:pic>
              </a:graphicData>
            </a:graphic>
          </wp:inline>
        </w:drawing>
      </w:r>
    </w:p>
    <w:p w14:paraId="641B8E72" w14:textId="2FB2ED54" w:rsidR="00021DD6" w:rsidRPr="00294BBF" w:rsidRDefault="00021DD6" w:rsidP="00C920CB">
      <w:pPr>
        <w:pStyle w:val="Billedtekst"/>
        <w:spacing w:line="480" w:lineRule="auto"/>
        <w:rPr>
          <w:rFonts w:eastAsiaTheme="minorHAnsi" w:cs="Times New Roman"/>
          <w:color w:val="000000" w:themeColor="text1"/>
          <w:szCs w:val="24"/>
          <w:lang w:val="en-US" w:eastAsia="en-US" w:bidi="ar-SA"/>
        </w:rPr>
      </w:pPr>
      <w:proofErr w:type="gramStart"/>
      <w:r w:rsidRPr="00294BBF">
        <w:rPr>
          <w:rFonts w:ascii="Times New Roman" w:hAnsi="Times New Roman" w:cs="Times New Roman"/>
          <w:color w:val="000000" w:themeColor="text1"/>
        </w:rPr>
        <w:t>Figure</w:t>
      </w:r>
      <w:r w:rsidR="008A7F42" w:rsidRPr="00294BBF">
        <w:rPr>
          <w:rFonts w:ascii="Times New Roman" w:hAnsi="Times New Roman" w:cs="Times New Roman"/>
          <w:color w:val="000000" w:themeColor="text1"/>
        </w:rPr>
        <w:t xml:space="preserve"> 10</w:t>
      </w:r>
      <w:r w:rsidRPr="00294BBF">
        <w:rPr>
          <w:rFonts w:ascii="Times New Roman" w:hAnsi="Times New Roman" w:cs="Times New Roman"/>
          <w:color w:val="000000" w:themeColor="text1"/>
        </w:rPr>
        <w:t>.</w:t>
      </w:r>
      <w:proofErr w:type="gramEnd"/>
      <w:r w:rsidRPr="00294BBF">
        <w:rPr>
          <w:rFonts w:ascii="Times New Roman" w:hAnsi="Times New Roman" w:cs="Times New Roman"/>
          <w:color w:val="000000" w:themeColor="text1"/>
        </w:rPr>
        <w:t xml:space="preserve"> </w:t>
      </w:r>
      <w:r w:rsidRPr="00294BBF">
        <w:rPr>
          <w:rFonts w:ascii="Times New Roman" w:hAnsi="Times New Roman" w:cs="Times New Roman"/>
          <w:b w:val="0"/>
          <w:color w:val="000000" w:themeColor="text1"/>
        </w:rPr>
        <w:t>Distribution of blue whiting in</w:t>
      </w:r>
      <w:r w:rsidR="00612FE8" w:rsidRPr="00294BBF">
        <w:rPr>
          <w:rFonts w:ascii="Times New Roman" w:hAnsi="Times New Roman" w:cs="Times New Roman"/>
          <w:b w:val="0"/>
          <w:color w:val="000000" w:themeColor="text1"/>
        </w:rPr>
        <w:t xml:space="preserve"> </w:t>
      </w:r>
      <w:r w:rsidR="00324B5A">
        <w:rPr>
          <w:rFonts w:ascii="Times New Roman" w:hAnsi="Times New Roman" w:cs="Times New Roman"/>
          <w:b w:val="0"/>
          <w:color w:val="000000" w:themeColor="text1"/>
        </w:rPr>
        <w:t>March</w:t>
      </w:r>
      <w:r w:rsidR="00324B5A" w:rsidRPr="00294BBF">
        <w:rPr>
          <w:rFonts w:ascii="Times New Roman" w:hAnsi="Times New Roman" w:cs="Times New Roman"/>
          <w:b w:val="0"/>
          <w:color w:val="000000" w:themeColor="text1"/>
        </w:rPr>
        <w:t xml:space="preserve"> </w:t>
      </w:r>
      <w:r w:rsidRPr="00294BBF">
        <w:rPr>
          <w:rFonts w:ascii="Times New Roman" w:hAnsi="Times New Roman" w:cs="Times New Roman"/>
          <w:b w:val="0"/>
          <w:color w:val="000000" w:themeColor="text1"/>
        </w:rPr>
        <w:t xml:space="preserve">2007 during the saline and warm regime (left) and in </w:t>
      </w:r>
      <w:r w:rsidR="00324B5A">
        <w:rPr>
          <w:rFonts w:ascii="Times New Roman" w:hAnsi="Times New Roman" w:cs="Times New Roman"/>
          <w:b w:val="0"/>
          <w:color w:val="000000" w:themeColor="text1"/>
        </w:rPr>
        <w:t>March</w:t>
      </w:r>
      <w:r w:rsidR="00324B5A" w:rsidRPr="00294BBF">
        <w:rPr>
          <w:rFonts w:ascii="Times New Roman" w:hAnsi="Times New Roman" w:cs="Times New Roman"/>
          <w:b w:val="0"/>
          <w:color w:val="000000" w:themeColor="text1"/>
        </w:rPr>
        <w:t xml:space="preserve"> </w:t>
      </w:r>
      <w:r w:rsidRPr="00294BBF">
        <w:rPr>
          <w:rFonts w:ascii="Times New Roman" w:hAnsi="Times New Roman" w:cs="Times New Roman"/>
          <w:b w:val="0"/>
          <w:color w:val="000000" w:themeColor="text1"/>
        </w:rPr>
        <w:t xml:space="preserve">1993 during the fresh and cold regime (right) obtained from the fisheries catch data (top, triangles) and the scientific surveys (bottom, circles). The blue </w:t>
      </w:r>
      <w:proofErr w:type="spellStart"/>
      <w:r w:rsidRPr="00294BBF">
        <w:rPr>
          <w:rFonts w:ascii="Times New Roman" w:hAnsi="Times New Roman" w:cs="Times New Roman"/>
          <w:b w:val="0"/>
          <w:color w:val="000000" w:themeColor="text1"/>
        </w:rPr>
        <w:t>isolines</w:t>
      </w:r>
      <w:proofErr w:type="spellEnd"/>
      <w:r w:rsidRPr="00294BBF">
        <w:rPr>
          <w:rFonts w:ascii="Times New Roman" w:hAnsi="Times New Roman" w:cs="Times New Roman"/>
          <w:b w:val="0"/>
          <w:color w:val="000000" w:themeColor="text1"/>
        </w:rPr>
        <w:t xml:space="preserve"> indicate the window of optimum salinity for</w:t>
      </w:r>
      <w:r w:rsidR="001D2B10" w:rsidRPr="00294BBF">
        <w:rPr>
          <w:rFonts w:ascii="Times New Roman" w:hAnsi="Times New Roman" w:cs="Times New Roman"/>
          <w:b w:val="0"/>
          <w:color w:val="000000" w:themeColor="text1"/>
        </w:rPr>
        <w:t xml:space="preserve"> spawning of blue whiting (35.3</w:t>
      </w:r>
      <w:r w:rsidRPr="00294BBF">
        <w:rPr>
          <w:rFonts w:ascii="Times New Roman" w:hAnsi="Times New Roman" w:cs="Times New Roman"/>
          <w:b w:val="0"/>
          <w:color w:val="000000" w:themeColor="text1"/>
        </w:rPr>
        <w:t xml:space="preserve"> &lt; S &lt; 35.0), averaged over blue whiting’s spawning depth (250 to 600 m) in March. The black lines indicate the 700 m isobaths and the grey shading the bathymetry. </w:t>
      </w:r>
      <w:r w:rsidR="00580FCD">
        <w:rPr>
          <w:rFonts w:ascii="Times New Roman" w:hAnsi="Times New Roman" w:cs="Times New Roman"/>
          <w:b w:val="0"/>
          <w:color w:val="000000" w:themeColor="text1"/>
        </w:rPr>
        <w:t xml:space="preserve">Colours correspond to the larval presence probability predicted to be observed in the CPR in the following month </w:t>
      </w:r>
      <w:r w:rsidR="00E117EA">
        <w:rPr>
          <w:rFonts w:ascii="Times New Roman" w:hAnsi="Times New Roman" w:cs="Times New Roman"/>
          <w:b w:val="0"/>
          <w:color w:val="000000" w:themeColor="text1"/>
        </w:rPr>
        <w:t xml:space="preserve">of the year in question </w:t>
      </w:r>
      <w:r w:rsidR="00580FCD">
        <w:rPr>
          <w:rFonts w:ascii="Times New Roman" w:hAnsi="Times New Roman" w:cs="Times New Roman"/>
          <w:b w:val="0"/>
          <w:color w:val="000000" w:themeColor="text1"/>
        </w:rPr>
        <w:t>(April).</w:t>
      </w:r>
    </w:p>
    <w:p w14:paraId="0D151125" w14:textId="2D313D74" w:rsidR="00D96F43" w:rsidRDefault="00D96F43">
      <w:pPr>
        <w:spacing w:after="200" w:line="276" w:lineRule="auto"/>
        <w:jc w:val="left"/>
        <w:rPr>
          <w:rFonts w:eastAsiaTheme="minorHAnsi" w:cs="Times New Roman"/>
          <w:color w:val="000000" w:themeColor="text1"/>
          <w:szCs w:val="24"/>
          <w:lang w:val="en-US" w:eastAsia="en-US" w:bidi="ar-SA"/>
        </w:rPr>
      </w:pPr>
      <w:r>
        <w:rPr>
          <w:rFonts w:eastAsiaTheme="minorHAnsi" w:cs="Times New Roman"/>
          <w:color w:val="000000" w:themeColor="text1"/>
          <w:szCs w:val="24"/>
          <w:lang w:val="en-US" w:eastAsia="en-US" w:bidi="ar-SA"/>
        </w:rPr>
        <w:br w:type="page"/>
      </w:r>
    </w:p>
    <w:p w14:paraId="1E2F4FBD" w14:textId="77777777" w:rsidR="00D96F43" w:rsidRPr="00923411" w:rsidRDefault="00D96F43" w:rsidP="00D96F43">
      <w:pPr>
        <w:pStyle w:val="Overskrift1"/>
        <w:rPr>
          <w:color w:val="000000" w:themeColor="text1"/>
        </w:rPr>
      </w:pPr>
      <w:r w:rsidRPr="00BE33DD">
        <w:rPr>
          <w:color w:val="000000" w:themeColor="text1"/>
        </w:rPr>
        <w:lastRenderedPageBreak/>
        <w:t>SUPPORTING INFORMATION</w:t>
      </w:r>
      <w:r>
        <w:rPr>
          <w:color w:val="000000" w:themeColor="text1"/>
        </w:rPr>
        <w:tab/>
      </w:r>
      <w:r>
        <w:rPr>
          <w:color w:val="000000" w:themeColor="text1"/>
        </w:rPr>
        <w:br/>
      </w:r>
    </w:p>
    <w:p w14:paraId="1812D277" w14:textId="77777777" w:rsidR="00D96F43" w:rsidRDefault="00D96F43" w:rsidP="00D96F43">
      <w:pPr>
        <w:rPr>
          <w:color w:val="000000" w:themeColor="text1"/>
        </w:rPr>
      </w:pPr>
      <w:r w:rsidRPr="00923411">
        <w:rPr>
          <w:color w:val="000000" w:themeColor="text1"/>
        </w:rPr>
        <w:t>The geographical model was adapted to incorporat</w:t>
      </w:r>
      <w:r>
        <w:rPr>
          <w:color w:val="000000" w:themeColor="text1"/>
        </w:rPr>
        <w:t>e</w:t>
      </w:r>
      <w:r w:rsidRPr="00923411">
        <w:rPr>
          <w:color w:val="000000" w:themeColor="text1"/>
        </w:rPr>
        <w:t xml:space="preserve"> abundance as </w:t>
      </w:r>
      <w:r>
        <w:rPr>
          <w:color w:val="000000" w:themeColor="text1"/>
        </w:rPr>
        <w:t xml:space="preserve">an </w:t>
      </w:r>
      <w:r w:rsidRPr="00923411">
        <w:rPr>
          <w:color w:val="000000" w:themeColor="text1"/>
        </w:rPr>
        <w:t xml:space="preserve">ordered categorical </w:t>
      </w:r>
      <w:r>
        <w:rPr>
          <w:color w:val="000000" w:themeColor="text1"/>
        </w:rPr>
        <w:t>variable</w:t>
      </w:r>
      <w:r w:rsidRPr="00923411">
        <w:rPr>
          <w:color w:val="000000" w:themeColor="text1"/>
        </w:rPr>
        <w:t xml:space="preserve"> by including the family argument </w:t>
      </w:r>
      <w:r>
        <w:rPr>
          <w:color w:val="000000" w:themeColor="text1"/>
        </w:rPr>
        <w:t>“</w:t>
      </w:r>
      <w:proofErr w:type="spellStart"/>
      <w:r w:rsidRPr="00923411">
        <w:rPr>
          <w:color w:val="000000" w:themeColor="text1"/>
        </w:rPr>
        <w:t>ocat</w:t>
      </w:r>
      <w:proofErr w:type="spellEnd"/>
      <w:r>
        <w:rPr>
          <w:color w:val="000000" w:themeColor="text1"/>
        </w:rPr>
        <w:t>”</w:t>
      </w:r>
      <w:r w:rsidRPr="00923411">
        <w:rPr>
          <w:color w:val="000000" w:themeColor="text1"/>
        </w:rPr>
        <w:t xml:space="preserve"> within the </w:t>
      </w:r>
      <w:proofErr w:type="spellStart"/>
      <w:r w:rsidRPr="00923411">
        <w:rPr>
          <w:color w:val="000000" w:themeColor="text1"/>
        </w:rPr>
        <w:t>mgcv</w:t>
      </w:r>
      <w:proofErr w:type="spellEnd"/>
      <w:r w:rsidRPr="00923411">
        <w:rPr>
          <w:color w:val="000000" w:themeColor="text1"/>
        </w:rPr>
        <w:t xml:space="preserve"> package including 7 categories</w:t>
      </w:r>
      <w:r>
        <w:rPr>
          <w:color w:val="000000" w:themeColor="text1"/>
        </w:rPr>
        <w:t xml:space="preserve"> in</w:t>
      </w:r>
      <w:r w:rsidRPr="00923411">
        <w:rPr>
          <w:color w:val="000000" w:themeColor="text1"/>
        </w:rPr>
        <w:t xml:space="preserve"> R</w:t>
      </w:r>
      <w:r>
        <w:rPr>
          <w:color w:val="000000" w:themeColor="text1"/>
        </w:rPr>
        <w:t xml:space="preserve"> </w:t>
      </w:r>
      <w:r>
        <w:rPr>
          <w:color w:val="000000" w:themeColor="text1"/>
        </w:rPr>
        <w:fldChar w:fldCharType="begin" w:fldLock="1"/>
      </w:r>
      <w:r>
        <w:rPr>
          <w:color w:val="000000" w:themeColor="text1"/>
        </w:rPr>
        <w:instrText>ADDIN CSL_CITATION { "citationItems" : [ { "id" : "ITEM-1", "itemData" : { "author" : [ { "dropping-particle" : "", "family" : "R Core Team", "given" : "", "non-dropping-particle" : "", "parse-names" : false, "suffix" : "" } ], "id" : "ITEM-1", "issued" : { "date-parts" : [ [ "2016" ] ] }, "number" : "3.3.2", "publisher" : "R Foundation for Statistical Computing", "publisher-place" : "Vienna", "title" : "R: A language and environment for statistical computing", "type" : "article" }, "uris" : [ "http://www.mendeley.com/documents/?uuid=1c5d2760-4da1-4acd-bfc9-393c31a738a5" ] } ], "mendeley" : { "formattedCitation" : "(R Core Team, 2016)", "manualFormatting" : "(version 3.3.2; R Core Team, 2016)", "plainTextFormattedCitation" : "(R Core Team, 2016)", "previouslyFormattedCitation" : "(R Core Team, 2016)" }, "properties" : { "noteIndex" : 0 }, "schema" : "https://github.com/citation-style-language/schema/raw/master/csl-citation.json" }</w:instrText>
      </w:r>
      <w:r>
        <w:rPr>
          <w:color w:val="000000" w:themeColor="text1"/>
        </w:rPr>
        <w:fldChar w:fldCharType="separate"/>
      </w:r>
      <w:r w:rsidRPr="00FA734B">
        <w:rPr>
          <w:noProof/>
          <w:color w:val="000000" w:themeColor="text1"/>
        </w:rPr>
        <w:t>(</w:t>
      </w:r>
      <w:r>
        <w:rPr>
          <w:noProof/>
          <w:color w:val="000000" w:themeColor="text1"/>
        </w:rPr>
        <w:t xml:space="preserve">version </w:t>
      </w:r>
      <w:r w:rsidRPr="00331A37">
        <w:rPr>
          <w:noProof/>
          <w:color w:val="000000" w:themeColor="text1"/>
        </w:rPr>
        <w:t>3.3.2</w:t>
      </w:r>
      <w:r>
        <w:rPr>
          <w:noProof/>
          <w:color w:val="000000" w:themeColor="text1"/>
        </w:rPr>
        <w:t xml:space="preserve">; </w:t>
      </w:r>
      <w:r w:rsidRPr="00FA734B">
        <w:rPr>
          <w:noProof/>
          <w:color w:val="000000" w:themeColor="text1"/>
        </w:rPr>
        <w:t>R Core Team, 2016)</w:t>
      </w:r>
      <w:r>
        <w:rPr>
          <w:color w:val="000000" w:themeColor="text1"/>
        </w:rPr>
        <w:fldChar w:fldCharType="end"/>
      </w:r>
      <w:r w:rsidRPr="00923411">
        <w:rPr>
          <w:color w:val="000000" w:themeColor="text1"/>
        </w:rPr>
        <w:t xml:space="preserve">. The first six categories corresponded to the abundance classes in which zooplankton and fish larvae are classified within the CPR data, consisting of larval abundances of : 0, 1, 2, 3, 4-11, 12-25 </w:t>
      </w:r>
      <w:r w:rsidRPr="00923411">
        <w:rPr>
          <w:color w:val="000000" w:themeColor="text1"/>
        </w:rPr>
        <w:fldChar w:fldCharType="begin" w:fldLock="1"/>
      </w:r>
      <w:r w:rsidRPr="00923411">
        <w:rPr>
          <w:color w:val="000000" w:themeColor="text1"/>
        </w:rPr>
        <w:instrText>ADDIN CSL_CITATION { "citationItems" : [ { "id" : "ITEM-1", "itemData" : { "DOI" : "10.1016/j.pocean.2005.09.011", "ISBN" : "0079-6611", "ISSN" : "00796611", "abstract" : "The continuous plankton recorder (CPR) survey is the largest multi-decadal plankton monitoring programme in the world. It was initiated in 1931 and by the end of 2004 had counted 207,619 samples and identified 437 phyto- and zooplankton taxa throughout the North Atlantic. CPR data are used extensively by the research community and in recent years have been used increasingly to underpin marine management. Here, we take a critical look at how best to use CPR data. We first describe the CPR itself, CPR sampling, and plankton counting procedures. We discuss the spatial and temporal biases in the Survey, summarise environmental data that have not previously been available, and describe the new data access policy. We supply information essential to using CPR data, including descriptions of each CPR taxonomic entity, the idiosyncrasies associated with counting many of the taxa, the logic behind taxonomic changes in the Survey, the semi-quantitative nature of CPR sampling, and recommendations on choosing the spatial and temporal scale of study. This forms the basis for a broader discussion on how to use CPR data for deriving ecologically meaningful indices based on size, functional groups and biomass that can be used to support research and management. This contribution should be useful for plankton ecologists, modellers and policy makers that actively use CPR data. ?? 2005 Elsevier Ltd. All rights reserved.", "author" : [ { "dropping-particle" : "", "family" : "Richardson", "given" : "A J.", "non-dropping-particle" : "", "parse-names" : false, "suffix" : "" }, { "dropping-particle" : "", "family" : "Walne", "given" : "A. W.", "non-dropping-particle" : "", "parse-names" : false, "suffix" : "" }, { "dropping-particle" : "", "family" : "John", "given" : "A. W G", "non-dropping-particle" : "", "parse-names" : false, "suffix" : "" }, { "dropping-particle" : "", "family" : "Jonas", "given" : "T. D.", "non-dropping-particle" : "", "parse-names" : false, "suffix" : "" }, { "dropping-particle" : "", "family" : "Lindley", "given" : "J. A.", "non-dropping-particle" : "", "parse-names" : false, "suffix" : "" }, { "dropping-particle" : "", "family" : "Sims", "given" : "D. W.", "non-dropping-particle" : "", "parse-names" : false, "suffix" : "" }, { "dropping-particle" : "", "family" : "Stevens", "given" : "D.", "non-dropping-particle" : "", "parse-names" : false, "suffix" : "" }, { "dropping-particle" : "", "family" : "Witt", "given" : "M.", "non-dropping-particle" : "", "parse-names" : false, "suffix" : "" } ], "container-title" : "Progress in Oceanography", "id" : "ITEM-1", "issue" : "1", "issued" : { "date-parts" : [ [ "2006" ] ] }, "page" : "27-74", "title" : "Using continuous plankton recorder data", "type" : "article-journal", "volume" : "68" }, "uris" : [ "http://www.mendeley.com/documents/?uuid=56f9dc5b-7680-4c3a-85c6-7864e378f7bb", "http://www.mendeley.com/documents/?uuid=e0942eb3-a84b-4e5d-a331-8b9a19da42f1"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instrText>
      </w:r>
      <w:r w:rsidRPr="00923411">
        <w:rPr>
          <w:color w:val="000000" w:themeColor="text1"/>
        </w:rPr>
        <w:fldChar w:fldCharType="separate"/>
      </w:r>
      <w:r w:rsidRPr="00923411">
        <w:rPr>
          <w:noProof/>
          <w:color w:val="000000" w:themeColor="text1"/>
        </w:rPr>
        <w:t xml:space="preserve">(Richardson </w:t>
      </w:r>
      <w:r w:rsidRPr="00923411">
        <w:rPr>
          <w:i/>
          <w:noProof/>
          <w:color w:val="000000" w:themeColor="text1"/>
        </w:rPr>
        <w:t>et al.</w:t>
      </w:r>
      <w:r w:rsidRPr="00923411">
        <w:rPr>
          <w:noProof/>
          <w:color w:val="000000" w:themeColor="text1"/>
        </w:rPr>
        <w:t>, 2006)</w:t>
      </w:r>
      <w:r w:rsidRPr="00923411">
        <w:rPr>
          <w:color w:val="000000" w:themeColor="text1"/>
        </w:rPr>
        <w:fldChar w:fldCharType="end"/>
      </w:r>
      <w:r w:rsidRPr="00923411">
        <w:rPr>
          <w:color w:val="000000" w:themeColor="text1"/>
        </w:rPr>
        <w:t xml:space="preserve">, while all abundance classes containing more than 25 larvae were grouped into one abundance class, since these consisted of less than 5% of the entire </w:t>
      </w:r>
      <w:r>
        <w:rPr>
          <w:color w:val="000000" w:themeColor="text1"/>
        </w:rPr>
        <w:t xml:space="preserve">presence </w:t>
      </w:r>
      <w:r w:rsidRPr="00923411">
        <w:rPr>
          <w:color w:val="000000" w:themeColor="text1"/>
        </w:rPr>
        <w:t>data</w:t>
      </w:r>
      <w:r w:rsidRPr="008E0503">
        <w:rPr>
          <w:b/>
          <w:color w:val="000000" w:themeColor="text1"/>
        </w:rPr>
        <w:t xml:space="preserve">. </w:t>
      </w:r>
      <w:r>
        <w:rPr>
          <w:color w:val="000000" w:themeColor="text1"/>
        </w:rPr>
        <w:t xml:space="preserve">A generalized additive model of the </w:t>
      </w:r>
      <w:r w:rsidRPr="00923411">
        <w:rPr>
          <w:color w:val="000000" w:themeColor="text1"/>
          <w:lang w:eastAsia="en-GB"/>
        </w:rPr>
        <w:t>abundance categories of blue whiting larvae with ordered categorical (</w:t>
      </w:r>
      <w:proofErr w:type="spellStart"/>
      <w:r w:rsidRPr="00923411">
        <w:rPr>
          <w:color w:val="000000" w:themeColor="text1"/>
          <w:lang w:eastAsia="en-GB"/>
        </w:rPr>
        <w:t>ocat</w:t>
      </w:r>
      <w:proofErr w:type="spellEnd"/>
      <w:r w:rsidRPr="00923411">
        <w:rPr>
          <w:color w:val="000000" w:themeColor="text1"/>
          <w:lang w:eastAsia="en-GB"/>
        </w:rPr>
        <w:t>) family</w:t>
      </w:r>
      <w:r>
        <w:rPr>
          <w:color w:val="000000" w:themeColor="text1"/>
        </w:rPr>
        <w:t xml:space="preserve"> was set up </w:t>
      </w:r>
      <w:r w:rsidRPr="00923411">
        <w:rPr>
          <w:color w:val="000000" w:themeColor="text1"/>
          <w:lang w:eastAsia="en-GB"/>
        </w:rPr>
        <w:t>(</w:t>
      </w:r>
      <w:proofErr w:type="spellStart"/>
      <w:r w:rsidRPr="00923411">
        <w:rPr>
          <w:color w:val="000000" w:themeColor="text1"/>
          <w:lang w:eastAsia="en-GB"/>
        </w:rPr>
        <w:t>dev.expl</w:t>
      </w:r>
      <w:proofErr w:type="spellEnd"/>
      <w:r w:rsidRPr="00923411">
        <w:rPr>
          <w:color w:val="000000" w:themeColor="text1"/>
          <w:lang w:eastAsia="en-GB"/>
        </w:rPr>
        <w:t>. = 45.9 %)</w:t>
      </w:r>
      <w:r>
        <w:rPr>
          <w:color w:val="000000" w:themeColor="text1"/>
        </w:rPr>
        <w:t xml:space="preserve"> applying the same model formulation as STI 1 (Table 2).</w:t>
      </w:r>
    </w:p>
    <w:p w14:paraId="2520F0AE" w14:textId="77777777" w:rsidR="00D96F43" w:rsidRDefault="00D96F43" w:rsidP="00D96F43">
      <w:pPr>
        <w:rPr>
          <w:color w:val="000000" w:themeColor="text1"/>
        </w:rPr>
      </w:pPr>
    </w:p>
    <w:p w14:paraId="7BBE07B1" w14:textId="77777777" w:rsidR="00D96F43" w:rsidRDefault="00D96F43" w:rsidP="00D96F43">
      <w:pPr>
        <w:rPr>
          <w:color w:val="000000" w:themeColor="text1"/>
        </w:rPr>
      </w:pPr>
    </w:p>
    <w:p w14:paraId="443A1241" w14:textId="77777777" w:rsidR="00D96F43" w:rsidRPr="00923411" w:rsidRDefault="00D96F43" w:rsidP="00D96F43">
      <w:pPr>
        <w:rPr>
          <w:color w:val="000000" w:themeColor="text1"/>
        </w:rPr>
      </w:pPr>
    </w:p>
    <w:p w14:paraId="02DB1252" w14:textId="77777777" w:rsidR="00D96F43" w:rsidRPr="00923411" w:rsidRDefault="00D96F43" w:rsidP="00D96F43">
      <w:pPr>
        <w:rPr>
          <w:color w:val="000000" w:themeColor="text1"/>
          <w:lang w:eastAsia="en-GB"/>
        </w:rPr>
      </w:pPr>
      <w:r w:rsidRPr="00923411">
        <w:rPr>
          <w:noProof/>
          <w:color w:val="000000" w:themeColor="text1"/>
          <w:lang w:val="da-DK" w:eastAsia="da-DK" w:bidi="ar-SA"/>
        </w:rPr>
        <w:drawing>
          <wp:inline distT="0" distB="0" distL="0" distR="0" wp14:anchorId="45ECA4D0" wp14:editId="227B98BB">
            <wp:extent cx="5400675" cy="2514600"/>
            <wp:effectExtent l="0" t="0" r="9525" b="0"/>
            <wp:docPr id="13" name="Picture 13" descr="C:\Users\s130920\Documents\Dokumente\DTU Aqua Work\Model\Figures\9D_5_Map_of_Probability_geomodel_total_expected_abundance_k6_and_pa_space-timer-int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130920\Documents\Dokumente\DTU Aqua Work\Model\Figures\9D_5_Map_of_Probability_geomodel_total_expected_abundance_k6_and_pa_space-timer-interp.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675" cy="2514600"/>
                    </a:xfrm>
                    <a:prstGeom prst="rect">
                      <a:avLst/>
                    </a:prstGeom>
                    <a:noFill/>
                    <a:ln>
                      <a:noFill/>
                    </a:ln>
                  </pic:spPr>
                </pic:pic>
              </a:graphicData>
            </a:graphic>
          </wp:inline>
        </w:drawing>
      </w:r>
    </w:p>
    <w:p w14:paraId="295A8AF0" w14:textId="77777777" w:rsidR="00D96F43" w:rsidRDefault="00D96F43" w:rsidP="00D96F43">
      <w:pPr>
        <w:pStyle w:val="Billedtekst"/>
        <w:spacing w:line="360" w:lineRule="auto"/>
        <w:rPr>
          <w:rFonts w:ascii="Times New Roman" w:hAnsi="Times New Roman" w:cs="Times New Roman"/>
          <w:b w:val="0"/>
          <w:color w:val="000000" w:themeColor="text1"/>
          <w:szCs w:val="20"/>
          <w:lang w:eastAsia="en-GB"/>
        </w:rPr>
      </w:pPr>
      <w:r w:rsidRPr="00923411">
        <w:rPr>
          <w:rFonts w:ascii="Times New Roman" w:hAnsi="Times New Roman" w:cs="Times New Roman"/>
          <w:color w:val="000000" w:themeColor="text1"/>
          <w:szCs w:val="20"/>
        </w:rPr>
        <w:lastRenderedPageBreak/>
        <w:t xml:space="preserve">Figure </w:t>
      </w:r>
      <w:r>
        <w:rPr>
          <w:rFonts w:ascii="Times New Roman" w:hAnsi="Times New Roman" w:cs="Times New Roman"/>
          <w:color w:val="000000" w:themeColor="text1"/>
          <w:szCs w:val="20"/>
        </w:rPr>
        <w:t>S</w:t>
      </w:r>
      <w:r w:rsidRPr="00923411">
        <w:rPr>
          <w:rFonts w:ascii="Times New Roman" w:hAnsi="Times New Roman" w:cs="Times New Roman"/>
          <w:color w:val="000000" w:themeColor="text1"/>
          <w:szCs w:val="20"/>
        </w:rPr>
        <w:t xml:space="preserve">1. </w:t>
      </w:r>
      <w:r w:rsidRPr="00923411">
        <w:rPr>
          <w:rFonts w:ascii="Times New Roman" w:hAnsi="Times New Roman" w:cs="Times New Roman"/>
          <w:b w:val="0"/>
          <w:color w:val="000000" w:themeColor="text1"/>
          <w:szCs w:val="20"/>
          <w:lang w:eastAsia="en-GB"/>
        </w:rPr>
        <w:t>Map of the overall expected abundance [number] a) and presence probability b) of blue whiting larvae in April</w:t>
      </w:r>
      <w:r>
        <w:rPr>
          <w:rFonts w:ascii="Times New Roman" w:hAnsi="Times New Roman" w:cs="Times New Roman"/>
          <w:b w:val="0"/>
          <w:color w:val="000000" w:themeColor="text1"/>
          <w:szCs w:val="20"/>
          <w:lang w:eastAsia="en-GB"/>
        </w:rPr>
        <w:t xml:space="preserve"> as modelled by STI 1 (Table 2)</w:t>
      </w:r>
      <w:r w:rsidRPr="00923411">
        <w:rPr>
          <w:rFonts w:ascii="Times New Roman" w:hAnsi="Times New Roman" w:cs="Times New Roman"/>
          <w:b w:val="0"/>
          <w:color w:val="000000" w:themeColor="text1"/>
          <w:szCs w:val="20"/>
          <w:lang w:eastAsia="en-GB"/>
        </w:rPr>
        <w:t xml:space="preserve">. The expected abundance is the product of the predicted probability and the accepted value in each pixel summed up for each abundance class </w:t>
      </w:r>
      <w:r w:rsidRPr="00923411">
        <w:rPr>
          <w:rFonts w:ascii="Times New Roman" w:hAnsi="Times New Roman" w:cs="Times New Roman"/>
          <w:b w:val="0"/>
          <w:color w:val="000000" w:themeColor="text1"/>
          <w:szCs w:val="20"/>
          <w:lang w:eastAsia="en-GB"/>
        </w:rPr>
        <w:fldChar w:fldCharType="begin" w:fldLock="1"/>
      </w:r>
      <w:r w:rsidRPr="00923411">
        <w:rPr>
          <w:rFonts w:ascii="Times New Roman" w:hAnsi="Times New Roman" w:cs="Times New Roman"/>
          <w:b w:val="0"/>
          <w:color w:val="000000" w:themeColor="text1"/>
          <w:szCs w:val="20"/>
          <w:lang w:eastAsia="en-GB"/>
        </w:rPr>
        <w:instrText>ADDIN CSL_CITATION { "citationItems" : [ { "id" : "ITEM-1", "itemData" : { "DOI" : "10.1016/j.pocean.2005.09.011", "ISBN" : "0079-6611", "ISSN" : "00796611", "abstract" : "The continuous plankton recorder (CPR) survey is the largest multi-decadal plankton monitoring programme in the world. It was initiated in 1931 and by the end of 2004 had counted 207,619 samples and identified 437 phyto- and zooplankton taxa throughout the North Atlantic. CPR data are used extensively by the research community and in recent years have been used increasingly to underpin marine management. Here, we take a critical look at how best to use CPR data. We first describe the CPR itself, CPR sampling, and plankton counting procedures. We discuss the spatial and temporal biases in the Survey, summarise environmental data that have not previously been available, and describe the new data access policy. We supply information essential to using CPR data, including descriptions of each CPR taxonomic entity, the idiosyncrasies associated with counting many of the taxa, the logic behind taxonomic changes in the Survey, the semi-quantitative nature of CPR sampling, and recommendations on choosing the spatial and temporal scale of study. This forms the basis for a broader discussion on how to use CPR data for deriving ecologically meaningful indices based on size, functional groups and biomass that can be used to support research and management. This contribution should be useful for plankton ecologists, modellers and policy makers that actively use CPR data. ?? 2005 Elsevier Ltd. All rights reserved.", "author" : [ { "dropping-particle" : "", "family" : "Richardson", "given" : "A J.", "non-dropping-particle" : "", "parse-names" : false, "suffix" : "" }, { "dropping-particle" : "", "family" : "Walne", "given" : "A. W.", "non-dropping-particle" : "", "parse-names" : false, "suffix" : "" }, { "dropping-particle" : "", "family" : "John", "given" : "A. W G", "non-dropping-particle" : "", "parse-names" : false, "suffix" : "" }, { "dropping-particle" : "", "family" : "Jonas", "given" : "T. D.", "non-dropping-particle" : "", "parse-names" : false, "suffix" : "" }, { "dropping-particle" : "", "family" : "Lindley", "given" : "J. A.", "non-dropping-particle" : "", "parse-names" : false, "suffix" : "" }, { "dropping-particle" : "", "family" : "Sims", "given" : "D. W.", "non-dropping-particle" : "", "parse-names" : false, "suffix" : "" }, { "dropping-particle" : "", "family" : "Stevens", "given" : "D.", "non-dropping-particle" : "", "parse-names" : false, "suffix" : "" }, { "dropping-particle" : "", "family" : "Witt", "given" : "M.", "non-dropping-particle" : "", "parse-names" : false, "suffix" : "" } ], "container-title" : "Progress in Oceanography", "id" : "ITEM-1", "issue" : "1", "issued" : { "date-parts" : [ [ "2006" ] ] }, "page" : "27-74", "title" : "Using continuous plankton recorder data", "type" : "article-journal", "volume" : "68" }, "uris" : [ "http://www.mendeley.com/documents/?uuid=56f9dc5b-7680-4c3a-85c6-7864e378f7bb", "http://www.mendeley.com/documents/?uuid=e0942eb3-a84b-4e5d-a331-8b9a19da42f1"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instrText>
      </w:r>
      <w:r w:rsidRPr="00923411">
        <w:rPr>
          <w:rFonts w:ascii="Times New Roman" w:hAnsi="Times New Roman" w:cs="Times New Roman"/>
          <w:b w:val="0"/>
          <w:color w:val="000000" w:themeColor="text1"/>
          <w:szCs w:val="20"/>
          <w:lang w:eastAsia="en-GB"/>
        </w:rPr>
        <w:fldChar w:fldCharType="separate"/>
      </w:r>
      <w:r w:rsidRPr="00923411">
        <w:rPr>
          <w:rFonts w:ascii="Times New Roman" w:hAnsi="Times New Roman" w:cs="Times New Roman"/>
          <w:b w:val="0"/>
          <w:noProof/>
          <w:color w:val="000000" w:themeColor="text1"/>
          <w:szCs w:val="20"/>
          <w:lang w:eastAsia="en-GB"/>
        </w:rPr>
        <w:t xml:space="preserve">(Richardson </w:t>
      </w:r>
      <w:r w:rsidRPr="00923411">
        <w:rPr>
          <w:rFonts w:ascii="Times New Roman" w:hAnsi="Times New Roman" w:cs="Times New Roman"/>
          <w:b w:val="0"/>
          <w:i/>
          <w:noProof/>
          <w:color w:val="000000" w:themeColor="text1"/>
          <w:szCs w:val="20"/>
          <w:lang w:eastAsia="en-GB"/>
        </w:rPr>
        <w:t>et al.</w:t>
      </w:r>
      <w:r w:rsidRPr="00923411">
        <w:rPr>
          <w:rFonts w:ascii="Times New Roman" w:hAnsi="Times New Roman" w:cs="Times New Roman"/>
          <w:b w:val="0"/>
          <w:noProof/>
          <w:color w:val="000000" w:themeColor="text1"/>
          <w:szCs w:val="20"/>
          <w:lang w:eastAsia="en-GB"/>
        </w:rPr>
        <w:t>, 2006)</w:t>
      </w:r>
      <w:r w:rsidRPr="00923411">
        <w:rPr>
          <w:rFonts w:ascii="Times New Roman" w:hAnsi="Times New Roman" w:cs="Times New Roman"/>
          <w:b w:val="0"/>
          <w:color w:val="000000" w:themeColor="text1"/>
          <w:szCs w:val="20"/>
          <w:lang w:eastAsia="en-GB"/>
        </w:rPr>
        <w:fldChar w:fldCharType="end"/>
      </w:r>
      <w:r w:rsidRPr="00923411">
        <w:rPr>
          <w:rFonts w:ascii="Times New Roman" w:hAnsi="Times New Roman" w:cs="Times New Roman"/>
          <w:b w:val="0"/>
          <w:color w:val="000000" w:themeColor="text1"/>
          <w:szCs w:val="20"/>
          <w:lang w:eastAsia="en-GB"/>
        </w:rPr>
        <w:t xml:space="preserve">. </w:t>
      </w:r>
    </w:p>
    <w:p w14:paraId="1190E70B" w14:textId="77777777" w:rsidR="00D96F43" w:rsidRDefault="00D96F43" w:rsidP="00D96F43">
      <w:pPr>
        <w:rPr>
          <w:lang w:eastAsia="en-GB"/>
        </w:rPr>
      </w:pPr>
      <w:r>
        <w:rPr>
          <w:noProof/>
          <w:lang w:val="da-DK" w:eastAsia="da-DK" w:bidi="ar-SA"/>
        </w:rPr>
        <w:drawing>
          <wp:inline distT="0" distB="0" distL="0" distR="0" wp14:anchorId="7A9EF740" wp14:editId="3F8050BB">
            <wp:extent cx="5400040" cy="2553480"/>
            <wp:effectExtent l="0" t="0" r="0" b="0"/>
            <wp:docPr id="11" name="Picture 11" descr="C:\Users\amie\Documents\DTU Aqua Work\Model\Figures\5B_2_Map_of_Probability_and_probDifference_warm-cold_in_APRIL_geomodel_feb-june_3regimes_incl_intermediate_regi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e\Documents\DTU Aqua Work\Model\Figures\5B_2_Map_of_Probability_and_probDifference_warm-cold_in_APRIL_geomodel_feb-june_3regimes_incl_intermediate_regime.tif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9060"/>
                    <a:stretch/>
                  </pic:blipFill>
                  <pic:spPr bwMode="auto">
                    <a:xfrm>
                      <a:off x="0" y="0"/>
                      <a:ext cx="5400040" cy="2553480"/>
                    </a:xfrm>
                    <a:prstGeom prst="rect">
                      <a:avLst/>
                    </a:prstGeom>
                    <a:noFill/>
                    <a:ln>
                      <a:noFill/>
                    </a:ln>
                    <a:extLst>
                      <a:ext uri="{53640926-AAD7-44D8-BBD7-CCE9431645EC}">
                        <a14:shadowObscured xmlns:a14="http://schemas.microsoft.com/office/drawing/2010/main"/>
                      </a:ext>
                    </a:extLst>
                  </pic:spPr>
                </pic:pic>
              </a:graphicData>
            </a:graphic>
          </wp:inline>
        </w:drawing>
      </w:r>
    </w:p>
    <w:p w14:paraId="7EFC50E8" w14:textId="77777777" w:rsidR="00D96F43" w:rsidRDefault="00D96F43" w:rsidP="00D96F43">
      <w:pPr>
        <w:spacing w:line="360" w:lineRule="auto"/>
        <w:rPr>
          <w:lang w:eastAsia="en-GB"/>
        </w:rPr>
      </w:pPr>
      <w:r>
        <w:rPr>
          <w:b/>
          <w:lang w:eastAsia="en-GB"/>
        </w:rPr>
        <w:t>Figure S2</w:t>
      </w:r>
      <w:r w:rsidRPr="00F21075">
        <w:rPr>
          <w:b/>
          <w:lang w:eastAsia="en-GB"/>
        </w:rPr>
        <w:t>.</w:t>
      </w:r>
      <w:r w:rsidRPr="00F21075">
        <w:rPr>
          <w:lang w:eastAsia="en-GB"/>
        </w:rPr>
        <w:t xml:space="preserve"> Map of predicted larval-presence probabilities as a proxy for blue whiting spawning distributions produced by the SDM during a) the more saline and warmer and b) and fresher and colder and the intermediate c) regime in April (1951-2016). The black lines indicate the 700 m isobaths.</w:t>
      </w:r>
    </w:p>
    <w:p w14:paraId="30B8D229" w14:textId="77777777" w:rsidR="00D96F43" w:rsidRDefault="00D96F43" w:rsidP="00D96F43">
      <w:pPr>
        <w:rPr>
          <w:lang w:eastAsia="en-GB"/>
        </w:rPr>
      </w:pPr>
    </w:p>
    <w:p w14:paraId="3D634EBA" w14:textId="77777777" w:rsidR="00D96F43" w:rsidRDefault="00D96F43" w:rsidP="00D96F43">
      <w:pPr>
        <w:rPr>
          <w:lang w:eastAsia="en-GB"/>
        </w:rPr>
      </w:pPr>
      <w:r>
        <w:rPr>
          <w:noProof/>
          <w:lang w:val="da-DK" w:eastAsia="da-DK" w:bidi="ar-SA"/>
        </w:rPr>
        <w:lastRenderedPageBreak/>
        <w:drawing>
          <wp:inline distT="0" distB="0" distL="0" distR="0" wp14:anchorId="38A5E0CA" wp14:editId="4EAD6A77">
            <wp:extent cx="3098800" cy="5401945"/>
            <wp:effectExtent l="0" t="0" r="6350" b="8255"/>
            <wp:docPr id="12" name="Picture 12" descr="C:\Users\amie\Documents\DTU Aqua Work\Model\Figures\5B_1geomodel_feb-june_3regimes_latitude_date_incl_no_regim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e\Documents\DTU Aqua Work\Model\Figures\5B_1geomodel_feb-june_3regimes_latitude_date_incl_no_regime.ti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8800" cy="5401945"/>
                    </a:xfrm>
                    <a:prstGeom prst="rect">
                      <a:avLst/>
                    </a:prstGeom>
                    <a:noFill/>
                    <a:ln>
                      <a:noFill/>
                    </a:ln>
                  </pic:spPr>
                </pic:pic>
              </a:graphicData>
            </a:graphic>
          </wp:inline>
        </w:drawing>
      </w:r>
    </w:p>
    <w:p w14:paraId="25D01BA0" w14:textId="77777777" w:rsidR="00D96F43" w:rsidRDefault="00D96F43" w:rsidP="00D96F43">
      <w:pPr>
        <w:pStyle w:val="Billedtekst"/>
        <w:spacing w:line="360" w:lineRule="auto"/>
        <w:rPr>
          <w:rFonts w:ascii="Times New Roman" w:eastAsiaTheme="minorHAnsi" w:hAnsi="Times New Roman" w:cs="Times New Roman"/>
          <w:b w:val="0"/>
          <w:szCs w:val="24"/>
        </w:rPr>
      </w:pPr>
      <w:r w:rsidRPr="00A444E4">
        <w:rPr>
          <w:lang w:eastAsia="en-GB"/>
        </w:rPr>
        <w:t>Figure S3.</w:t>
      </w:r>
      <w:bookmarkStart w:id="20" w:name="_Ref488002273"/>
      <w:r w:rsidRPr="00A444E4">
        <w:rPr>
          <w:rFonts w:cs="Times New Roman"/>
          <w:szCs w:val="24"/>
        </w:rPr>
        <w:t xml:space="preserve"> </w:t>
      </w:r>
      <w:bookmarkEnd w:id="20"/>
      <w:r w:rsidRPr="001131DA">
        <w:rPr>
          <w:rFonts w:ascii="Times New Roman" w:eastAsia="Times New Roman" w:hAnsi="Times New Roman" w:cs="Times New Roman"/>
          <w:b w:val="0"/>
          <w:noProof/>
          <w:szCs w:val="24"/>
          <w:lang w:eastAsia="en-GB" w:bidi="ar-SA"/>
        </w:rPr>
        <w:t xml:space="preserve">Latitude-Time plot of larval-observation probability during </w:t>
      </w:r>
      <w:r w:rsidRPr="001131DA">
        <w:rPr>
          <w:rFonts w:ascii="Times New Roman" w:eastAsiaTheme="minorHAnsi" w:hAnsi="Times New Roman" w:cs="Times New Roman"/>
          <w:b w:val="0"/>
          <w:szCs w:val="24"/>
          <w:lang w:eastAsia="en-US" w:bidi="ar-SA"/>
        </w:rPr>
        <w:t>the saline and warm a)</w:t>
      </w:r>
      <w:r>
        <w:rPr>
          <w:rFonts w:ascii="Times New Roman" w:eastAsiaTheme="minorHAnsi" w:hAnsi="Times New Roman" w:cs="Times New Roman"/>
          <w:b w:val="0"/>
          <w:szCs w:val="24"/>
          <w:lang w:eastAsia="en-US" w:bidi="ar-SA"/>
        </w:rPr>
        <w:t>,</w:t>
      </w:r>
      <w:r w:rsidRPr="001131DA">
        <w:rPr>
          <w:rFonts w:ascii="Times New Roman" w:eastAsiaTheme="minorHAnsi" w:hAnsi="Times New Roman" w:cs="Times New Roman"/>
          <w:b w:val="0"/>
          <w:szCs w:val="24"/>
          <w:lang w:eastAsia="en-US" w:bidi="ar-SA"/>
        </w:rPr>
        <w:t xml:space="preserve"> fresh and cold b) </w:t>
      </w:r>
      <w:r>
        <w:rPr>
          <w:rFonts w:ascii="Times New Roman" w:eastAsiaTheme="minorHAnsi" w:hAnsi="Times New Roman" w:cs="Times New Roman"/>
          <w:b w:val="0"/>
          <w:szCs w:val="24"/>
          <w:lang w:eastAsia="en-US" w:bidi="ar-SA"/>
        </w:rPr>
        <w:t xml:space="preserve">and intermediate regime c) </w:t>
      </w:r>
      <w:r w:rsidRPr="001131DA">
        <w:rPr>
          <w:rFonts w:ascii="Times New Roman" w:eastAsiaTheme="minorHAnsi" w:hAnsi="Times New Roman" w:cs="Times New Roman"/>
          <w:b w:val="0"/>
          <w:szCs w:val="24"/>
          <w:lang w:eastAsia="en-US" w:bidi="ar-SA"/>
        </w:rPr>
        <w:t>of the space-time interpolation (STI2,</w:t>
      </w:r>
      <w:r>
        <w:rPr>
          <w:rFonts w:ascii="Times New Roman" w:eastAsiaTheme="minorHAnsi" w:hAnsi="Times New Roman" w:cs="Times New Roman"/>
          <w:b w:val="0"/>
          <w:szCs w:val="24"/>
          <w:lang w:eastAsia="en-US" w:bidi="ar-SA"/>
        </w:rPr>
        <w:t xml:space="preserve"> Table 2</w:t>
      </w:r>
      <w:r w:rsidRPr="001131DA">
        <w:rPr>
          <w:rFonts w:ascii="Times New Roman" w:eastAsiaTheme="minorHAnsi" w:hAnsi="Times New Roman" w:cs="Times New Roman"/>
          <w:b w:val="0"/>
          <w:szCs w:val="24"/>
          <w:lang w:eastAsia="en-US" w:bidi="ar-SA"/>
        </w:rPr>
        <w:t>)</w:t>
      </w:r>
      <w:r w:rsidRPr="001131DA">
        <w:rPr>
          <w:rFonts w:ascii="Times New Roman" w:eastAsiaTheme="minorHAnsi" w:hAnsi="Times New Roman" w:cs="Times New Roman"/>
          <w:b w:val="0"/>
          <w:szCs w:val="24"/>
        </w:rPr>
        <w:t xml:space="preserve">. </w:t>
      </w:r>
    </w:p>
    <w:p w14:paraId="3BC08BBD" w14:textId="77777777" w:rsidR="00D96F43" w:rsidRDefault="00D96F43" w:rsidP="00D96F43">
      <w:pPr>
        <w:rPr>
          <w:lang w:eastAsia="en-GB"/>
        </w:rPr>
      </w:pPr>
    </w:p>
    <w:p w14:paraId="64BD977E" w14:textId="77777777" w:rsidR="00D96F43" w:rsidRDefault="00D96F43" w:rsidP="00D96F43">
      <w:pPr>
        <w:rPr>
          <w:lang w:eastAsia="en-GB"/>
        </w:rPr>
      </w:pPr>
    </w:p>
    <w:p w14:paraId="5869A1B3" w14:textId="77777777" w:rsidR="00D96F43" w:rsidRDefault="00D96F43" w:rsidP="00D96F43">
      <w:pPr>
        <w:rPr>
          <w:lang w:eastAsia="en-GB"/>
        </w:rPr>
      </w:pPr>
    </w:p>
    <w:p w14:paraId="676D4391" w14:textId="77777777" w:rsidR="00D96F43" w:rsidRDefault="00D96F43" w:rsidP="00D96F43">
      <w:pPr>
        <w:rPr>
          <w:lang w:eastAsia="en-GB"/>
        </w:rPr>
      </w:pPr>
    </w:p>
    <w:p w14:paraId="65C5EEF6" w14:textId="77777777" w:rsidR="00D96F43" w:rsidRPr="00A80998" w:rsidRDefault="00D96F43" w:rsidP="00D96F43">
      <w:pPr>
        <w:rPr>
          <w:i/>
          <w:lang w:eastAsia="en-GB"/>
        </w:rPr>
      </w:pPr>
      <w:r w:rsidRPr="00A80998">
        <w:rPr>
          <w:i/>
          <w:lang w:eastAsia="en-GB"/>
        </w:rPr>
        <w:lastRenderedPageBreak/>
        <w:t xml:space="preserve">On the </w:t>
      </w:r>
      <w:r>
        <w:rPr>
          <w:i/>
          <w:lang w:eastAsia="en-GB"/>
        </w:rPr>
        <w:t>following</w:t>
      </w:r>
      <w:r w:rsidRPr="00A80998">
        <w:rPr>
          <w:i/>
          <w:lang w:eastAsia="en-GB"/>
        </w:rPr>
        <w:t xml:space="preserve"> pages:</w:t>
      </w:r>
    </w:p>
    <w:p w14:paraId="756D32AC" w14:textId="77777777" w:rsidR="00D96F43" w:rsidRPr="00923411" w:rsidRDefault="00D96F43" w:rsidP="00D96F43">
      <w:pPr>
        <w:spacing w:line="360" w:lineRule="auto"/>
        <w:rPr>
          <w:color w:val="000000" w:themeColor="text1"/>
        </w:rPr>
      </w:pPr>
      <w:r>
        <w:rPr>
          <w:b/>
          <w:color w:val="000000" w:themeColor="text1"/>
        </w:rPr>
        <w:t>Figure S4</w:t>
      </w:r>
      <w:r w:rsidRPr="00923411">
        <w:rPr>
          <w:b/>
          <w:color w:val="000000" w:themeColor="text1"/>
        </w:rPr>
        <w:t xml:space="preserve">. </w:t>
      </w:r>
      <w:r w:rsidRPr="00923411">
        <w:rPr>
          <w:color w:val="000000" w:themeColor="text1"/>
        </w:rPr>
        <w:t>Annual distribution of blue whiting observed by the North East Atlantic Fisheries Commission (</w:t>
      </w:r>
      <w:r>
        <w:rPr>
          <w:color w:val="000000" w:themeColor="text1"/>
        </w:rPr>
        <w:t xml:space="preserve">blue </w:t>
      </w:r>
      <w:r w:rsidRPr="00923411">
        <w:rPr>
          <w:color w:val="000000" w:themeColor="text1"/>
        </w:rPr>
        <w:t>triangles) and the International Blue Whiting Spawning Stock Survey (</w:t>
      </w:r>
      <w:r>
        <w:rPr>
          <w:color w:val="000000" w:themeColor="text1"/>
        </w:rPr>
        <w:t xml:space="preserve">red </w:t>
      </w:r>
      <w:r w:rsidRPr="00923411">
        <w:rPr>
          <w:color w:val="000000" w:themeColor="text1"/>
        </w:rPr>
        <w:t xml:space="preserve">circles). The size of the symbol increases with the amount of blue whiting caught/observed. The black lines indicate the 700 m isobaths. The green area indicates the window of optimum salinity for spawning of blue whiting (35.3 &lt; S &lt; 35.0), averaged over blue whiting’s spawning depth (250 to 600 m) for March. </w:t>
      </w:r>
    </w:p>
    <w:p w14:paraId="793DF27B" w14:textId="77777777" w:rsidR="00D96F43" w:rsidRDefault="00D96F43" w:rsidP="00D96F43">
      <w:pPr>
        <w:jc w:val="center"/>
        <w:rPr>
          <w:lang w:eastAsia="en-GB"/>
        </w:rPr>
      </w:pPr>
      <w:r>
        <w:rPr>
          <w:noProof/>
          <w:lang w:val="da-DK" w:eastAsia="da-DK" w:bidi="ar-SA"/>
        </w:rPr>
        <w:drawing>
          <wp:inline distT="0" distB="0" distL="0" distR="0" wp14:anchorId="6DDA4333" wp14:editId="6950F1E9">
            <wp:extent cx="1796415" cy="1437005"/>
            <wp:effectExtent l="0" t="0" r="0" b="0"/>
            <wp:docPr id="14" name="Picture 14" descr="C:\Users\amie\Documents\DTU Aqua Work\Model\Figures\11D_LEGEND_Map_of_BlueWhtiting_fishieres_ibwss_data_comparison_biomass_catch_size_NEWincl_optimum_salinity_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ie\Documents\DTU Aqua Work\Model\Figures\11D_LEGEND_Map_of_BlueWhtiting_fishieres_ibwss_data_comparison_biomass_catch_size_NEWincl_optimum_salinity_window.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6415" cy="1437005"/>
                    </a:xfrm>
                    <a:prstGeom prst="rect">
                      <a:avLst/>
                    </a:prstGeom>
                    <a:noFill/>
                    <a:ln>
                      <a:noFill/>
                    </a:ln>
                  </pic:spPr>
                </pic:pic>
              </a:graphicData>
            </a:graphic>
          </wp:inline>
        </w:drawing>
      </w:r>
    </w:p>
    <w:p w14:paraId="588C5E94"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r w:rsidRPr="00A67A5F">
        <w:rPr>
          <w:color w:val="000000" w:themeColor="text1"/>
        </w:rPr>
        <w:t xml:space="preserve"> </w:t>
      </w:r>
      <w:r w:rsidRPr="00CE45D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67A5F">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C154463"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r w:rsidRPr="00CE45D3">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6ED3DAA"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06638957"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33987558"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7ADA8748"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2C84DEF3"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0069EB9E"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7A80CFFB"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3AB7CA3E"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37D690B4"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3D7A1D9C"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10CEC9CF"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6820BF65"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4B5B848B"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10F8B632"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30724CA5"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2BF31D6D"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28BC9D04"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66E061B1"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4910A8D4"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1F29AB94"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1CA80916" w14:textId="77777777" w:rsidR="00D96F43" w:rsidRDefault="00D96F43" w:rsidP="00D96F43">
      <w:pPr>
        <w:ind w:left="-426"/>
        <w:rPr>
          <w:rFonts w:eastAsia="Times New Roman" w:cs="Times New Roman"/>
          <w:snapToGrid w:val="0"/>
          <w:color w:val="000000"/>
          <w:w w:val="0"/>
          <w:sz w:val="0"/>
          <w:szCs w:val="0"/>
          <w:u w:color="000000"/>
          <w:bdr w:val="none" w:sz="0" w:space="0" w:color="000000"/>
          <w:shd w:val="clear" w:color="000000" w:fill="000000"/>
          <w:lang w:val="da-DK" w:eastAsia="x-none" w:bidi="x-none"/>
        </w:rPr>
      </w:pPr>
    </w:p>
    <w:p w14:paraId="75714CEF" w14:textId="77777777" w:rsidR="00D96F43" w:rsidRDefault="00D96F43" w:rsidP="00D96F43">
      <w:pPr>
        <w:ind w:left="-851"/>
        <w:rPr>
          <w:rFonts w:eastAsia="Times New Roman" w:cs="Times New Roman"/>
          <w:snapToGrid w:val="0"/>
          <w:color w:val="000000"/>
          <w:w w:val="0"/>
          <w:sz w:val="0"/>
          <w:szCs w:val="0"/>
          <w:u w:color="000000"/>
          <w:bdr w:val="none" w:sz="0" w:space="0" w:color="000000"/>
          <w:shd w:val="clear" w:color="000000" w:fill="000000"/>
          <w:lang w:val="da-DK" w:eastAsia="x-none" w:bidi="x-none"/>
        </w:rPr>
      </w:pPr>
      <w:r>
        <w:rPr>
          <w:rFonts w:eastAsia="Times New Roman" w:cs="Times New Roman"/>
          <w:noProof/>
          <w:color w:val="000000"/>
          <w:w w:val="0"/>
          <w:sz w:val="0"/>
          <w:szCs w:val="0"/>
          <w:u w:color="000000"/>
          <w:bdr w:val="none" w:sz="0" w:space="0" w:color="000000"/>
          <w:shd w:val="clear" w:color="000000" w:fill="000000"/>
          <w:lang w:val="da-DK" w:eastAsia="da-DK" w:bidi="ar-SA"/>
        </w:rPr>
        <w:lastRenderedPageBreak/>
        <w:drawing>
          <wp:anchor distT="0" distB="0" distL="114300" distR="114300" simplePos="0" relativeHeight="251659264" behindDoc="1" locked="0" layoutInCell="1" allowOverlap="1" wp14:anchorId="615D778C" wp14:editId="59C01205">
            <wp:simplePos x="0" y="0"/>
            <wp:positionH relativeFrom="column">
              <wp:posOffset>2815590</wp:posOffset>
            </wp:positionH>
            <wp:positionV relativeFrom="paragraph">
              <wp:posOffset>-1270</wp:posOffset>
            </wp:positionV>
            <wp:extent cx="3242945" cy="8636000"/>
            <wp:effectExtent l="0" t="0" r="0" b="0"/>
            <wp:wrapSquare wrapText="bothSides"/>
            <wp:docPr id="15" name="Picture 15" descr="C:\Users\amie\Documents\DTU Aqua Work\Model\Figures\11D_2_Map_of_BlueWhtiting_fishieres_ibwss_data_comparison_biomass_catch_size_NEWincl_optimum_salinity_window_1991-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e\Documents\DTU Aqua Work\Model\Figures\11D_2_Map_of_BlueWhtiting_fishieres_ibwss_data_comparison_biomass_catch_size_NEWincl_optimum_salinity_window_1991-200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2945" cy="863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color w:val="000000"/>
          <w:w w:val="0"/>
          <w:sz w:val="0"/>
          <w:szCs w:val="0"/>
          <w:u w:color="000000"/>
          <w:bdr w:val="none" w:sz="0" w:space="0" w:color="000000"/>
          <w:shd w:val="clear" w:color="000000" w:fill="000000"/>
          <w:lang w:val="da-DK" w:eastAsia="da-DK" w:bidi="ar-SA"/>
        </w:rPr>
        <w:drawing>
          <wp:inline distT="0" distB="0" distL="0" distR="0" wp14:anchorId="388033B1" wp14:editId="294BDA07">
            <wp:extent cx="3242945" cy="8636000"/>
            <wp:effectExtent l="0" t="0" r="0" b="0"/>
            <wp:docPr id="16" name="Picture 16" descr="C:\Users\amie\Documents\DTU Aqua Work\Model\Figures\11D_1_Map_of_BlueWhtiting_fishieres_ibwss_data_comparison_biomass_catch_size_NEWincl_optimum_salinity_window_1981-1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e\Documents\DTU Aqua Work\Model\Figures\11D_1_Map_of_BlueWhtiting_fishieres_ibwss_data_comparison_biomass_catch_size_NEWincl_optimum_salinity_window_1981-198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2945" cy="8636000"/>
                    </a:xfrm>
                    <a:prstGeom prst="rect">
                      <a:avLst/>
                    </a:prstGeom>
                    <a:noFill/>
                    <a:ln>
                      <a:noFill/>
                    </a:ln>
                  </pic:spPr>
                </pic:pic>
              </a:graphicData>
            </a:graphic>
          </wp:inline>
        </w:drawing>
      </w:r>
    </w:p>
    <w:p w14:paraId="16A152A8" w14:textId="77777777" w:rsidR="00D96F43" w:rsidRPr="00380D65" w:rsidRDefault="00D96F43" w:rsidP="00D96F43">
      <w:pPr>
        <w:ind w:left="-851"/>
        <w:rPr>
          <w:color w:val="000000" w:themeColor="text1"/>
          <w:lang w:val="da-DK"/>
        </w:rPr>
      </w:pPr>
      <w:r>
        <w:rPr>
          <w:noProof/>
          <w:color w:val="000000" w:themeColor="text1"/>
          <w:lang w:val="da-DK" w:eastAsia="da-DK" w:bidi="ar-SA"/>
        </w:rPr>
        <w:lastRenderedPageBreak/>
        <w:drawing>
          <wp:anchor distT="0" distB="0" distL="114300" distR="114300" simplePos="0" relativeHeight="251660288" behindDoc="0" locked="0" layoutInCell="1" allowOverlap="1" wp14:anchorId="5DF81861" wp14:editId="11CC3947">
            <wp:simplePos x="0" y="0"/>
            <wp:positionH relativeFrom="column">
              <wp:posOffset>2870200</wp:posOffset>
            </wp:positionH>
            <wp:positionV relativeFrom="paragraph">
              <wp:posOffset>-635</wp:posOffset>
            </wp:positionV>
            <wp:extent cx="3244215" cy="8642985"/>
            <wp:effectExtent l="0" t="0" r="0" b="5715"/>
            <wp:wrapSquare wrapText="bothSides"/>
            <wp:docPr id="17" name="Picture 17" descr="C:\Users\amie\Documents\DTU Aqua Work\Model\Figures\11D_4_Map_of_BlueWhtiting_fishieres_ibwss_data_comparison_biomass_catch_size_NEWincl_optimum_salinity_window_2007-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ie\Documents\DTU Aqua Work\Model\Figures\11D_4_Map_of_BlueWhtiting_fishieres_ibwss_data_comparison_biomass_catch_size_NEWincl_optimum_salinity_window_2007-201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4215" cy="864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lang w:val="da-DK" w:eastAsia="da-DK" w:bidi="ar-SA"/>
        </w:rPr>
        <w:drawing>
          <wp:inline distT="0" distB="0" distL="0" distR="0" wp14:anchorId="62BE0BD1" wp14:editId="2FD84584">
            <wp:extent cx="3244215" cy="8642985"/>
            <wp:effectExtent l="0" t="0" r="0" b="5715"/>
            <wp:docPr id="18" name="Picture 18" descr="C:\Users\amie\Documents\DTU Aqua Work\Model\Figures\11D_3_Map_of_BlueWhtiting_fishieres_ibwss_data_comparison_biomass_catch_size_NEWincl_optimum_salinity_window_2001-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ie\Documents\DTU Aqua Work\Model\Figures\11D_3_Map_of_BlueWhtiting_fishieres_ibwss_data_comparison_biomass_catch_size_NEWincl_optimum_salinity_window_2001-200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4215" cy="8642985"/>
                    </a:xfrm>
                    <a:prstGeom prst="rect">
                      <a:avLst/>
                    </a:prstGeom>
                    <a:noFill/>
                    <a:ln>
                      <a:noFill/>
                    </a:ln>
                  </pic:spPr>
                </pic:pic>
              </a:graphicData>
            </a:graphic>
          </wp:inline>
        </w:drawing>
      </w:r>
    </w:p>
    <w:p w14:paraId="550F595D" w14:textId="77777777" w:rsidR="00021DD6" w:rsidRPr="00294BBF" w:rsidRDefault="00021DD6" w:rsidP="000F04DE">
      <w:pPr>
        <w:rPr>
          <w:rFonts w:eastAsiaTheme="minorHAnsi" w:cs="Times New Roman"/>
          <w:color w:val="000000" w:themeColor="text1"/>
          <w:szCs w:val="24"/>
          <w:lang w:val="en-US" w:eastAsia="en-US" w:bidi="ar-SA"/>
        </w:rPr>
      </w:pPr>
    </w:p>
    <w:sectPr w:rsidR="00021DD6" w:rsidRPr="00294BBF" w:rsidSect="00076EEE">
      <w:pgSz w:w="11906" w:h="16838"/>
      <w:pgMar w:top="1701" w:right="1701" w:bottom="1701"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E6EAF" w14:textId="77777777" w:rsidR="00EB6128" w:rsidRDefault="00EB6128" w:rsidP="00973E8E">
      <w:pPr>
        <w:spacing w:after="0" w:line="240" w:lineRule="auto"/>
      </w:pPr>
      <w:r>
        <w:separator/>
      </w:r>
    </w:p>
  </w:endnote>
  <w:endnote w:type="continuationSeparator" w:id="0">
    <w:p w14:paraId="492EC141" w14:textId="77777777" w:rsidR="00EB6128" w:rsidRDefault="00EB6128" w:rsidP="00973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Liberation Sans">
    <w:altName w:val="Times New Roman"/>
    <w:charset w:val="00"/>
    <w:family w:val="roman"/>
    <w:pitch w:val="variable"/>
  </w:font>
  <w:font w:name="OpenSymbol">
    <w:charset w:val="02"/>
    <w:family w:val="auto"/>
    <w:pitch w:val="default"/>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5E40E7" w14:textId="77777777" w:rsidR="00EB6128" w:rsidRDefault="00EB6128" w:rsidP="00973E8E">
      <w:pPr>
        <w:spacing w:after="0" w:line="240" w:lineRule="auto"/>
      </w:pPr>
      <w:r>
        <w:separator/>
      </w:r>
    </w:p>
  </w:footnote>
  <w:footnote w:type="continuationSeparator" w:id="0">
    <w:p w14:paraId="40346FDF" w14:textId="77777777" w:rsidR="00EB6128" w:rsidRDefault="00EB6128" w:rsidP="00973E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04FD9"/>
    <w:multiLevelType w:val="hybridMultilevel"/>
    <w:tmpl w:val="E48089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C18386B"/>
    <w:multiLevelType w:val="hybridMultilevel"/>
    <w:tmpl w:val="4296D88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360" w:hanging="360"/>
      </w:pPr>
      <w:rPr>
        <w:rFonts w:ascii="Courier New" w:hAnsi="Courier New" w:cs="Courier New" w:hint="default"/>
      </w:rPr>
    </w:lvl>
    <w:lvl w:ilvl="2" w:tplc="04060005" w:tentative="1">
      <w:start w:val="1"/>
      <w:numFmt w:val="bullet"/>
      <w:lvlText w:val=""/>
      <w:lvlJc w:val="left"/>
      <w:pPr>
        <w:ind w:left="1080" w:hanging="360"/>
      </w:pPr>
      <w:rPr>
        <w:rFonts w:ascii="Wingdings" w:hAnsi="Wingdings" w:hint="default"/>
      </w:rPr>
    </w:lvl>
    <w:lvl w:ilvl="3" w:tplc="04060001" w:tentative="1">
      <w:start w:val="1"/>
      <w:numFmt w:val="bullet"/>
      <w:lvlText w:val=""/>
      <w:lvlJc w:val="left"/>
      <w:pPr>
        <w:ind w:left="1800" w:hanging="360"/>
      </w:pPr>
      <w:rPr>
        <w:rFonts w:ascii="Symbol" w:hAnsi="Symbol" w:hint="default"/>
      </w:rPr>
    </w:lvl>
    <w:lvl w:ilvl="4" w:tplc="04060003" w:tentative="1">
      <w:start w:val="1"/>
      <w:numFmt w:val="bullet"/>
      <w:lvlText w:val="o"/>
      <w:lvlJc w:val="left"/>
      <w:pPr>
        <w:ind w:left="2520" w:hanging="360"/>
      </w:pPr>
      <w:rPr>
        <w:rFonts w:ascii="Courier New" w:hAnsi="Courier New" w:cs="Courier New" w:hint="default"/>
      </w:rPr>
    </w:lvl>
    <w:lvl w:ilvl="5" w:tplc="04060005" w:tentative="1">
      <w:start w:val="1"/>
      <w:numFmt w:val="bullet"/>
      <w:lvlText w:val=""/>
      <w:lvlJc w:val="left"/>
      <w:pPr>
        <w:ind w:left="3240" w:hanging="360"/>
      </w:pPr>
      <w:rPr>
        <w:rFonts w:ascii="Wingdings" w:hAnsi="Wingdings" w:hint="default"/>
      </w:rPr>
    </w:lvl>
    <w:lvl w:ilvl="6" w:tplc="04060001" w:tentative="1">
      <w:start w:val="1"/>
      <w:numFmt w:val="bullet"/>
      <w:lvlText w:val=""/>
      <w:lvlJc w:val="left"/>
      <w:pPr>
        <w:ind w:left="3960" w:hanging="360"/>
      </w:pPr>
      <w:rPr>
        <w:rFonts w:ascii="Symbol" w:hAnsi="Symbol" w:hint="default"/>
      </w:rPr>
    </w:lvl>
    <w:lvl w:ilvl="7" w:tplc="04060003" w:tentative="1">
      <w:start w:val="1"/>
      <w:numFmt w:val="bullet"/>
      <w:lvlText w:val="o"/>
      <w:lvlJc w:val="left"/>
      <w:pPr>
        <w:ind w:left="4680" w:hanging="360"/>
      </w:pPr>
      <w:rPr>
        <w:rFonts w:ascii="Courier New" w:hAnsi="Courier New" w:cs="Courier New" w:hint="default"/>
      </w:rPr>
    </w:lvl>
    <w:lvl w:ilvl="8" w:tplc="04060005" w:tentative="1">
      <w:start w:val="1"/>
      <w:numFmt w:val="bullet"/>
      <w:lvlText w:val=""/>
      <w:lvlJc w:val="left"/>
      <w:pPr>
        <w:ind w:left="5400" w:hanging="360"/>
      </w:pPr>
      <w:rPr>
        <w:rFonts w:ascii="Wingdings" w:hAnsi="Wingdings" w:hint="default"/>
      </w:rPr>
    </w:lvl>
  </w:abstractNum>
  <w:abstractNum w:abstractNumId="2">
    <w:nsid w:val="0E8A0476"/>
    <w:multiLevelType w:val="hybridMultilevel"/>
    <w:tmpl w:val="3E001A8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0984E3A"/>
    <w:multiLevelType w:val="hybridMultilevel"/>
    <w:tmpl w:val="88C68CFA"/>
    <w:lvl w:ilvl="0" w:tplc="0809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nsid w:val="15A33AE6"/>
    <w:multiLevelType w:val="hybridMultilevel"/>
    <w:tmpl w:val="7E0AB7B0"/>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360" w:hanging="360"/>
      </w:pPr>
      <w:rPr>
        <w:rFonts w:ascii="Courier New" w:hAnsi="Courier New" w:cs="Courier New" w:hint="default"/>
      </w:rPr>
    </w:lvl>
    <w:lvl w:ilvl="2" w:tplc="04060005" w:tentative="1">
      <w:start w:val="1"/>
      <w:numFmt w:val="bullet"/>
      <w:lvlText w:val=""/>
      <w:lvlJc w:val="left"/>
      <w:pPr>
        <w:ind w:left="1080" w:hanging="360"/>
      </w:pPr>
      <w:rPr>
        <w:rFonts w:ascii="Wingdings" w:hAnsi="Wingdings" w:hint="default"/>
      </w:rPr>
    </w:lvl>
    <w:lvl w:ilvl="3" w:tplc="04060001" w:tentative="1">
      <w:start w:val="1"/>
      <w:numFmt w:val="bullet"/>
      <w:lvlText w:val=""/>
      <w:lvlJc w:val="left"/>
      <w:pPr>
        <w:ind w:left="1800" w:hanging="360"/>
      </w:pPr>
      <w:rPr>
        <w:rFonts w:ascii="Symbol" w:hAnsi="Symbol" w:hint="default"/>
      </w:rPr>
    </w:lvl>
    <w:lvl w:ilvl="4" w:tplc="04060003" w:tentative="1">
      <w:start w:val="1"/>
      <w:numFmt w:val="bullet"/>
      <w:lvlText w:val="o"/>
      <w:lvlJc w:val="left"/>
      <w:pPr>
        <w:ind w:left="2520" w:hanging="360"/>
      </w:pPr>
      <w:rPr>
        <w:rFonts w:ascii="Courier New" w:hAnsi="Courier New" w:cs="Courier New" w:hint="default"/>
      </w:rPr>
    </w:lvl>
    <w:lvl w:ilvl="5" w:tplc="04060005" w:tentative="1">
      <w:start w:val="1"/>
      <w:numFmt w:val="bullet"/>
      <w:lvlText w:val=""/>
      <w:lvlJc w:val="left"/>
      <w:pPr>
        <w:ind w:left="3240" w:hanging="360"/>
      </w:pPr>
      <w:rPr>
        <w:rFonts w:ascii="Wingdings" w:hAnsi="Wingdings" w:hint="default"/>
      </w:rPr>
    </w:lvl>
    <w:lvl w:ilvl="6" w:tplc="04060001" w:tentative="1">
      <w:start w:val="1"/>
      <w:numFmt w:val="bullet"/>
      <w:lvlText w:val=""/>
      <w:lvlJc w:val="left"/>
      <w:pPr>
        <w:ind w:left="3960" w:hanging="360"/>
      </w:pPr>
      <w:rPr>
        <w:rFonts w:ascii="Symbol" w:hAnsi="Symbol" w:hint="default"/>
      </w:rPr>
    </w:lvl>
    <w:lvl w:ilvl="7" w:tplc="04060003" w:tentative="1">
      <w:start w:val="1"/>
      <w:numFmt w:val="bullet"/>
      <w:lvlText w:val="o"/>
      <w:lvlJc w:val="left"/>
      <w:pPr>
        <w:ind w:left="4680" w:hanging="360"/>
      </w:pPr>
      <w:rPr>
        <w:rFonts w:ascii="Courier New" w:hAnsi="Courier New" w:cs="Courier New" w:hint="default"/>
      </w:rPr>
    </w:lvl>
    <w:lvl w:ilvl="8" w:tplc="04060005" w:tentative="1">
      <w:start w:val="1"/>
      <w:numFmt w:val="bullet"/>
      <w:lvlText w:val=""/>
      <w:lvlJc w:val="left"/>
      <w:pPr>
        <w:ind w:left="5400" w:hanging="360"/>
      </w:pPr>
      <w:rPr>
        <w:rFonts w:ascii="Wingdings" w:hAnsi="Wingdings" w:hint="default"/>
      </w:rPr>
    </w:lvl>
  </w:abstractNum>
  <w:abstractNum w:abstractNumId="5">
    <w:nsid w:val="24157837"/>
    <w:multiLevelType w:val="hybridMultilevel"/>
    <w:tmpl w:val="26DE8524"/>
    <w:lvl w:ilvl="0" w:tplc="0C64C196">
      <w:start w:val="474"/>
      <w:numFmt w:val="bullet"/>
      <w:lvlText w:val=""/>
      <w:lvlJc w:val="left"/>
      <w:pPr>
        <w:ind w:left="720" w:hanging="360"/>
      </w:pPr>
      <w:rPr>
        <w:rFonts w:ascii="Wingdings" w:eastAsiaTheme="minorEastAsia"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6007E34"/>
    <w:multiLevelType w:val="hybridMultilevel"/>
    <w:tmpl w:val="3B22E8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CD7544B"/>
    <w:multiLevelType w:val="hybridMultilevel"/>
    <w:tmpl w:val="823EE954"/>
    <w:lvl w:ilvl="0" w:tplc="C64C02A2">
      <w:numFmt w:val="bullet"/>
      <w:lvlText w:val=""/>
      <w:lvlJc w:val="left"/>
      <w:pPr>
        <w:ind w:left="720" w:hanging="360"/>
      </w:pPr>
      <w:rPr>
        <w:rFonts w:ascii="Wingdings" w:eastAsiaTheme="minorEastAsia" w:hAnsi="Wingdings" w:cs="Mang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464F7D9B"/>
    <w:multiLevelType w:val="hybridMultilevel"/>
    <w:tmpl w:val="72A46C1C"/>
    <w:lvl w:ilvl="0" w:tplc="6A966BA0">
      <w:start w:val="1520"/>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473C1E1C"/>
    <w:multiLevelType w:val="hybridMultilevel"/>
    <w:tmpl w:val="85C697C0"/>
    <w:lvl w:ilvl="0" w:tplc="0406001B">
      <w:start w:val="1"/>
      <w:numFmt w:val="lowerRoman"/>
      <w:lvlText w:val="%1."/>
      <w:lvlJc w:val="righ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4A65575D"/>
    <w:multiLevelType w:val="hybridMultilevel"/>
    <w:tmpl w:val="7F0EA7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4C117D4A"/>
    <w:multiLevelType w:val="hybridMultilevel"/>
    <w:tmpl w:val="8E9C90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4F31536F"/>
    <w:multiLevelType w:val="hybridMultilevel"/>
    <w:tmpl w:val="F3081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2403843"/>
    <w:multiLevelType w:val="hybridMultilevel"/>
    <w:tmpl w:val="AFDAE5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5B42634"/>
    <w:multiLevelType w:val="hybridMultilevel"/>
    <w:tmpl w:val="41E6A6BC"/>
    <w:lvl w:ilvl="0" w:tplc="BB7C1BC2">
      <w:numFmt w:val="bullet"/>
      <w:lvlText w:val=""/>
      <w:lvlJc w:val="left"/>
      <w:pPr>
        <w:ind w:left="720" w:hanging="360"/>
      </w:pPr>
      <w:rPr>
        <w:rFonts w:ascii="Wingdings" w:eastAsiaTheme="minorEastAsia" w:hAnsi="Wingdings" w:cs="Mang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57FB058C"/>
    <w:multiLevelType w:val="hybridMultilevel"/>
    <w:tmpl w:val="177064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5CDA66E3"/>
    <w:multiLevelType w:val="hybridMultilevel"/>
    <w:tmpl w:val="41DE4366"/>
    <w:lvl w:ilvl="0" w:tplc="8488F99A">
      <w:start w:val="1"/>
      <w:numFmt w:val="bullet"/>
      <w:lvlText w:val=""/>
      <w:lvlJc w:val="left"/>
      <w:pPr>
        <w:ind w:left="720" w:hanging="360"/>
      </w:pPr>
      <w:rPr>
        <w:rFonts w:ascii="Wingdings" w:eastAsia="Droid Sans Fallback"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89615D8"/>
    <w:multiLevelType w:val="hybridMultilevel"/>
    <w:tmpl w:val="77AED8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B526CE1"/>
    <w:multiLevelType w:val="hybridMultilevel"/>
    <w:tmpl w:val="BB38D84C"/>
    <w:lvl w:ilvl="0" w:tplc="88360C0E">
      <w:start w:val="1520"/>
      <w:numFmt w:val="bullet"/>
      <w:lvlText w:val=""/>
      <w:lvlJc w:val="left"/>
      <w:pPr>
        <w:ind w:left="720" w:hanging="360"/>
      </w:pPr>
      <w:rPr>
        <w:rFonts w:ascii="Wingdings" w:eastAsiaTheme="minorEastAsia" w:hAnsi="Wingdings" w:cs="Mang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5841BC3"/>
    <w:multiLevelType w:val="hybridMultilevel"/>
    <w:tmpl w:val="607024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2"/>
  </w:num>
  <w:num w:numId="4">
    <w:abstractNumId w:val="10"/>
  </w:num>
  <w:num w:numId="5">
    <w:abstractNumId w:val="16"/>
  </w:num>
  <w:num w:numId="6">
    <w:abstractNumId w:val="11"/>
  </w:num>
  <w:num w:numId="7">
    <w:abstractNumId w:val="9"/>
  </w:num>
  <w:num w:numId="8">
    <w:abstractNumId w:val="14"/>
  </w:num>
  <w:num w:numId="9">
    <w:abstractNumId w:val="13"/>
  </w:num>
  <w:num w:numId="10">
    <w:abstractNumId w:val="4"/>
  </w:num>
  <w:num w:numId="11">
    <w:abstractNumId w:val="1"/>
  </w:num>
  <w:num w:numId="12">
    <w:abstractNumId w:val="18"/>
  </w:num>
  <w:num w:numId="13">
    <w:abstractNumId w:val="5"/>
  </w:num>
  <w:num w:numId="14">
    <w:abstractNumId w:val="15"/>
  </w:num>
  <w:num w:numId="15">
    <w:abstractNumId w:val="7"/>
  </w:num>
  <w:num w:numId="16">
    <w:abstractNumId w:val="8"/>
  </w:num>
  <w:num w:numId="17">
    <w:abstractNumId w:val="19"/>
  </w:num>
  <w:num w:numId="18">
    <w:abstractNumId w:val="3"/>
  </w:num>
  <w:num w:numId="19">
    <w:abstractNumId w:val="17"/>
  </w:num>
  <w:num w:numId="2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activeWritingStyle w:appName="MSWord" w:lang="da-DK"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NZ" w:vendorID="64" w:dllVersion="131078" w:nlCheck="1" w:checkStyle="1"/>
  <w:activeWritingStyle w:appName="MSWord" w:lang="de-DE"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032"/>
    <w:rsid w:val="00000A89"/>
    <w:rsid w:val="00000E90"/>
    <w:rsid w:val="00001637"/>
    <w:rsid w:val="0000230E"/>
    <w:rsid w:val="000030AE"/>
    <w:rsid w:val="00004689"/>
    <w:rsid w:val="00004B84"/>
    <w:rsid w:val="000051DC"/>
    <w:rsid w:val="000055A2"/>
    <w:rsid w:val="00005DE9"/>
    <w:rsid w:val="000064C2"/>
    <w:rsid w:val="00010976"/>
    <w:rsid w:val="0001224B"/>
    <w:rsid w:val="000124ED"/>
    <w:rsid w:val="000144C8"/>
    <w:rsid w:val="00016411"/>
    <w:rsid w:val="000169C6"/>
    <w:rsid w:val="00016BD6"/>
    <w:rsid w:val="00017E3C"/>
    <w:rsid w:val="00017FF8"/>
    <w:rsid w:val="00020A7E"/>
    <w:rsid w:val="00020AAB"/>
    <w:rsid w:val="00021DD6"/>
    <w:rsid w:val="0002375D"/>
    <w:rsid w:val="00025580"/>
    <w:rsid w:val="00025A33"/>
    <w:rsid w:val="00025C07"/>
    <w:rsid w:val="0002653B"/>
    <w:rsid w:val="00026A81"/>
    <w:rsid w:val="0002710D"/>
    <w:rsid w:val="0003082C"/>
    <w:rsid w:val="00031569"/>
    <w:rsid w:val="0003247F"/>
    <w:rsid w:val="00033DA5"/>
    <w:rsid w:val="000348EE"/>
    <w:rsid w:val="00034B4A"/>
    <w:rsid w:val="000354AA"/>
    <w:rsid w:val="0003737A"/>
    <w:rsid w:val="000374E7"/>
    <w:rsid w:val="00037786"/>
    <w:rsid w:val="00041FF2"/>
    <w:rsid w:val="000430AB"/>
    <w:rsid w:val="000442F1"/>
    <w:rsid w:val="0005156A"/>
    <w:rsid w:val="00053D48"/>
    <w:rsid w:val="00057853"/>
    <w:rsid w:val="00057CEF"/>
    <w:rsid w:val="00060C15"/>
    <w:rsid w:val="00063352"/>
    <w:rsid w:val="00064E23"/>
    <w:rsid w:val="000650CD"/>
    <w:rsid w:val="000658D9"/>
    <w:rsid w:val="00065C02"/>
    <w:rsid w:val="000663E9"/>
    <w:rsid w:val="00071716"/>
    <w:rsid w:val="00071D85"/>
    <w:rsid w:val="00072B62"/>
    <w:rsid w:val="00072B64"/>
    <w:rsid w:val="00072C67"/>
    <w:rsid w:val="000733FF"/>
    <w:rsid w:val="00073586"/>
    <w:rsid w:val="000739BC"/>
    <w:rsid w:val="00074D64"/>
    <w:rsid w:val="00074DBA"/>
    <w:rsid w:val="000752E7"/>
    <w:rsid w:val="000755BC"/>
    <w:rsid w:val="00076E0E"/>
    <w:rsid w:val="00076EEE"/>
    <w:rsid w:val="00077CB8"/>
    <w:rsid w:val="00077D44"/>
    <w:rsid w:val="00082797"/>
    <w:rsid w:val="00082C40"/>
    <w:rsid w:val="0008303A"/>
    <w:rsid w:val="000852CF"/>
    <w:rsid w:val="0009078A"/>
    <w:rsid w:val="00090F27"/>
    <w:rsid w:val="00095B84"/>
    <w:rsid w:val="00096D6E"/>
    <w:rsid w:val="00097BFA"/>
    <w:rsid w:val="00097C90"/>
    <w:rsid w:val="000A0600"/>
    <w:rsid w:val="000A33CE"/>
    <w:rsid w:val="000A3BFD"/>
    <w:rsid w:val="000A3BFF"/>
    <w:rsid w:val="000A46D4"/>
    <w:rsid w:val="000A5C66"/>
    <w:rsid w:val="000A6AE2"/>
    <w:rsid w:val="000B1E5F"/>
    <w:rsid w:val="000B1F6E"/>
    <w:rsid w:val="000B2B07"/>
    <w:rsid w:val="000B2D56"/>
    <w:rsid w:val="000B3665"/>
    <w:rsid w:val="000B41F7"/>
    <w:rsid w:val="000B5B5B"/>
    <w:rsid w:val="000B63E9"/>
    <w:rsid w:val="000B7E87"/>
    <w:rsid w:val="000C0D1E"/>
    <w:rsid w:val="000C1042"/>
    <w:rsid w:val="000C1428"/>
    <w:rsid w:val="000C1E4B"/>
    <w:rsid w:val="000C2D15"/>
    <w:rsid w:val="000C54AB"/>
    <w:rsid w:val="000C56E5"/>
    <w:rsid w:val="000C6D6B"/>
    <w:rsid w:val="000C6EF7"/>
    <w:rsid w:val="000C74C3"/>
    <w:rsid w:val="000D0515"/>
    <w:rsid w:val="000D1521"/>
    <w:rsid w:val="000D1A49"/>
    <w:rsid w:val="000D339A"/>
    <w:rsid w:val="000D45A4"/>
    <w:rsid w:val="000D63F8"/>
    <w:rsid w:val="000E1603"/>
    <w:rsid w:val="000E63B2"/>
    <w:rsid w:val="000F01AC"/>
    <w:rsid w:val="000F04DE"/>
    <w:rsid w:val="000F216E"/>
    <w:rsid w:val="000F2B6E"/>
    <w:rsid w:val="000F3957"/>
    <w:rsid w:val="000F41D0"/>
    <w:rsid w:val="000F4C7D"/>
    <w:rsid w:val="000F5EF9"/>
    <w:rsid w:val="000F6FE2"/>
    <w:rsid w:val="000F7D6E"/>
    <w:rsid w:val="00100D2F"/>
    <w:rsid w:val="00101FC7"/>
    <w:rsid w:val="00103DDD"/>
    <w:rsid w:val="0010530D"/>
    <w:rsid w:val="001070EC"/>
    <w:rsid w:val="0011019C"/>
    <w:rsid w:val="00112295"/>
    <w:rsid w:val="0011242A"/>
    <w:rsid w:val="00112431"/>
    <w:rsid w:val="0011247C"/>
    <w:rsid w:val="00112EFD"/>
    <w:rsid w:val="00113555"/>
    <w:rsid w:val="0011371D"/>
    <w:rsid w:val="0011433A"/>
    <w:rsid w:val="0011490B"/>
    <w:rsid w:val="00114F97"/>
    <w:rsid w:val="00115062"/>
    <w:rsid w:val="00115183"/>
    <w:rsid w:val="0011608B"/>
    <w:rsid w:val="00122688"/>
    <w:rsid w:val="00122CF5"/>
    <w:rsid w:val="001238B3"/>
    <w:rsid w:val="001252BA"/>
    <w:rsid w:val="00125A7F"/>
    <w:rsid w:val="001261CA"/>
    <w:rsid w:val="001270D9"/>
    <w:rsid w:val="00127CAB"/>
    <w:rsid w:val="001307C8"/>
    <w:rsid w:val="00130D70"/>
    <w:rsid w:val="0013197B"/>
    <w:rsid w:val="00137178"/>
    <w:rsid w:val="001412B9"/>
    <w:rsid w:val="001413E1"/>
    <w:rsid w:val="001430EF"/>
    <w:rsid w:val="001434B4"/>
    <w:rsid w:val="00143981"/>
    <w:rsid w:val="00143D26"/>
    <w:rsid w:val="00144D97"/>
    <w:rsid w:val="00145EA5"/>
    <w:rsid w:val="00150322"/>
    <w:rsid w:val="00150367"/>
    <w:rsid w:val="001504BA"/>
    <w:rsid w:val="00150C23"/>
    <w:rsid w:val="00151EB1"/>
    <w:rsid w:val="001521FD"/>
    <w:rsid w:val="00152AD6"/>
    <w:rsid w:val="00152AE7"/>
    <w:rsid w:val="00154217"/>
    <w:rsid w:val="0015447C"/>
    <w:rsid w:val="00155985"/>
    <w:rsid w:val="00155ADC"/>
    <w:rsid w:val="001569AA"/>
    <w:rsid w:val="00160D71"/>
    <w:rsid w:val="001613FE"/>
    <w:rsid w:val="001617D2"/>
    <w:rsid w:val="00161B41"/>
    <w:rsid w:val="00162019"/>
    <w:rsid w:val="00166854"/>
    <w:rsid w:val="0016722A"/>
    <w:rsid w:val="00167521"/>
    <w:rsid w:val="00170572"/>
    <w:rsid w:val="00170E10"/>
    <w:rsid w:val="0017147C"/>
    <w:rsid w:val="00171F8C"/>
    <w:rsid w:val="00172C4A"/>
    <w:rsid w:val="00172D9C"/>
    <w:rsid w:val="00172F24"/>
    <w:rsid w:val="00175B3A"/>
    <w:rsid w:val="001761B6"/>
    <w:rsid w:val="00176519"/>
    <w:rsid w:val="001774D8"/>
    <w:rsid w:val="00177D26"/>
    <w:rsid w:val="00181A02"/>
    <w:rsid w:val="0018235B"/>
    <w:rsid w:val="00182FA2"/>
    <w:rsid w:val="00184E6D"/>
    <w:rsid w:val="001850B4"/>
    <w:rsid w:val="00191A82"/>
    <w:rsid w:val="00193A14"/>
    <w:rsid w:val="00193D0C"/>
    <w:rsid w:val="00193E79"/>
    <w:rsid w:val="00195593"/>
    <w:rsid w:val="00196A6E"/>
    <w:rsid w:val="001A2895"/>
    <w:rsid w:val="001A2A51"/>
    <w:rsid w:val="001A3A6B"/>
    <w:rsid w:val="001A50D8"/>
    <w:rsid w:val="001A51AB"/>
    <w:rsid w:val="001A555C"/>
    <w:rsid w:val="001A59F1"/>
    <w:rsid w:val="001A5AF8"/>
    <w:rsid w:val="001A6DA8"/>
    <w:rsid w:val="001B0977"/>
    <w:rsid w:val="001B0D74"/>
    <w:rsid w:val="001B125F"/>
    <w:rsid w:val="001B2D99"/>
    <w:rsid w:val="001B40BA"/>
    <w:rsid w:val="001B40E8"/>
    <w:rsid w:val="001B5147"/>
    <w:rsid w:val="001B6CD4"/>
    <w:rsid w:val="001C08A8"/>
    <w:rsid w:val="001C58D0"/>
    <w:rsid w:val="001C71F8"/>
    <w:rsid w:val="001D087A"/>
    <w:rsid w:val="001D0AD0"/>
    <w:rsid w:val="001D11D5"/>
    <w:rsid w:val="001D168D"/>
    <w:rsid w:val="001D1E10"/>
    <w:rsid w:val="001D2100"/>
    <w:rsid w:val="001D21B6"/>
    <w:rsid w:val="001D21D2"/>
    <w:rsid w:val="001D273C"/>
    <w:rsid w:val="001D2B10"/>
    <w:rsid w:val="001D2B28"/>
    <w:rsid w:val="001D303E"/>
    <w:rsid w:val="001D4241"/>
    <w:rsid w:val="001D535C"/>
    <w:rsid w:val="001D7DA6"/>
    <w:rsid w:val="001D7EA0"/>
    <w:rsid w:val="001E0475"/>
    <w:rsid w:val="001E0B75"/>
    <w:rsid w:val="001E0C5E"/>
    <w:rsid w:val="001E37C9"/>
    <w:rsid w:val="001E506C"/>
    <w:rsid w:val="001E65D2"/>
    <w:rsid w:val="001E7A15"/>
    <w:rsid w:val="001F0BF8"/>
    <w:rsid w:val="001F1877"/>
    <w:rsid w:val="001F1A20"/>
    <w:rsid w:val="001F2EDB"/>
    <w:rsid w:val="001F5140"/>
    <w:rsid w:val="001F623D"/>
    <w:rsid w:val="001F7B84"/>
    <w:rsid w:val="00200C4D"/>
    <w:rsid w:val="002025AC"/>
    <w:rsid w:val="0020332F"/>
    <w:rsid w:val="00204FDA"/>
    <w:rsid w:val="00210BD7"/>
    <w:rsid w:val="00210D4C"/>
    <w:rsid w:val="002110D3"/>
    <w:rsid w:val="002112FC"/>
    <w:rsid w:val="00211DDB"/>
    <w:rsid w:val="00212FC2"/>
    <w:rsid w:val="0021390D"/>
    <w:rsid w:val="00214389"/>
    <w:rsid w:val="00214732"/>
    <w:rsid w:val="002175AF"/>
    <w:rsid w:val="0022056A"/>
    <w:rsid w:val="00220FB5"/>
    <w:rsid w:val="00222308"/>
    <w:rsid w:val="00222B57"/>
    <w:rsid w:val="00222F07"/>
    <w:rsid w:val="002235E6"/>
    <w:rsid w:val="00223AB8"/>
    <w:rsid w:val="00223CD0"/>
    <w:rsid w:val="00230952"/>
    <w:rsid w:val="00230DD5"/>
    <w:rsid w:val="0023390C"/>
    <w:rsid w:val="00234522"/>
    <w:rsid w:val="00237436"/>
    <w:rsid w:val="00240AA4"/>
    <w:rsid w:val="00241813"/>
    <w:rsid w:val="00241F93"/>
    <w:rsid w:val="002422B2"/>
    <w:rsid w:val="00242D3A"/>
    <w:rsid w:val="00246502"/>
    <w:rsid w:val="00246B60"/>
    <w:rsid w:val="002502BD"/>
    <w:rsid w:val="002505D8"/>
    <w:rsid w:val="002520E8"/>
    <w:rsid w:val="00254489"/>
    <w:rsid w:val="00254F7F"/>
    <w:rsid w:val="00256CD5"/>
    <w:rsid w:val="00257B68"/>
    <w:rsid w:val="00257E1C"/>
    <w:rsid w:val="00260CD6"/>
    <w:rsid w:val="0026113C"/>
    <w:rsid w:val="0026640E"/>
    <w:rsid w:val="00267D89"/>
    <w:rsid w:val="00270018"/>
    <w:rsid w:val="00270479"/>
    <w:rsid w:val="002710B5"/>
    <w:rsid w:val="002725A4"/>
    <w:rsid w:val="002736B9"/>
    <w:rsid w:val="00274330"/>
    <w:rsid w:val="002745F4"/>
    <w:rsid w:val="00274D94"/>
    <w:rsid w:val="00274FB4"/>
    <w:rsid w:val="00276052"/>
    <w:rsid w:val="002761A8"/>
    <w:rsid w:val="00276C83"/>
    <w:rsid w:val="00277480"/>
    <w:rsid w:val="002776DD"/>
    <w:rsid w:val="002825C1"/>
    <w:rsid w:val="00283CDB"/>
    <w:rsid w:val="00284E09"/>
    <w:rsid w:val="00285311"/>
    <w:rsid w:val="0028619D"/>
    <w:rsid w:val="0028640E"/>
    <w:rsid w:val="002906FA"/>
    <w:rsid w:val="00290B86"/>
    <w:rsid w:val="0029225B"/>
    <w:rsid w:val="00294BBF"/>
    <w:rsid w:val="00294FCC"/>
    <w:rsid w:val="0029764D"/>
    <w:rsid w:val="00297AF2"/>
    <w:rsid w:val="002A0B1F"/>
    <w:rsid w:val="002A1BE1"/>
    <w:rsid w:val="002A2732"/>
    <w:rsid w:val="002A2856"/>
    <w:rsid w:val="002A2B1B"/>
    <w:rsid w:val="002A3B1D"/>
    <w:rsid w:val="002A4181"/>
    <w:rsid w:val="002A45E7"/>
    <w:rsid w:val="002A4C2C"/>
    <w:rsid w:val="002A53E8"/>
    <w:rsid w:val="002A56CC"/>
    <w:rsid w:val="002A652B"/>
    <w:rsid w:val="002A6724"/>
    <w:rsid w:val="002A67A3"/>
    <w:rsid w:val="002A6824"/>
    <w:rsid w:val="002B0529"/>
    <w:rsid w:val="002B1AB6"/>
    <w:rsid w:val="002B1E30"/>
    <w:rsid w:val="002B27D1"/>
    <w:rsid w:val="002B427E"/>
    <w:rsid w:val="002B450E"/>
    <w:rsid w:val="002B6A40"/>
    <w:rsid w:val="002B72DB"/>
    <w:rsid w:val="002C3006"/>
    <w:rsid w:val="002C4881"/>
    <w:rsid w:val="002C4B52"/>
    <w:rsid w:val="002C526D"/>
    <w:rsid w:val="002C52C0"/>
    <w:rsid w:val="002C6E31"/>
    <w:rsid w:val="002C76EF"/>
    <w:rsid w:val="002C770A"/>
    <w:rsid w:val="002D0778"/>
    <w:rsid w:val="002D143D"/>
    <w:rsid w:val="002D2022"/>
    <w:rsid w:val="002D2E76"/>
    <w:rsid w:val="002D2FDF"/>
    <w:rsid w:val="002D33FA"/>
    <w:rsid w:val="002D3D85"/>
    <w:rsid w:val="002D59F1"/>
    <w:rsid w:val="002D5BE6"/>
    <w:rsid w:val="002D5EC1"/>
    <w:rsid w:val="002D76ED"/>
    <w:rsid w:val="002E0845"/>
    <w:rsid w:val="002E0D01"/>
    <w:rsid w:val="002E1009"/>
    <w:rsid w:val="002E2469"/>
    <w:rsid w:val="002E4892"/>
    <w:rsid w:val="002E4A38"/>
    <w:rsid w:val="002E4CF6"/>
    <w:rsid w:val="002E5DA6"/>
    <w:rsid w:val="002E733D"/>
    <w:rsid w:val="002F0E5F"/>
    <w:rsid w:val="002F1CDA"/>
    <w:rsid w:val="002F2187"/>
    <w:rsid w:val="002F4C52"/>
    <w:rsid w:val="002F5570"/>
    <w:rsid w:val="002F6BE1"/>
    <w:rsid w:val="00300E38"/>
    <w:rsid w:val="00301187"/>
    <w:rsid w:val="00301DFD"/>
    <w:rsid w:val="0030325A"/>
    <w:rsid w:val="003036BE"/>
    <w:rsid w:val="003037F7"/>
    <w:rsid w:val="00303930"/>
    <w:rsid w:val="00303B56"/>
    <w:rsid w:val="003051DF"/>
    <w:rsid w:val="003060A4"/>
    <w:rsid w:val="00307E05"/>
    <w:rsid w:val="003103B7"/>
    <w:rsid w:val="00313473"/>
    <w:rsid w:val="00315B79"/>
    <w:rsid w:val="00316049"/>
    <w:rsid w:val="0031723E"/>
    <w:rsid w:val="003210AC"/>
    <w:rsid w:val="00321A66"/>
    <w:rsid w:val="00321EBD"/>
    <w:rsid w:val="003237FB"/>
    <w:rsid w:val="00324B5A"/>
    <w:rsid w:val="0033041D"/>
    <w:rsid w:val="00330B87"/>
    <w:rsid w:val="00331A37"/>
    <w:rsid w:val="00332B4B"/>
    <w:rsid w:val="00333CF0"/>
    <w:rsid w:val="0033450D"/>
    <w:rsid w:val="00334CB6"/>
    <w:rsid w:val="003353B6"/>
    <w:rsid w:val="003369B5"/>
    <w:rsid w:val="00337514"/>
    <w:rsid w:val="00340088"/>
    <w:rsid w:val="00341FCD"/>
    <w:rsid w:val="00346BED"/>
    <w:rsid w:val="00347015"/>
    <w:rsid w:val="003479B5"/>
    <w:rsid w:val="0035076E"/>
    <w:rsid w:val="0035117D"/>
    <w:rsid w:val="00351555"/>
    <w:rsid w:val="00351856"/>
    <w:rsid w:val="003550B6"/>
    <w:rsid w:val="00355AFC"/>
    <w:rsid w:val="00355BAD"/>
    <w:rsid w:val="0035719B"/>
    <w:rsid w:val="003574DB"/>
    <w:rsid w:val="00361C6B"/>
    <w:rsid w:val="0036245F"/>
    <w:rsid w:val="003626DF"/>
    <w:rsid w:val="00362B54"/>
    <w:rsid w:val="00364757"/>
    <w:rsid w:val="00365E3E"/>
    <w:rsid w:val="00367B38"/>
    <w:rsid w:val="00367F7B"/>
    <w:rsid w:val="0037019F"/>
    <w:rsid w:val="00373741"/>
    <w:rsid w:val="00374B2D"/>
    <w:rsid w:val="00374CE6"/>
    <w:rsid w:val="003760DA"/>
    <w:rsid w:val="00377A4B"/>
    <w:rsid w:val="00377D73"/>
    <w:rsid w:val="00380588"/>
    <w:rsid w:val="00380AF9"/>
    <w:rsid w:val="00381660"/>
    <w:rsid w:val="00384DC7"/>
    <w:rsid w:val="00385859"/>
    <w:rsid w:val="003858DB"/>
    <w:rsid w:val="003863D6"/>
    <w:rsid w:val="00386CAB"/>
    <w:rsid w:val="003902BD"/>
    <w:rsid w:val="003905A0"/>
    <w:rsid w:val="00391021"/>
    <w:rsid w:val="00392C42"/>
    <w:rsid w:val="0039495B"/>
    <w:rsid w:val="003A1560"/>
    <w:rsid w:val="003A48AC"/>
    <w:rsid w:val="003A5040"/>
    <w:rsid w:val="003A5555"/>
    <w:rsid w:val="003A61D0"/>
    <w:rsid w:val="003A7885"/>
    <w:rsid w:val="003B05AC"/>
    <w:rsid w:val="003B0727"/>
    <w:rsid w:val="003B07BD"/>
    <w:rsid w:val="003B18CE"/>
    <w:rsid w:val="003B24C2"/>
    <w:rsid w:val="003B5C13"/>
    <w:rsid w:val="003B605B"/>
    <w:rsid w:val="003B7267"/>
    <w:rsid w:val="003B7BBE"/>
    <w:rsid w:val="003C066F"/>
    <w:rsid w:val="003C1520"/>
    <w:rsid w:val="003C1BA5"/>
    <w:rsid w:val="003C45B7"/>
    <w:rsid w:val="003C4CED"/>
    <w:rsid w:val="003C59ED"/>
    <w:rsid w:val="003C717B"/>
    <w:rsid w:val="003C76DF"/>
    <w:rsid w:val="003C77D6"/>
    <w:rsid w:val="003C7E34"/>
    <w:rsid w:val="003D0D67"/>
    <w:rsid w:val="003D11CE"/>
    <w:rsid w:val="003D3312"/>
    <w:rsid w:val="003D5E1C"/>
    <w:rsid w:val="003D65AA"/>
    <w:rsid w:val="003E2E94"/>
    <w:rsid w:val="003E37CA"/>
    <w:rsid w:val="003E4F9D"/>
    <w:rsid w:val="003E5EC2"/>
    <w:rsid w:val="003E701E"/>
    <w:rsid w:val="003F06CD"/>
    <w:rsid w:val="003F2F0F"/>
    <w:rsid w:val="003F405C"/>
    <w:rsid w:val="003F40E7"/>
    <w:rsid w:val="003F437A"/>
    <w:rsid w:val="004001CF"/>
    <w:rsid w:val="00400D72"/>
    <w:rsid w:val="004031C3"/>
    <w:rsid w:val="00403926"/>
    <w:rsid w:val="004048B2"/>
    <w:rsid w:val="00405537"/>
    <w:rsid w:val="00406360"/>
    <w:rsid w:val="00406DBA"/>
    <w:rsid w:val="0041002A"/>
    <w:rsid w:val="00410681"/>
    <w:rsid w:val="00411827"/>
    <w:rsid w:val="00411C54"/>
    <w:rsid w:val="004123A7"/>
    <w:rsid w:val="004138D3"/>
    <w:rsid w:val="00414828"/>
    <w:rsid w:val="00414E5C"/>
    <w:rsid w:val="004169E0"/>
    <w:rsid w:val="004226D7"/>
    <w:rsid w:val="00423287"/>
    <w:rsid w:val="00423A1D"/>
    <w:rsid w:val="00424289"/>
    <w:rsid w:val="0042453A"/>
    <w:rsid w:val="00424A50"/>
    <w:rsid w:val="00424E1A"/>
    <w:rsid w:val="00425028"/>
    <w:rsid w:val="00427A8B"/>
    <w:rsid w:val="00431043"/>
    <w:rsid w:val="0043162A"/>
    <w:rsid w:val="00432183"/>
    <w:rsid w:val="004325E0"/>
    <w:rsid w:val="00433CC3"/>
    <w:rsid w:val="0043413A"/>
    <w:rsid w:val="004349D6"/>
    <w:rsid w:val="004364ED"/>
    <w:rsid w:val="0044035F"/>
    <w:rsid w:val="00440D36"/>
    <w:rsid w:val="00440D39"/>
    <w:rsid w:val="00440D7F"/>
    <w:rsid w:val="0044442D"/>
    <w:rsid w:val="0044488E"/>
    <w:rsid w:val="00444F6E"/>
    <w:rsid w:val="004456C9"/>
    <w:rsid w:val="004476E6"/>
    <w:rsid w:val="00456B1A"/>
    <w:rsid w:val="00456F2D"/>
    <w:rsid w:val="00463846"/>
    <w:rsid w:val="00463BBD"/>
    <w:rsid w:val="00465DA9"/>
    <w:rsid w:val="004660B2"/>
    <w:rsid w:val="004664EC"/>
    <w:rsid w:val="00466890"/>
    <w:rsid w:val="004668FA"/>
    <w:rsid w:val="0046798C"/>
    <w:rsid w:val="00467F6C"/>
    <w:rsid w:val="00470DC4"/>
    <w:rsid w:val="004725A1"/>
    <w:rsid w:val="00473735"/>
    <w:rsid w:val="00474C37"/>
    <w:rsid w:val="00474EEA"/>
    <w:rsid w:val="004750D9"/>
    <w:rsid w:val="004754AB"/>
    <w:rsid w:val="00477A00"/>
    <w:rsid w:val="00481B59"/>
    <w:rsid w:val="00481CEB"/>
    <w:rsid w:val="00482A07"/>
    <w:rsid w:val="004833E1"/>
    <w:rsid w:val="00484E9F"/>
    <w:rsid w:val="00485CA1"/>
    <w:rsid w:val="00486E73"/>
    <w:rsid w:val="004872EF"/>
    <w:rsid w:val="00487B85"/>
    <w:rsid w:val="00490B2E"/>
    <w:rsid w:val="00492835"/>
    <w:rsid w:val="00492F9F"/>
    <w:rsid w:val="0049504F"/>
    <w:rsid w:val="0049633A"/>
    <w:rsid w:val="0049732E"/>
    <w:rsid w:val="00497D0D"/>
    <w:rsid w:val="004A116A"/>
    <w:rsid w:val="004A192A"/>
    <w:rsid w:val="004A2873"/>
    <w:rsid w:val="004A7A0C"/>
    <w:rsid w:val="004A7A6B"/>
    <w:rsid w:val="004B0A81"/>
    <w:rsid w:val="004B16DA"/>
    <w:rsid w:val="004B2587"/>
    <w:rsid w:val="004B27B5"/>
    <w:rsid w:val="004B4AA9"/>
    <w:rsid w:val="004B64A1"/>
    <w:rsid w:val="004B7A01"/>
    <w:rsid w:val="004B7DEA"/>
    <w:rsid w:val="004C052F"/>
    <w:rsid w:val="004C05A1"/>
    <w:rsid w:val="004C06C9"/>
    <w:rsid w:val="004C1887"/>
    <w:rsid w:val="004C2A9F"/>
    <w:rsid w:val="004C4207"/>
    <w:rsid w:val="004C44AF"/>
    <w:rsid w:val="004C4E96"/>
    <w:rsid w:val="004C56CB"/>
    <w:rsid w:val="004C5786"/>
    <w:rsid w:val="004C5F81"/>
    <w:rsid w:val="004C6823"/>
    <w:rsid w:val="004C6A1B"/>
    <w:rsid w:val="004C70E0"/>
    <w:rsid w:val="004C7C85"/>
    <w:rsid w:val="004C7F20"/>
    <w:rsid w:val="004D0732"/>
    <w:rsid w:val="004D0C36"/>
    <w:rsid w:val="004D200A"/>
    <w:rsid w:val="004D3A25"/>
    <w:rsid w:val="004D4781"/>
    <w:rsid w:val="004D5F81"/>
    <w:rsid w:val="004D69D4"/>
    <w:rsid w:val="004D7A2D"/>
    <w:rsid w:val="004E0569"/>
    <w:rsid w:val="004E0A68"/>
    <w:rsid w:val="004E190E"/>
    <w:rsid w:val="004E1BBE"/>
    <w:rsid w:val="004E20C3"/>
    <w:rsid w:val="004E267B"/>
    <w:rsid w:val="004E2DB7"/>
    <w:rsid w:val="004E35F3"/>
    <w:rsid w:val="004E5418"/>
    <w:rsid w:val="004E5F4A"/>
    <w:rsid w:val="004E72E5"/>
    <w:rsid w:val="004E7D4A"/>
    <w:rsid w:val="004F012E"/>
    <w:rsid w:val="004F0960"/>
    <w:rsid w:val="004F26FB"/>
    <w:rsid w:val="004F3605"/>
    <w:rsid w:val="004F6D55"/>
    <w:rsid w:val="004F6FF3"/>
    <w:rsid w:val="00501267"/>
    <w:rsid w:val="00501DF0"/>
    <w:rsid w:val="005027AD"/>
    <w:rsid w:val="0050430B"/>
    <w:rsid w:val="00504374"/>
    <w:rsid w:val="00505067"/>
    <w:rsid w:val="00507381"/>
    <w:rsid w:val="00507994"/>
    <w:rsid w:val="005079F2"/>
    <w:rsid w:val="00510985"/>
    <w:rsid w:val="00510C10"/>
    <w:rsid w:val="005136D2"/>
    <w:rsid w:val="0051394C"/>
    <w:rsid w:val="00514A80"/>
    <w:rsid w:val="005159C1"/>
    <w:rsid w:val="00516226"/>
    <w:rsid w:val="00516D44"/>
    <w:rsid w:val="005175F7"/>
    <w:rsid w:val="00522AEF"/>
    <w:rsid w:val="005248F1"/>
    <w:rsid w:val="005264C7"/>
    <w:rsid w:val="005269F8"/>
    <w:rsid w:val="005273AC"/>
    <w:rsid w:val="0052783B"/>
    <w:rsid w:val="00530489"/>
    <w:rsid w:val="0053086A"/>
    <w:rsid w:val="005340B4"/>
    <w:rsid w:val="005346DA"/>
    <w:rsid w:val="00535321"/>
    <w:rsid w:val="00536483"/>
    <w:rsid w:val="00536FF4"/>
    <w:rsid w:val="00540425"/>
    <w:rsid w:val="00540B7C"/>
    <w:rsid w:val="00541625"/>
    <w:rsid w:val="00542074"/>
    <w:rsid w:val="005420A7"/>
    <w:rsid w:val="00542D3B"/>
    <w:rsid w:val="005445A8"/>
    <w:rsid w:val="005459FC"/>
    <w:rsid w:val="00545F5D"/>
    <w:rsid w:val="0054662B"/>
    <w:rsid w:val="00546C5F"/>
    <w:rsid w:val="00547A4D"/>
    <w:rsid w:val="00550D88"/>
    <w:rsid w:val="00551B96"/>
    <w:rsid w:val="00552959"/>
    <w:rsid w:val="005537AD"/>
    <w:rsid w:val="00556FC2"/>
    <w:rsid w:val="00557EA8"/>
    <w:rsid w:val="005611BE"/>
    <w:rsid w:val="00561EE3"/>
    <w:rsid w:val="00562575"/>
    <w:rsid w:val="00564309"/>
    <w:rsid w:val="00564924"/>
    <w:rsid w:val="00566611"/>
    <w:rsid w:val="00567033"/>
    <w:rsid w:val="00570640"/>
    <w:rsid w:val="00570806"/>
    <w:rsid w:val="00572251"/>
    <w:rsid w:val="0057300E"/>
    <w:rsid w:val="00574789"/>
    <w:rsid w:val="005759AF"/>
    <w:rsid w:val="00576C99"/>
    <w:rsid w:val="005800D0"/>
    <w:rsid w:val="00580AAE"/>
    <w:rsid w:val="00580FCD"/>
    <w:rsid w:val="00581530"/>
    <w:rsid w:val="005817C7"/>
    <w:rsid w:val="0058247C"/>
    <w:rsid w:val="0058248D"/>
    <w:rsid w:val="0058276B"/>
    <w:rsid w:val="00582C9F"/>
    <w:rsid w:val="005843F8"/>
    <w:rsid w:val="005930DF"/>
    <w:rsid w:val="00594211"/>
    <w:rsid w:val="00594294"/>
    <w:rsid w:val="00594990"/>
    <w:rsid w:val="0059797C"/>
    <w:rsid w:val="005A0473"/>
    <w:rsid w:val="005A19BF"/>
    <w:rsid w:val="005A1BA1"/>
    <w:rsid w:val="005A4283"/>
    <w:rsid w:val="005A5630"/>
    <w:rsid w:val="005A5D77"/>
    <w:rsid w:val="005A6E2A"/>
    <w:rsid w:val="005A76BE"/>
    <w:rsid w:val="005B0307"/>
    <w:rsid w:val="005B0CFB"/>
    <w:rsid w:val="005B13CA"/>
    <w:rsid w:val="005B2114"/>
    <w:rsid w:val="005B528C"/>
    <w:rsid w:val="005B5EB7"/>
    <w:rsid w:val="005B6796"/>
    <w:rsid w:val="005C0FE7"/>
    <w:rsid w:val="005C1DA2"/>
    <w:rsid w:val="005C1E25"/>
    <w:rsid w:val="005D2DF0"/>
    <w:rsid w:val="005D4179"/>
    <w:rsid w:val="005D421B"/>
    <w:rsid w:val="005D6197"/>
    <w:rsid w:val="005D7188"/>
    <w:rsid w:val="005D75C5"/>
    <w:rsid w:val="005D7B80"/>
    <w:rsid w:val="005E0020"/>
    <w:rsid w:val="005E090B"/>
    <w:rsid w:val="005E3339"/>
    <w:rsid w:val="005E5AA4"/>
    <w:rsid w:val="005E5B5A"/>
    <w:rsid w:val="005E5D61"/>
    <w:rsid w:val="005F1056"/>
    <w:rsid w:val="005F2872"/>
    <w:rsid w:val="005F366E"/>
    <w:rsid w:val="005F40CD"/>
    <w:rsid w:val="005F47FC"/>
    <w:rsid w:val="005F4E6A"/>
    <w:rsid w:val="005F608C"/>
    <w:rsid w:val="005F64BA"/>
    <w:rsid w:val="005F7AED"/>
    <w:rsid w:val="00601740"/>
    <w:rsid w:val="00602405"/>
    <w:rsid w:val="006024A2"/>
    <w:rsid w:val="00602D79"/>
    <w:rsid w:val="00603DD2"/>
    <w:rsid w:val="00603E05"/>
    <w:rsid w:val="00604562"/>
    <w:rsid w:val="00605FBE"/>
    <w:rsid w:val="00607623"/>
    <w:rsid w:val="006105E5"/>
    <w:rsid w:val="006120C5"/>
    <w:rsid w:val="006123B2"/>
    <w:rsid w:val="00612FE8"/>
    <w:rsid w:val="00614AB2"/>
    <w:rsid w:val="0061601E"/>
    <w:rsid w:val="00620DBD"/>
    <w:rsid w:val="006212CF"/>
    <w:rsid w:val="00621F08"/>
    <w:rsid w:val="00622126"/>
    <w:rsid w:val="00622E32"/>
    <w:rsid w:val="00623207"/>
    <w:rsid w:val="006238B1"/>
    <w:rsid w:val="00625B06"/>
    <w:rsid w:val="0062655D"/>
    <w:rsid w:val="00626D36"/>
    <w:rsid w:val="0063011E"/>
    <w:rsid w:val="0063171C"/>
    <w:rsid w:val="00631AE9"/>
    <w:rsid w:val="0063275D"/>
    <w:rsid w:val="00634B3D"/>
    <w:rsid w:val="006351C8"/>
    <w:rsid w:val="00637B30"/>
    <w:rsid w:val="006413B3"/>
    <w:rsid w:val="00641599"/>
    <w:rsid w:val="00641DFC"/>
    <w:rsid w:val="00642AFE"/>
    <w:rsid w:val="00642E9E"/>
    <w:rsid w:val="006430E4"/>
    <w:rsid w:val="00643530"/>
    <w:rsid w:val="00643AD5"/>
    <w:rsid w:val="00644A0F"/>
    <w:rsid w:val="00645213"/>
    <w:rsid w:val="00646D36"/>
    <w:rsid w:val="006472C9"/>
    <w:rsid w:val="00650D6F"/>
    <w:rsid w:val="00651D1B"/>
    <w:rsid w:val="0065437E"/>
    <w:rsid w:val="00656AD2"/>
    <w:rsid w:val="00656C92"/>
    <w:rsid w:val="00660EA6"/>
    <w:rsid w:val="00662038"/>
    <w:rsid w:val="00662A5C"/>
    <w:rsid w:val="00663DB6"/>
    <w:rsid w:val="006647EA"/>
    <w:rsid w:val="00664FAC"/>
    <w:rsid w:val="006651EF"/>
    <w:rsid w:val="006656CD"/>
    <w:rsid w:val="00665904"/>
    <w:rsid w:val="00666601"/>
    <w:rsid w:val="00672B53"/>
    <w:rsid w:val="006733D7"/>
    <w:rsid w:val="00673494"/>
    <w:rsid w:val="00673FA8"/>
    <w:rsid w:val="00675563"/>
    <w:rsid w:val="00676D69"/>
    <w:rsid w:val="006773E4"/>
    <w:rsid w:val="0067746A"/>
    <w:rsid w:val="006778AA"/>
    <w:rsid w:val="00677FD4"/>
    <w:rsid w:val="00680497"/>
    <w:rsid w:val="00681166"/>
    <w:rsid w:val="006818CC"/>
    <w:rsid w:val="00682513"/>
    <w:rsid w:val="00683A75"/>
    <w:rsid w:val="00684E7D"/>
    <w:rsid w:val="006903AD"/>
    <w:rsid w:val="00690AB3"/>
    <w:rsid w:val="006924CF"/>
    <w:rsid w:val="00693A92"/>
    <w:rsid w:val="0069461D"/>
    <w:rsid w:val="0069478D"/>
    <w:rsid w:val="0069507A"/>
    <w:rsid w:val="00695D6D"/>
    <w:rsid w:val="0069615B"/>
    <w:rsid w:val="00697606"/>
    <w:rsid w:val="00697686"/>
    <w:rsid w:val="00697BD7"/>
    <w:rsid w:val="006A0014"/>
    <w:rsid w:val="006A0321"/>
    <w:rsid w:val="006A0524"/>
    <w:rsid w:val="006A08AF"/>
    <w:rsid w:val="006A09A4"/>
    <w:rsid w:val="006A1587"/>
    <w:rsid w:val="006A1661"/>
    <w:rsid w:val="006A3CEF"/>
    <w:rsid w:val="006A4F59"/>
    <w:rsid w:val="006A6963"/>
    <w:rsid w:val="006B007E"/>
    <w:rsid w:val="006B09C9"/>
    <w:rsid w:val="006B11D1"/>
    <w:rsid w:val="006B16CC"/>
    <w:rsid w:val="006B173A"/>
    <w:rsid w:val="006B1B4F"/>
    <w:rsid w:val="006B206B"/>
    <w:rsid w:val="006B321D"/>
    <w:rsid w:val="006B3750"/>
    <w:rsid w:val="006B3788"/>
    <w:rsid w:val="006B3B20"/>
    <w:rsid w:val="006B4547"/>
    <w:rsid w:val="006B51AE"/>
    <w:rsid w:val="006B5952"/>
    <w:rsid w:val="006B6F08"/>
    <w:rsid w:val="006B7546"/>
    <w:rsid w:val="006C0703"/>
    <w:rsid w:val="006C0C0B"/>
    <w:rsid w:val="006C67A4"/>
    <w:rsid w:val="006C7A1E"/>
    <w:rsid w:val="006D0F84"/>
    <w:rsid w:val="006D133B"/>
    <w:rsid w:val="006D326A"/>
    <w:rsid w:val="006D3702"/>
    <w:rsid w:val="006D46DB"/>
    <w:rsid w:val="006E0515"/>
    <w:rsid w:val="006E0EE5"/>
    <w:rsid w:val="006E1848"/>
    <w:rsid w:val="006E2354"/>
    <w:rsid w:val="006E23C8"/>
    <w:rsid w:val="006E3B4C"/>
    <w:rsid w:val="006E52B9"/>
    <w:rsid w:val="006F05DF"/>
    <w:rsid w:val="006F184F"/>
    <w:rsid w:val="006F4BE0"/>
    <w:rsid w:val="006F503A"/>
    <w:rsid w:val="006F5716"/>
    <w:rsid w:val="006F665C"/>
    <w:rsid w:val="006F68DF"/>
    <w:rsid w:val="006F7015"/>
    <w:rsid w:val="006F7D55"/>
    <w:rsid w:val="00700908"/>
    <w:rsid w:val="00703825"/>
    <w:rsid w:val="007047D2"/>
    <w:rsid w:val="007049EA"/>
    <w:rsid w:val="00704C24"/>
    <w:rsid w:val="00705E18"/>
    <w:rsid w:val="00706195"/>
    <w:rsid w:val="007069F0"/>
    <w:rsid w:val="007074B0"/>
    <w:rsid w:val="00711CA3"/>
    <w:rsid w:val="007125DE"/>
    <w:rsid w:val="00715127"/>
    <w:rsid w:val="00715AF0"/>
    <w:rsid w:val="007169B8"/>
    <w:rsid w:val="00716C92"/>
    <w:rsid w:val="0071704F"/>
    <w:rsid w:val="007178B6"/>
    <w:rsid w:val="007207F9"/>
    <w:rsid w:val="00720865"/>
    <w:rsid w:val="007209A7"/>
    <w:rsid w:val="0072191D"/>
    <w:rsid w:val="0072254A"/>
    <w:rsid w:val="00723696"/>
    <w:rsid w:val="00723C70"/>
    <w:rsid w:val="00727084"/>
    <w:rsid w:val="0072792D"/>
    <w:rsid w:val="00727AF3"/>
    <w:rsid w:val="00731292"/>
    <w:rsid w:val="00732861"/>
    <w:rsid w:val="00732B7E"/>
    <w:rsid w:val="00733F11"/>
    <w:rsid w:val="00734413"/>
    <w:rsid w:val="00734B8D"/>
    <w:rsid w:val="00735C95"/>
    <w:rsid w:val="00736CCD"/>
    <w:rsid w:val="00740ED9"/>
    <w:rsid w:val="00741137"/>
    <w:rsid w:val="00744A08"/>
    <w:rsid w:val="00745E28"/>
    <w:rsid w:val="00750621"/>
    <w:rsid w:val="0075072D"/>
    <w:rsid w:val="007540CE"/>
    <w:rsid w:val="00754B4B"/>
    <w:rsid w:val="007551AD"/>
    <w:rsid w:val="00755B36"/>
    <w:rsid w:val="007574A3"/>
    <w:rsid w:val="00757914"/>
    <w:rsid w:val="00757A00"/>
    <w:rsid w:val="00757B68"/>
    <w:rsid w:val="007608C7"/>
    <w:rsid w:val="00760A33"/>
    <w:rsid w:val="007617A9"/>
    <w:rsid w:val="00763109"/>
    <w:rsid w:val="00764321"/>
    <w:rsid w:val="00764F04"/>
    <w:rsid w:val="0076531B"/>
    <w:rsid w:val="007655E6"/>
    <w:rsid w:val="007656D0"/>
    <w:rsid w:val="007658DC"/>
    <w:rsid w:val="00766165"/>
    <w:rsid w:val="00766624"/>
    <w:rsid w:val="00772244"/>
    <w:rsid w:val="00773166"/>
    <w:rsid w:val="007742A9"/>
    <w:rsid w:val="00775EF9"/>
    <w:rsid w:val="00776B5C"/>
    <w:rsid w:val="0077702F"/>
    <w:rsid w:val="00780FD3"/>
    <w:rsid w:val="0078316C"/>
    <w:rsid w:val="00785BDE"/>
    <w:rsid w:val="00786244"/>
    <w:rsid w:val="00786458"/>
    <w:rsid w:val="00786608"/>
    <w:rsid w:val="007902AF"/>
    <w:rsid w:val="00793717"/>
    <w:rsid w:val="00797C3B"/>
    <w:rsid w:val="007A3018"/>
    <w:rsid w:val="007A358C"/>
    <w:rsid w:val="007A4ABB"/>
    <w:rsid w:val="007A6D0B"/>
    <w:rsid w:val="007A73C1"/>
    <w:rsid w:val="007B0104"/>
    <w:rsid w:val="007B0177"/>
    <w:rsid w:val="007B0E6B"/>
    <w:rsid w:val="007B1CB4"/>
    <w:rsid w:val="007B232B"/>
    <w:rsid w:val="007B3878"/>
    <w:rsid w:val="007B3EDB"/>
    <w:rsid w:val="007B4EC0"/>
    <w:rsid w:val="007B723B"/>
    <w:rsid w:val="007C193A"/>
    <w:rsid w:val="007C1A4B"/>
    <w:rsid w:val="007C24CB"/>
    <w:rsid w:val="007C3215"/>
    <w:rsid w:val="007C345C"/>
    <w:rsid w:val="007C37F1"/>
    <w:rsid w:val="007C45F2"/>
    <w:rsid w:val="007C4F2B"/>
    <w:rsid w:val="007C57FA"/>
    <w:rsid w:val="007C58B9"/>
    <w:rsid w:val="007C608A"/>
    <w:rsid w:val="007C7586"/>
    <w:rsid w:val="007D0228"/>
    <w:rsid w:val="007D0F48"/>
    <w:rsid w:val="007D1AED"/>
    <w:rsid w:val="007D3E42"/>
    <w:rsid w:val="007D5DCA"/>
    <w:rsid w:val="007D6A65"/>
    <w:rsid w:val="007E07DE"/>
    <w:rsid w:val="007E151D"/>
    <w:rsid w:val="007E277B"/>
    <w:rsid w:val="007E3723"/>
    <w:rsid w:val="007E3C50"/>
    <w:rsid w:val="007E4008"/>
    <w:rsid w:val="007E467A"/>
    <w:rsid w:val="007E4E3B"/>
    <w:rsid w:val="007E5AF5"/>
    <w:rsid w:val="007E5F62"/>
    <w:rsid w:val="007E66C5"/>
    <w:rsid w:val="007F0AEA"/>
    <w:rsid w:val="007F1112"/>
    <w:rsid w:val="007F1B2D"/>
    <w:rsid w:val="007F348A"/>
    <w:rsid w:val="007F5FBA"/>
    <w:rsid w:val="007F6C8D"/>
    <w:rsid w:val="007F746B"/>
    <w:rsid w:val="007F7852"/>
    <w:rsid w:val="00803032"/>
    <w:rsid w:val="00803FEC"/>
    <w:rsid w:val="00804CEF"/>
    <w:rsid w:val="00805AFA"/>
    <w:rsid w:val="008068EB"/>
    <w:rsid w:val="00807144"/>
    <w:rsid w:val="008072BC"/>
    <w:rsid w:val="00807E6B"/>
    <w:rsid w:val="00810F86"/>
    <w:rsid w:val="0081165A"/>
    <w:rsid w:val="008135AF"/>
    <w:rsid w:val="0081423E"/>
    <w:rsid w:val="0081470C"/>
    <w:rsid w:val="0081767C"/>
    <w:rsid w:val="00817F8C"/>
    <w:rsid w:val="0082002A"/>
    <w:rsid w:val="00823B52"/>
    <w:rsid w:val="00830004"/>
    <w:rsid w:val="00830AF8"/>
    <w:rsid w:val="00830D98"/>
    <w:rsid w:val="008326BC"/>
    <w:rsid w:val="00833839"/>
    <w:rsid w:val="008340C0"/>
    <w:rsid w:val="00834262"/>
    <w:rsid w:val="00835E4C"/>
    <w:rsid w:val="00836600"/>
    <w:rsid w:val="00836844"/>
    <w:rsid w:val="00840238"/>
    <w:rsid w:val="0084106E"/>
    <w:rsid w:val="00842434"/>
    <w:rsid w:val="008426C7"/>
    <w:rsid w:val="008445E3"/>
    <w:rsid w:val="00844646"/>
    <w:rsid w:val="00844BB3"/>
    <w:rsid w:val="00845B00"/>
    <w:rsid w:val="00845B25"/>
    <w:rsid w:val="00850035"/>
    <w:rsid w:val="00853BBF"/>
    <w:rsid w:val="00854F59"/>
    <w:rsid w:val="008557C8"/>
    <w:rsid w:val="00855D2E"/>
    <w:rsid w:val="00856DB2"/>
    <w:rsid w:val="00860142"/>
    <w:rsid w:val="00860AB6"/>
    <w:rsid w:val="0086311A"/>
    <w:rsid w:val="00863BF2"/>
    <w:rsid w:val="0086580C"/>
    <w:rsid w:val="00866A4E"/>
    <w:rsid w:val="00870000"/>
    <w:rsid w:val="0087040D"/>
    <w:rsid w:val="00872D22"/>
    <w:rsid w:val="00874242"/>
    <w:rsid w:val="0087654D"/>
    <w:rsid w:val="0087752B"/>
    <w:rsid w:val="008775D0"/>
    <w:rsid w:val="00885641"/>
    <w:rsid w:val="00885688"/>
    <w:rsid w:val="00887F01"/>
    <w:rsid w:val="00890C66"/>
    <w:rsid w:val="00890DCB"/>
    <w:rsid w:val="00890F28"/>
    <w:rsid w:val="0089137B"/>
    <w:rsid w:val="00891FB3"/>
    <w:rsid w:val="0089229D"/>
    <w:rsid w:val="0089442A"/>
    <w:rsid w:val="00894FFC"/>
    <w:rsid w:val="00896CCD"/>
    <w:rsid w:val="008A0FF7"/>
    <w:rsid w:val="008A1168"/>
    <w:rsid w:val="008A1A5D"/>
    <w:rsid w:val="008A2284"/>
    <w:rsid w:val="008A5B6B"/>
    <w:rsid w:val="008A6509"/>
    <w:rsid w:val="008A703D"/>
    <w:rsid w:val="008A7804"/>
    <w:rsid w:val="008A7993"/>
    <w:rsid w:val="008A7E37"/>
    <w:rsid w:val="008A7F42"/>
    <w:rsid w:val="008B031D"/>
    <w:rsid w:val="008B0D8B"/>
    <w:rsid w:val="008B1080"/>
    <w:rsid w:val="008B3C01"/>
    <w:rsid w:val="008B3EF6"/>
    <w:rsid w:val="008B4747"/>
    <w:rsid w:val="008B567B"/>
    <w:rsid w:val="008B7B9C"/>
    <w:rsid w:val="008B7EE3"/>
    <w:rsid w:val="008C013D"/>
    <w:rsid w:val="008C08EA"/>
    <w:rsid w:val="008C0D58"/>
    <w:rsid w:val="008C16CE"/>
    <w:rsid w:val="008C2233"/>
    <w:rsid w:val="008C4451"/>
    <w:rsid w:val="008C5644"/>
    <w:rsid w:val="008C6846"/>
    <w:rsid w:val="008C6C09"/>
    <w:rsid w:val="008C6C5A"/>
    <w:rsid w:val="008D08AF"/>
    <w:rsid w:val="008D0A93"/>
    <w:rsid w:val="008D0ACD"/>
    <w:rsid w:val="008D20AB"/>
    <w:rsid w:val="008D21DE"/>
    <w:rsid w:val="008D2A1C"/>
    <w:rsid w:val="008D55FA"/>
    <w:rsid w:val="008D7176"/>
    <w:rsid w:val="008D7B4D"/>
    <w:rsid w:val="008E0DE1"/>
    <w:rsid w:val="008E1106"/>
    <w:rsid w:val="008E34E5"/>
    <w:rsid w:val="008E37FB"/>
    <w:rsid w:val="008E39BB"/>
    <w:rsid w:val="008E4051"/>
    <w:rsid w:val="008E4BA4"/>
    <w:rsid w:val="008E576B"/>
    <w:rsid w:val="008F214D"/>
    <w:rsid w:val="008F2AE9"/>
    <w:rsid w:val="008F2DD9"/>
    <w:rsid w:val="008F4633"/>
    <w:rsid w:val="008F50EE"/>
    <w:rsid w:val="008F6E2C"/>
    <w:rsid w:val="009006CB"/>
    <w:rsid w:val="00900A17"/>
    <w:rsid w:val="00902076"/>
    <w:rsid w:val="00903414"/>
    <w:rsid w:val="00905266"/>
    <w:rsid w:val="00906D59"/>
    <w:rsid w:val="00907060"/>
    <w:rsid w:val="0091045D"/>
    <w:rsid w:val="00910900"/>
    <w:rsid w:val="00911F4C"/>
    <w:rsid w:val="00912D78"/>
    <w:rsid w:val="009133D8"/>
    <w:rsid w:val="00913690"/>
    <w:rsid w:val="00913774"/>
    <w:rsid w:val="009140B5"/>
    <w:rsid w:val="00915054"/>
    <w:rsid w:val="009154B0"/>
    <w:rsid w:val="00916506"/>
    <w:rsid w:val="0091654F"/>
    <w:rsid w:val="0091700F"/>
    <w:rsid w:val="0091772C"/>
    <w:rsid w:val="00917FFC"/>
    <w:rsid w:val="0092014A"/>
    <w:rsid w:val="00923411"/>
    <w:rsid w:val="00924523"/>
    <w:rsid w:val="00925339"/>
    <w:rsid w:val="00930204"/>
    <w:rsid w:val="00930254"/>
    <w:rsid w:val="00930C40"/>
    <w:rsid w:val="009314A1"/>
    <w:rsid w:val="00931525"/>
    <w:rsid w:val="00931C04"/>
    <w:rsid w:val="00932984"/>
    <w:rsid w:val="00932EE7"/>
    <w:rsid w:val="00933901"/>
    <w:rsid w:val="00933BF6"/>
    <w:rsid w:val="00934188"/>
    <w:rsid w:val="00937ADA"/>
    <w:rsid w:val="00937CF3"/>
    <w:rsid w:val="00940256"/>
    <w:rsid w:val="00943246"/>
    <w:rsid w:val="00943C35"/>
    <w:rsid w:val="00944597"/>
    <w:rsid w:val="009474D4"/>
    <w:rsid w:val="00951530"/>
    <w:rsid w:val="00952C14"/>
    <w:rsid w:val="00952CD8"/>
    <w:rsid w:val="00953CC0"/>
    <w:rsid w:val="0095405C"/>
    <w:rsid w:val="0095419F"/>
    <w:rsid w:val="00954316"/>
    <w:rsid w:val="009548FB"/>
    <w:rsid w:val="0095672D"/>
    <w:rsid w:val="00956E5E"/>
    <w:rsid w:val="009577DA"/>
    <w:rsid w:val="00957FB1"/>
    <w:rsid w:val="0096022A"/>
    <w:rsid w:val="00960E22"/>
    <w:rsid w:val="00961AA3"/>
    <w:rsid w:val="00961BC5"/>
    <w:rsid w:val="009628B5"/>
    <w:rsid w:val="00962DCA"/>
    <w:rsid w:val="009644FE"/>
    <w:rsid w:val="00964968"/>
    <w:rsid w:val="0096640F"/>
    <w:rsid w:val="00972999"/>
    <w:rsid w:val="00972E38"/>
    <w:rsid w:val="00973273"/>
    <w:rsid w:val="00973E8E"/>
    <w:rsid w:val="00974539"/>
    <w:rsid w:val="0097516E"/>
    <w:rsid w:val="009764B2"/>
    <w:rsid w:val="009766C0"/>
    <w:rsid w:val="0097785D"/>
    <w:rsid w:val="0097794E"/>
    <w:rsid w:val="00980C14"/>
    <w:rsid w:val="00982D90"/>
    <w:rsid w:val="009838C6"/>
    <w:rsid w:val="00984E76"/>
    <w:rsid w:val="00984FB6"/>
    <w:rsid w:val="0098594F"/>
    <w:rsid w:val="00987F84"/>
    <w:rsid w:val="0099395E"/>
    <w:rsid w:val="009942E5"/>
    <w:rsid w:val="00994E88"/>
    <w:rsid w:val="009974B1"/>
    <w:rsid w:val="0099783E"/>
    <w:rsid w:val="009A296C"/>
    <w:rsid w:val="009A2A39"/>
    <w:rsid w:val="009A2F63"/>
    <w:rsid w:val="009A3C2A"/>
    <w:rsid w:val="009A3CC1"/>
    <w:rsid w:val="009A5525"/>
    <w:rsid w:val="009A5B92"/>
    <w:rsid w:val="009A5F4A"/>
    <w:rsid w:val="009A7682"/>
    <w:rsid w:val="009B189C"/>
    <w:rsid w:val="009B256A"/>
    <w:rsid w:val="009B2D4D"/>
    <w:rsid w:val="009B47A5"/>
    <w:rsid w:val="009B6304"/>
    <w:rsid w:val="009B65BA"/>
    <w:rsid w:val="009B6B1A"/>
    <w:rsid w:val="009B7D10"/>
    <w:rsid w:val="009C0C19"/>
    <w:rsid w:val="009C0E5A"/>
    <w:rsid w:val="009C2B7B"/>
    <w:rsid w:val="009C32AA"/>
    <w:rsid w:val="009C3780"/>
    <w:rsid w:val="009C3AE5"/>
    <w:rsid w:val="009C3D55"/>
    <w:rsid w:val="009C464A"/>
    <w:rsid w:val="009C600F"/>
    <w:rsid w:val="009D1016"/>
    <w:rsid w:val="009D160F"/>
    <w:rsid w:val="009D26F3"/>
    <w:rsid w:val="009D3D52"/>
    <w:rsid w:val="009D4A3F"/>
    <w:rsid w:val="009D52C8"/>
    <w:rsid w:val="009D5C61"/>
    <w:rsid w:val="009D6D29"/>
    <w:rsid w:val="009D77B3"/>
    <w:rsid w:val="009E0BF8"/>
    <w:rsid w:val="009E26E1"/>
    <w:rsid w:val="009E2FD0"/>
    <w:rsid w:val="009F017A"/>
    <w:rsid w:val="009F14CD"/>
    <w:rsid w:val="009F1AA7"/>
    <w:rsid w:val="009F20FD"/>
    <w:rsid w:val="009F2539"/>
    <w:rsid w:val="009F3758"/>
    <w:rsid w:val="009F383F"/>
    <w:rsid w:val="00A03B95"/>
    <w:rsid w:val="00A043E7"/>
    <w:rsid w:val="00A04848"/>
    <w:rsid w:val="00A04DFB"/>
    <w:rsid w:val="00A056B3"/>
    <w:rsid w:val="00A0662A"/>
    <w:rsid w:val="00A073ED"/>
    <w:rsid w:val="00A07738"/>
    <w:rsid w:val="00A1064C"/>
    <w:rsid w:val="00A115A8"/>
    <w:rsid w:val="00A118E3"/>
    <w:rsid w:val="00A13D5E"/>
    <w:rsid w:val="00A16ABA"/>
    <w:rsid w:val="00A1749D"/>
    <w:rsid w:val="00A223EC"/>
    <w:rsid w:val="00A241AB"/>
    <w:rsid w:val="00A241D3"/>
    <w:rsid w:val="00A24370"/>
    <w:rsid w:val="00A24EEE"/>
    <w:rsid w:val="00A268B8"/>
    <w:rsid w:val="00A273A3"/>
    <w:rsid w:val="00A2767A"/>
    <w:rsid w:val="00A30682"/>
    <w:rsid w:val="00A306EF"/>
    <w:rsid w:val="00A30779"/>
    <w:rsid w:val="00A309CB"/>
    <w:rsid w:val="00A31587"/>
    <w:rsid w:val="00A319B3"/>
    <w:rsid w:val="00A31B13"/>
    <w:rsid w:val="00A33591"/>
    <w:rsid w:val="00A35B4F"/>
    <w:rsid w:val="00A36275"/>
    <w:rsid w:val="00A36572"/>
    <w:rsid w:val="00A40BD7"/>
    <w:rsid w:val="00A40DFA"/>
    <w:rsid w:val="00A40F1D"/>
    <w:rsid w:val="00A40F82"/>
    <w:rsid w:val="00A42A86"/>
    <w:rsid w:val="00A431A7"/>
    <w:rsid w:val="00A433CE"/>
    <w:rsid w:val="00A43B16"/>
    <w:rsid w:val="00A46CB9"/>
    <w:rsid w:val="00A47186"/>
    <w:rsid w:val="00A4789D"/>
    <w:rsid w:val="00A515EA"/>
    <w:rsid w:val="00A52400"/>
    <w:rsid w:val="00A52B62"/>
    <w:rsid w:val="00A52D52"/>
    <w:rsid w:val="00A53361"/>
    <w:rsid w:val="00A53A19"/>
    <w:rsid w:val="00A55644"/>
    <w:rsid w:val="00A55A37"/>
    <w:rsid w:val="00A55F79"/>
    <w:rsid w:val="00A5704D"/>
    <w:rsid w:val="00A601A1"/>
    <w:rsid w:val="00A60918"/>
    <w:rsid w:val="00A60A38"/>
    <w:rsid w:val="00A64E40"/>
    <w:rsid w:val="00A65F5C"/>
    <w:rsid w:val="00A65F9F"/>
    <w:rsid w:val="00A66130"/>
    <w:rsid w:val="00A665CE"/>
    <w:rsid w:val="00A6775F"/>
    <w:rsid w:val="00A708A4"/>
    <w:rsid w:val="00A70A04"/>
    <w:rsid w:val="00A722E1"/>
    <w:rsid w:val="00A729F5"/>
    <w:rsid w:val="00A72BBD"/>
    <w:rsid w:val="00A73503"/>
    <w:rsid w:val="00A741C8"/>
    <w:rsid w:val="00A76867"/>
    <w:rsid w:val="00A8505C"/>
    <w:rsid w:val="00A86C20"/>
    <w:rsid w:val="00A9224B"/>
    <w:rsid w:val="00A927D6"/>
    <w:rsid w:val="00A93795"/>
    <w:rsid w:val="00A959CD"/>
    <w:rsid w:val="00A968A4"/>
    <w:rsid w:val="00A9730D"/>
    <w:rsid w:val="00A97597"/>
    <w:rsid w:val="00A97A2B"/>
    <w:rsid w:val="00AA37BE"/>
    <w:rsid w:val="00AA3B45"/>
    <w:rsid w:val="00AA54C5"/>
    <w:rsid w:val="00AB2030"/>
    <w:rsid w:val="00AB41F1"/>
    <w:rsid w:val="00AB7312"/>
    <w:rsid w:val="00AB7854"/>
    <w:rsid w:val="00AB7CE0"/>
    <w:rsid w:val="00AB7EFF"/>
    <w:rsid w:val="00AC00DE"/>
    <w:rsid w:val="00AC10AD"/>
    <w:rsid w:val="00AC1516"/>
    <w:rsid w:val="00AC2357"/>
    <w:rsid w:val="00AC3021"/>
    <w:rsid w:val="00AC3EE5"/>
    <w:rsid w:val="00AC4786"/>
    <w:rsid w:val="00AC692D"/>
    <w:rsid w:val="00AD1655"/>
    <w:rsid w:val="00AD42C3"/>
    <w:rsid w:val="00AD456D"/>
    <w:rsid w:val="00AD6103"/>
    <w:rsid w:val="00AD653B"/>
    <w:rsid w:val="00AD686E"/>
    <w:rsid w:val="00AD6C6F"/>
    <w:rsid w:val="00AE2743"/>
    <w:rsid w:val="00AE414B"/>
    <w:rsid w:val="00AE428C"/>
    <w:rsid w:val="00AE685A"/>
    <w:rsid w:val="00AE7EA3"/>
    <w:rsid w:val="00AF0528"/>
    <w:rsid w:val="00AF0556"/>
    <w:rsid w:val="00AF0DEE"/>
    <w:rsid w:val="00AF1A68"/>
    <w:rsid w:val="00AF1D5D"/>
    <w:rsid w:val="00AF1EA0"/>
    <w:rsid w:val="00AF266A"/>
    <w:rsid w:val="00AF2B52"/>
    <w:rsid w:val="00AF449A"/>
    <w:rsid w:val="00AF652A"/>
    <w:rsid w:val="00AF68B0"/>
    <w:rsid w:val="00AF70C0"/>
    <w:rsid w:val="00B0027E"/>
    <w:rsid w:val="00B002E3"/>
    <w:rsid w:val="00B03437"/>
    <w:rsid w:val="00B058CB"/>
    <w:rsid w:val="00B064CB"/>
    <w:rsid w:val="00B0682B"/>
    <w:rsid w:val="00B10931"/>
    <w:rsid w:val="00B12158"/>
    <w:rsid w:val="00B12B44"/>
    <w:rsid w:val="00B13F9E"/>
    <w:rsid w:val="00B141E5"/>
    <w:rsid w:val="00B153AA"/>
    <w:rsid w:val="00B1573F"/>
    <w:rsid w:val="00B15A10"/>
    <w:rsid w:val="00B15F0B"/>
    <w:rsid w:val="00B16DA4"/>
    <w:rsid w:val="00B17E5B"/>
    <w:rsid w:val="00B214C0"/>
    <w:rsid w:val="00B214DF"/>
    <w:rsid w:val="00B2214D"/>
    <w:rsid w:val="00B23650"/>
    <w:rsid w:val="00B24B37"/>
    <w:rsid w:val="00B24D02"/>
    <w:rsid w:val="00B25AA1"/>
    <w:rsid w:val="00B2673E"/>
    <w:rsid w:val="00B26E0E"/>
    <w:rsid w:val="00B273E8"/>
    <w:rsid w:val="00B306A5"/>
    <w:rsid w:val="00B31F08"/>
    <w:rsid w:val="00B336FF"/>
    <w:rsid w:val="00B33E77"/>
    <w:rsid w:val="00B3419A"/>
    <w:rsid w:val="00B40EF6"/>
    <w:rsid w:val="00B42C5D"/>
    <w:rsid w:val="00B42CF6"/>
    <w:rsid w:val="00B42EC7"/>
    <w:rsid w:val="00B4384B"/>
    <w:rsid w:val="00B43DEB"/>
    <w:rsid w:val="00B4443D"/>
    <w:rsid w:val="00B447A0"/>
    <w:rsid w:val="00B458A4"/>
    <w:rsid w:val="00B46467"/>
    <w:rsid w:val="00B46E30"/>
    <w:rsid w:val="00B4751E"/>
    <w:rsid w:val="00B50872"/>
    <w:rsid w:val="00B50FC9"/>
    <w:rsid w:val="00B5113A"/>
    <w:rsid w:val="00B51976"/>
    <w:rsid w:val="00B53459"/>
    <w:rsid w:val="00B536A0"/>
    <w:rsid w:val="00B54736"/>
    <w:rsid w:val="00B560A2"/>
    <w:rsid w:val="00B56342"/>
    <w:rsid w:val="00B56B9A"/>
    <w:rsid w:val="00B57E40"/>
    <w:rsid w:val="00B61686"/>
    <w:rsid w:val="00B6249E"/>
    <w:rsid w:val="00B62988"/>
    <w:rsid w:val="00B633ED"/>
    <w:rsid w:val="00B6352D"/>
    <w:rsid w:val="00B66F92"/>
    <w:rsid w:val="00B7123D"/>
    <w:rsid w:val="00B71ECA"/>
    <w:rsid w:val="00B71F5C"/>
    <w:rsid w:val="00B72CBB"/>
    <w:rsid w:val="00B749C3"/>
    <w:rsid w:val="00B74CDC"/>
    <w:rsid w:val="00B75EFE"/>
    <w:rsid w:val="00B77936"/>
    <w:rsid w:val="00B77DAF"/>
    <w:rsid w:val="00B77E87"/>
    <w:rsid w:val="00B77FF3"/>
    <w:rsid w:val="00B80035"/>
    <w:rsid w:val="00B807AD"/>
    <w:rsid w:val="00B8092B"/>
    <w:rsid w:val="00B80C94"/>
    <w:rsid w:val="00B80D0F"/>
    <w:rsid w:val="00B814EB"/>
    <w:rsid w:val="00B815DC"/>
    <w:rsid w:val="00B81995"/>
    <w:rsid w:val="00B81B38"/>
    <w:rsid w:val="00B81DB0"/>
    <w:rsid w:val="00B82DC9"/>
    <w:rsid w:val="00B8379F"/>
    <w:rsid w:val="00B8609F"/>
    <w:rsid w:val="00B86C7C"/>
    <w:rsid w:val="00B87744"/>
    <w:rsid w:val="00B90367"/>
    <w:rsid w:val="00B912B6"/>
    <w:rsid w:val="00B92707"/>
    <w:rsid w:val="00B93D72"/>
    <w:rsid w:val="00B95326"/>
    <w:rsid w:val="00B96006"/>
    <w:rsid w:val="00B96810"/>
    <w:rsid w:val="00B9754A"/>
    <w:rsid w:val="00BA0B33"/>
    <w:rsid w:val="00BA1420"/>
    <w:rsid w:val="00BA6448"/>
    <w:rsid w:val="00BB2800"/>
    <w:rsid w:val="00BB3A4F"/>
    <w:rsid w:val="00BB513D"/>
    <w:rsid w:val="00BB6059"/>
    <w:rsid w:val="00BB65F8"/>
    <w:rsid w:val="00BB7DA7"/>
    <w:rsid w:val="00BC0DAF"/>
    <w:rsid w:val="00BC123A"/>
    <w:rsid w:val="00BC1547"/>
    <w:rsid w:val="00BC450B"/>
    <w:rsid w:val="00BC53F7"/>
    <w:rsid w:val="00BD07D5"/>
    <w:rsid w:val="00BD0D95"/>
    <w:rsid w:val="00BD12A0"/>
    <w:rsid w:val="00BD1A65"/>
    <w:rsid w:val="00BD30CF"/>
    <w:rsid w:val="00BD4064"/>
    <w:rsid w:val="00BD4454"/>
    <w:rsid w:val="00BD4A98"/>
    <w:rsid w:val="00BD504F"/>
    <w:rsid w:val="00BD59DB"/>
    <w:rsid w:val="00BD5DF2"/>
    <w:rsid w:val="00BD63F4"/>
    <w:rsid w:val="00BD6809"/>
    <w:rsid w:val="00BD6F5E"/>
    <w:rsid w:val="00BD74E9"/>
    <w:rsid w:val="00BE1C87"/>
    <w:rsid w:val="00BE22B2"/>
    <w:rsid w:val="00BE3C08"/>
    <w:rsid w:val="00BE525F"/>
    <w:rsid w:val="00BF0114"/>
    <w:rsid w:val="00BF0300"/>
    <w:rsid w:val="00BF29E7"/>
    <w:rsid w:val="00BF3571"/>
    <w:rsid w:val="00BF3B1E"/>
    <w:rsid w:val="00BF4127"/>
    <w:rsid w:val="00BF5542"/>
    <w:rsid w:val="00BF5D82"/>
    <w:rsid w:val="00BF7A85"/>
    <w:rsid w:val="00C00131"/>
    <w:rsid w:val="00C007CF"/>
    <w:rsid w:val="00C010C7"/>
    <w:rsid w:val="00C025A0"/>
    <w:rsid w:val="00C02FE0"/>
    <w:rsid w:val="00C03CA8"/>
    <w:rsid w:val="00C04325"/>
    <w:rsid w:val="00C0448D"/>
    <w:rsid w:val="00C0458D"/>
    <w:rsid w:val="00C050BD"/>
    <w:rsid w:val="00C0700B"/>
    <w:rsid w:val="00C1018B"/>
    <w:rsid w:val="00C113A4"/>
    <w:rsid w:val="00C11987"/>
    <w:rsid w:val="00C12D2D"/>
    <w:rsid w:val="00C14314"/>
    <w:rsid w:val="00C15008"/>
    <w:rsid w:val="00C15742"/>
    <w:rsid w:val="00C167C1"/>
    <w:rsid w:val="00C203AA"/>
    <w:rsid w:val="00C206EE"/>
    <w:rsid w:val="00C23F3E"/>
    <w:rsid w:val="00C25FB6"/>
    <w:rsid w:val="00C26446"/>
    <w:rsid w:val="00C27032"/>
    <w:rsid w:val="00C2712A"/>
    <w:rsid w:val="00C33904"/>
    <w:rsid w:val="00C33EC8"/>
    <w:rsid w:val="00C346E7"/>
    <w:rsid w:val="00C35CF1"/>
    <w:rsid w:val="00C36104"/>
    <w:rsid w:val="00C37DF1"/>
    <w:rsid w:val="00C42398"/>
    <w:rsid w:val="00C43721"/>
    <w:rsid w:val="00C43CBE"/>
    <w:rsid w:val="00C44375"/>
    <w:rsid w:val="00C44EF1"/>
    <w:rsid w:val="00C45FDC"/>
    <w:rsid w:val="00C46184"/>
    <w:rsid w:val="00C46FC3"/>
    <w:rsid w:val="00C50203"/>
    <w:rsid w:val="00C51349"/>
    <w:rsid w:val="00C52643"/>
    <w:rsid w:val="00C52DA4"/>
    <w:rsid w:val="00C52EC9"/>
    <w:rsid w:val="00C538AC"/>
    <w:rsid w:val="00C53AD3"/>
    <w:rsid w:val="00C540A5"/>
    <w:rsid w:val="00C5480C"/>
    <w:rsid w:val="00C54FE3"/>
    <w:rsid w:val="00C551F5"/>
    <w:rsid w:val="00C55DED"/>
    <w:rsid w:val="00C57009"/>
    <w:rsid w:val="00C57D9F"/>
    <w:rsid w:val="00C61AEF"/>
    <w:rsid w:val="00C6267A"/>
    <w:rsid w:val="00C64BEF"/>
    <w:rsid w:val="00C658A6"/>
    <w:rsid w:val="00C67861"/>
    <w:rsid w:val="00C67D9F"/>
    <w:rsid w:val="00C7057F"/>
    <w:rsid w:val="00C70B57"/>
    <w:rsid w:val="00C75CDD"/>
    <w:rsid w:val="00C81EC3"/>
    <w:rsid w:val="00C82141"/>
    <w:rsid w:val="00C82331"/>
    <w:rsid w:val="00C82AFC"/>
    <w:rsid w:val="00C8450B"/>
    <w:rsid w:val="00C845A4"/>
    <w:rsid w:val="00C86ED5"/>
    <w:rsid w:val="00C871BB"/>
    <w:rsid w:val="00C906FF"/>
    <w:rsid w:val="00C920CB"/>
    <w:rsid w:val="00C930E7"/>
    <w:rsid w:val="00C93FCC"/>
    <w:rsid w:val="00C954DE"/>
    <w:rsid w:val="00C96674"/>
    <w:rsid w:val="00C973AE"/>
    <w:rsid w:val="00CA2B1E"/>
    <w:rsid w:val="00CA34FB"/>
    <w:rsid w:val="00CA470D"/>
    <w:rsid w:val="00CA4BB7"/>
    <w:rsid w:val="00CA5497"/>
    <w:rsid w:val="00CA6EFD"/>
    <w:rsid w:val="00CB14DD"/>
    <w:rsid w:val="00CB1C4A"/>
    <w:rsid w:val="00CB286E"/>
    <w:rsid w:val="00CB46AA"/>
    <w:rsid w:val="00CB59E5"/>
    <w:rsid w:val="00CB5AFF"/>
    <w:rsid w:val="00CB7741"/>
    <w:rsid w:val="00CB7A98"/>
    <w:rsid w:val="00CC003F"/>
    <w:rsid w:val="00CC0769"/>
    <w:rsid w:val="00CC0CFE"/>
    <w:rsid w:val="00CC17C2"/>
    <w:rsid w:val="00CC1C5C"/>
    <w:rsid w:val="00CC411C"/>
    <w:rsid w:val="00CC432C"/>
    <w:rsid w:val="00CC7508"/>
    <w:rsid w:val="00CC78EA"/>
    <w:rsid w:val="00CD0168"/>
    <w:rsid w:val="00CD0C91"/>
    <w:rsid w:val="00CD1CB8"/>
    <w:rsid w:val="00CD2332"/>
    <w:rsid w:val="00CD2796"/>
    <w:rsid w:val="00CD378A"/>
    <w:rsid w:val="00CD497B"/>
    <w:rsid w:val="00CD4D16"/>
    <w:rsid w:val="00CD6D57"/>
    <w:rsid w:val="00CE162E"/>
    <w:rsid w:val="00CE34DD"/>
    <w:rsid w:val="00CE4049"/>
    <w:rsid w:val="00CE5051"/>
    <w:rsid w:val="00CE6E4B"/>
    <w:rsid w:val="00CE7644"/>
    <w:rsid w:val="00CF089B"/>
    <w:rsid w:val="00CF1989"/>
    <w:rsid w:val="00CF20F0"/>
    <w:rsid w:val="00CF63FD"/>
    <w:rsid w:val="00CF6B4E"/>
    <w:rsid w:val="00CF7173"/>
    <w:rsid w:val="00CF7A45"/>
    <w:rsid w:val="00D01C02"/>
    <w:rsid w:val="00D02E65"/>
    <w:rsid w:val="00D043DD"/>
    <w:rsid w:val="00D05741"/>
    <w:rsid w:val="00D0633B"/>
    <w:rsid w:val="00D07409"/>
    <w:rsid w:val="00D134E6"/>
    <w:rsid w:val="00D13570"/>
    <w:rsid w:val="00D14491"/>
    <w:rsid w:val="00D14647"/>
    <w:rsid w:val="00D1541D"/>
    <w:rsid w:val="00D15DB5"/>
    <w:rsid w:val="00D16184"/>
    <w:rsid w:val="00D16FCA"/>
    <w:rsid w:val="00D20614"/>
    <w:rsid w:val="00D207E6"/>
    <w:rsid w:val="00D21412"/>
    <w:rsid w:val="00D23478"/>
    <w:rsid w:val="00D243E9"/>
    <w:rsid w:val="00D24479"/>
    <w:rsid w:val="00D2481A"/>
    <w:rsid w:val="00D251C9"/>
    <w:rsid w:val="00D25ADA"/>
    <w:rsid w:val="00D25E7D"/>
    <w:rsid w:val="00D263D9"/>
    <w:rsid w:val="00D266AF"/>
    <w:rsid w:val="00D2750E"/>
    <w:rsid w:val="00D31639"/>
    <w:rsid w:val="00D344F5"/>
    <w:rsid w:val="00D345CB"/>
    <w:rsid w:val="00D35AB3"/>
    <w:rsid w:val="00D367BC"/>
    <w:rsid w:val="00D36D59"/>
    <w:rsid w:val="00D41B63"/>
    <w:rsid w:val="00D422C8"/>
    <w:rsid w:val="00D4302B"/>
    <w:rsid w:val="00D44954"/>
    <w:rsid w:val="00D463AF"/>
    <w:rsid w:val="00D47E08"/>
    <w:rsid w:val="00D50016"/>
    <w:rsid w:val="00D528A2"/>
    <w:rsid w:val="00D5303F"/>
    <w:rsid w:val="00D54107"/>
    <w:rsid w:val="00D546FF"/>
    <w:rsid w:val="00D55725"/>
    <w:rsid w:val="00D56789"/>
    <w:rsid w:val="00D56CE0"/>
    <w:rsid w:val="00D57AD1"/>
    <w:rsid w:val="00D60739"/>
    <w:rsid w:val="00D6195A"/>
    <w:rsid w:val="00D62526"/>
    <w:rsid w:val="00D6303F"/>
    <w:rsid w:val="00D64DD4"/>
    <w:rsid w:val="00D663EA"/>
    <w:rsid w:val="00D6687B"/>
    <w:rsid w:val="00D67FB6"/>
    <w:rsid w:val="00D72B2C"/>
    <w:rsid w:val="00D74BDF"/>
    <w:rsid w:val="00D74C5F"/>
    <w:rsid w:val="00D765EA"/>
    <w:rsid w:val="00D807AF"/>
    <w:rsid w:val="00D811C0"/>
    <w:rsid w:val="00D81314"/>
    <w:rsid w:val="00D81444"/>
    <w:rsid w:val="00D81B86"/>
    <w:rsid w:val="00D8251D"/>
    <w:rsid w:val="00D82B00"/>
    <w:rsid w:val="00D834CB"/>
    <w:rsid w:val="00D83F9A"/>
    <w:rsid w:val="00D840EA"/>
    <w:rsid w:val="00D84AD3"/>
    <w:rsid w:val="00D855F7"/>
    <w:rsid w:val="00D8614B"/>
    <w:rsid w:val="00D861F6"/>
    <w:rsid w:val="00D92466"/>
    <w:rsid w:val="00D92A19"/>
    <w:rsid w:val="00D92F62"/>
    <w:rsid w:val="00D939C4"/>
    <w:rsid w:val="00D93EDA"/>
    <w:rsid w:val="00D96BF5"/>
    <w:rsid w:val="00D96F43"/>
    <w:rsid w:val="00DA2575"/>
    <w:rsid w:val="00DA2A7C"/>
    <w:rsid w:val="00DA3806"/>
    <w:rsid w:val="00DA4CD5"/>
    <w:rsid w:val="00DA659F"/>
    <w:rsid w:val="00DA7095"/>
    <w:rsid w:val="00DA7BAF"/>
    <w:rsid w:val="00DB031A"/>
    <w:rsid w:val="00DB0498"/>
    <w:rsid w:val="00DB165E"/>
    <w:rsid w:val="00DB2368"/>
    <w:rsid w:val="00DB262A"/>
    <w:rsid w:val="00DB2712"/>
    <w:rsid w:val="00DB339B"/>
    <w:rsid w:val="00DB4C07"/>
    <w:rsid w:val="00DB4E09"/>
    <w:rsid w:val="00DB5DAE"/>
    <w:rsid w:val="00DB5FE2"/>
    <w:rsid w:val="00DB6983"/>
    <w:rsid w:val="00DC15C5"/>
    <w:rsid w:val="00DC1E74"/>
    <w:rsid w:val="00DC4320"/>
    <w:rsid w:val="00DC4B45"/>
    <w:rsid w:val="00DC7B11"/>
    <w:rsid w:val="00DD16FD"/>
    <w:rsid w:val="00DD2454"/>
    <w:rsid w:val="00DD3780"/>
    <w:rsid w:val="00DD5479"/>
    <w:rsid w:val="00DD5C1A"/>
    <w:rsid w:val="00DD690A"/>
    <w:rsid w:val="00DE065F"/>
    <w:rsid w:val="00DE1467"/>
    <w:rsid w:val="00DE1AD0"/>
    <w:rsid w:val="00DE1BCF"/>
    <w:rsid w:val="00DE2547"/>
    <w:rsid w:val="00DE25DD"/>
    <w:rsid w:val="00DE6362"/>
    <w:rsid w:val="00DE6D43"/>
    <w:rsid w:val="00DE747A"/>
    <w:rsid w:val="00DE7647"/>
    <w:rsid w:val="00DF0911"/>
    <w:rsid w:val="00DF2C0D"/>
    <w:rsid w:val="00DF387D"/>
    <w:rsid w:val="00DF3F7F"/>
    <w:rsid w:val="00DF54B2"/>
    <w:rsid w:val="00DF71CB"/>
    <w:rsid w:val="00DF7ADE"/>
    <w:rsid w:val="00E006B4"/>
    <w:rsid w:val="00E01094"/>
    <w:rsid w:val="00E01468"/>
    <w:rsid w:val="00E031AC"/>
    <w:rsid w:val="00E03B08"/>
    <w:rsid w:val="00E05BEE"/>
    <w:rsid w:val="00E05CF1"/>
    <w:rsid w:val="00E05D6D"/>
    <w:rsid w:val="00E07062"/>
    <w:rsid w:val="00E117EA"/>
    <w:rsid w:val="00E118B8"/>
    <w:rsid w:val="00E11ED0"/>
    <w:rsid w:val="00E1235A"/>
    <w:rsid w:val="00E14511"/>
    <w:rsid w:val="00E1480B"/>
    <w:rsid w:val="00E14A4E"/>
    <w:rsid w:val="00E15606"/>
    <w:rsid w:val="00E1584D"/>
    <w:rsid w:val="00E15EBF"/>
    <w:rsid w:val="00E16B0E"/>
    <w:rsid w:val="00E2060E"/>
    <w:rsid w:val="00E21125"/>
    <w:rsid w:val="00E21B8A"/>
    <w:rsid w:val="00E22183"/>
    <w:rsid w:val="00E22E8C"/>
    <w:rsid w:val="00E245DA"/>
    <w:rsid w:val="00E271B8"/>
    <w:rsid w:val="00E27834"/>
    <w:rsid w:val="00E32526"/>
    <w:rsid w:val="00E33C7A"/>
    <w:rsid w:val="00E35FC5"/>
    <w:rsid w:val="00E36059"/>
    <w:rsid w:val="00E36B29"/>
    <w:rsid w:val="00E37CBC"/>
    <w:rsid w:val="00E37F38"/>
    <w:rsid w:val="00E40F45"/>
    <w:rsid w:val="00E4147E"/>
    <w:rsid w:val="00E437AA"/>
    <w:rsid w:val="00E4488B"/>
    <w:rsid w:val="00E44D6F"/>
    <w:rsid w:val="00E45C24"/>
    <w:rsid w:val="00E468C4"/>
    <w:rsid w:val="00E47DD3"/>
    <w:rsid w:val="00E5279F"/>
    <w:rsid w:val="00E52BCA"/>
    <w:rsid w:val="00E52F41"/>
    <w:rsid w:val="00E5454D"/>
    <w:rsid w:val="00E57A50"/>
    <w:rsid w:val="00E57B24"/>
    <w:rsid w:val="00E602C7"/>
    <w:rsid w:val="00E607D0"/>
    <w:rsid w:val="00E60C6B"/>
    <w:rsid w:val="00E60CF3"/>
    <w:rsid w:val="00E62505"/>
    <w:rsid w:val="00E6370D"/>
    <w:rsid w:val="00E63739"/>
    <w:rsid w:val="00E65AA3"/>
    <w:rsid w:val="00E664DF"/>
    <w:rsid w:val="00E67CCC"/>
    <w:rsid w:val="00E71870"/>
    <w:rsid w:val="00E72E7E"/>
    <w:rsid w:val="00E73F3C"/>
    <w:rsid w:val="00E749E5"/>
    <w:rsid w:val="00E764D8"/>
    <w:rsid w:val="00E76BB3"/>
    <w:rsid w:val="00E77752"/>
    <w:rsid w:val="00E82118"/>
    <w:rsid w:val="00E83B2D"/>
    <w:rsid w:val="00E83D88"/>
    <w:rsid w:val="00E847FA"/>
    <w:rsid w:val="00E84901"/>
    <w:rsid w:val="00E85970"/>
    <w:rsid w:val="00E86DFD"/>
    <w:rsid w:val="00E9048F"/>
    <w:rsid w:val="00E9083C"/>
    <w:rsid w:val="00E90D3A"/>
    <w:rsid w:val="00E91E27"/>
    <w:rsid w:val="00E92945"/>
    <w:rsid w:val="00E94464"/>
    <w:rsid w:val="00E94AA5"/>
    <w:rsid w:val="00E97424"/>
    <w:rsid w:val="00E97595"/>
    <w:rsid w:val="00EA108E"/>
    <w:rsid w:val="00EA3801"/>
    <w:rsid w:val="00EA39AB"/>
    <w:rsid w:val="00EA3ACA"/>
    <w:rsid w:val="00EA45C6"/>
    <w:rsid w:val="00EA51E3"/>
    <w:rsid w:val="00EA5C2D"/>
    <w:rsid w:val="00EA6448"/>
    <w:rsid w:val="00EA661F"/>
    <w:rsid w:val="00EA7334"/>
    <w:rsid w:val="00EA738E"/>
    <w:rsid w:val="00EB10B9"/>
    <w:rsid w:val="00EB241D"/>
    <w:rsid w:val="00EB48DC"/>
    <w:rsid w:val="00EB5197"/>
    <w:rsid w:val="00EB5C85"/>
    <w:rsid w:val="00EB6128"/>
    <w:rsid w:val="00EB62C4"/>
    <w:rsid w:val="00EB6C5C"/>
    <w:rsid w:val="00EC1093"/>
    <w:rsid w:val="00EC25E2"/>
    <w:rsid w:val="00EC3FE4"/>
    <w:rsid w:val="00EC5B09"/>
    <w:rsid w:val="00ED07AE"/>
    <w:rsid w:val="00ED0C95"/>
    <w:rsid w:val="00ED3089"/>
    <w:rsid w:val="00ED3E17"/>
    <w:rsid w:val="00ED4E5E"/>
    <w:rsid w:val="00ED75CB"/>
    <w:rsid w:val="00ED7E30"/>
    <w:rsid w:val="00EE04E1"/>
    <w:rsid w:val="00EE2C44"/>
    <w:rsid w:val="00EE38A0"/>
    <w:rsid w:val="00EE434B"/>
    <w:rsid w:val="00EE4CCE"/>
    <w:rsid w:val="00EE4E0B"/>
    <w:rsid w:val="00EE502F"/>
    <w:rsid w:val="00EE58E7"/>
    <w:rsid w:val="00EE5F88"/>
    <w:rsid w:val="00EF030E"/>
    <w:rsid w:val="00EF27A1"/>
    <w:rsid w:val="00EF4E82"/>
    <w:rsid w:val="00EF647E"/>
    <w:rsid w:val="00EF6661"/>
    <w:rsid w:val="00EF7D98"/>
    <w:rsid w:val="00F010E2"/>
    <w:rsid w:val="00F01149"/>
    <w:rsid w:val="00F0115B"/>
    <w:rsid w:val="00F012E3"/>
    <w:rsid w:val="00F05166"/>
    <w:rsid w:val="00F05657"/>
    <w:rsid w:val="00F10715"/>
    <w:rsid w:val="00F1083A"/>
    <w:rsid w:val="00F10BB5"/>
    <w:rsid w:val="00F117AB"/>
    <w:rsid w:val="00F12147"/>
    <w:rsid w:val="00F137F8"/>
    <w:rsid w:val="00F16024"/>
    <w:rsid w:val="00F16686"/>
    <w:rsid w:val="00F16AB5"/>
    <w:rsid w:val="00F21582"/>
    <w:rsid w:val="00F217DF"/>
    <w:rsid w:val="00F226A2"/>
    <w:rsid w:val="00F22CA7"/>
    <w:rsid w:val="00F22FC9"/>
    <w:rsid w:val="00F2370A"/>
    <w:rsid w:val="00F24762"/>
    <w:rsid w:val="00F24DE6"/>
    <w:rsid w:val="00F27CA8"/>
    <w:rsid w:val="00F303B1"/>
    <w:rsid w:val="00F31BEC"/>
    <w:rsid w:val="00F322D1"/>
    <w:rsid w:val="00F3280C"/>
    <w:rsid w:val="00F32B22"/>
    <w:rsid w:val="00F33CEB"/>
    <w:rsid w:val="00F34AB6"/>
    <w:rsid w:val="00F35331"/>
    <w:rsid w:val="00F35975"/>
    <w:rsid w:val="00F35FBA"/>
    <w:rsid w:val="00F374AD"/>
    <w:rsid w:val="00F406CB"/>
    <w:rsid w:val="00F416F3"/>
    <w:rsid w:val="00F41B00"/>
    <w:rsid w:val="00F42E93"/>
    <w:rsid w:val="00F4301F"/>
    <w:rsid w:val="00F433D2"/>
    <w:rsid w:val="00F434A7"/>
    <w:rsid w:val="00F44B88"/>
    <w:rsid w:val="00F44D09"/>
    <w:rsid w:val="00F44D6E"/>
    <w:rsid w:val="00F451E9"/>
    <w:rsid w:val="00F4531A"/>
    <w:rsid w:val="00F46EBD"/>
    <w:rsid w:val="00F47216"/>
    <w:rsid w:val="00F47EE4"/>
    <w:rsid w:val="00F50309"/>
    <w:rsid w:val="00F5480D"/>
    <w:rsid w:val="00F56701"/>
    <w:rsid w:val="00F61191"/>
    <w:rsid w:val="00F61C31"/>
    <w:rsid w:val="00F62112"/>
    <w:rsid w:val="00F64D73"/>
    <w:rsid w:val="00F66CB4"/>
    <w:rsid w:val="00F6795F"/>
    <w:rsid w:val="00F7287D"/>
    <w:rsid w:val="00F72930"/>
    <w:rsid w:val="00F72B5F"/>
    <w:rsid w:val="00F73DE0"/>
    <w:rsid w:val="00F73E6A"/>
    <w:rsid w:val="00F74477"/>
    <w:rsid w:val="00F74D16"/>
    <w:rsid w:val="00F7760C"/>
    <w:rsid w:val="00F81207"/>
    <w:rsid w:val="00F81F81"/>
    <w:rsid w:val="00F83ABE"/>
    <w:rsid w:val="00F83CE4"/>
    <w:rsid w:val="00F85C30"/>
    <w:rsid w:val="00F85F1C"/>
    <w:rsid w:val="00F87454"/>
    <w:rsid w:val="00F92193"/>
    <w:rsid w:val="00F943F7"/>
    <w:rsid w:val="00F95E8B"/>
    <w:rsid w:val="00F96BCA"/>
    <w:rsid w:val="00FA0242"/>
    <w:rsid w:val="00FA113E"/>
    <w:rsid w:val="00FA15F1"/>
    <w:rsid w:val="00FA4DDC"/>
    <w:rsid w:val="00FA608F"/>
    <w:rsid w:val="00FA671F"/>
    <w:rsid w:val="00FA6D8A"/>
    <w:rsid w:val="00FA734B"/>
    <w:rsid w:val="00FA79FF"/>
    <w:rsid w:val="00FA7DDC"/>
    <w:rsid w:val="00FB2D2A"/>
    <w:rsid w:val="00FB42FB"/>
    <w:rsid w:val="00FB4BB9"/>
    <w:rsid w:val="00FB4F0B"/>
    <w:rsid w:val="00FB5626"/>
    <w:rsid w:val="00FB57E9"/>
    <w:rsid w:val="00FB62A2"/>
    <w:rsid w:val="00FB71B2"/>
    <w:rsid w:val="00FC009E"/>
    <w:rsid w:val="00FC237C"/>
    <w:rsid w:val="00FC5767"/>
    <w:rsid w:val="00FC6895"/>
    <w:rsid w:val="00FD083D"/>
    <w:rsid w:val="00FD0F20"/>
    <w:rsid w:val="00FD1CBC"/>
    <w:rsid w:val="00FD1F29"/>
    <w:rsid w:val="00FD490A"/>
    <w:rsid w:val="00FD647F"/>
    <w:rsid w:val="00FE2D0A"/>
    <w:rsid w:val="00FE2E8F"/>
    <w:rsid w:val="00FE4894"/>
    <w:rsid w:val="00FE5C96"/>
    <w:rsid w:val="00FE60A7"/>
    <w:rsid w:val="00FE77AA"/>
    <w:rsid w:val="00FE7805"/>
    <w:rsid w:val="00FF218F"/>
    <w:rsid w:val="00FF21C2"/>
    <w:rsid w:val="00FF254D"/>
    <w:rsid w:val="00FF48DB"/>
    <w:rsid w:val="00FF595A"/>
    <w:rsid w:val="00FF6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E6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5DC"/>
    <w:pPr>
      <w:spacing w:after="240" w:line="480" w:lineRule="auto"/>
      <w:jc w:val="both"/>
    </w:pPr>
    <w:rPr>
      <w:rFonts w:ascii="Times New Roman" w:eastAsiaTheme="minorEastAsia" w:hAnsi="Times New Roman"/>
      <w:sz w:val="24"/>
      <w:lang w:eastAsia="zh-CN" w:bidi="hi-IN"/>
    </w:rPr>
  </w:style>
  <w:style w:type="paragraph" w:styleId="Overskrift1">
    <w:name w:val="heading 1"/>
    <w:basedOn w:val="Normal"/>
    <w:next w:val="Normal"/>
    <w:link w:val="Overskrift1Tegn"/>
    <w:uiPriority w:val="9"/>
    <w:qFormat/>
    <w:rsid w:val="00161B41"/>
    <w:pPr>
      <w:spacing w:before="600" w:after="0" w:line="360" w:lineRule="auto"/>
      <w:outlineLvl w:val="0"/>
    </w:pPr>
    <w:rPr>
      <w:rFonts w:eastAsiaTheme="majorEastAsia" w:cstheme="majorBidi"/>
      <w:b/>
      <w:bCs/>
      <w:iCs/>
      <w:szCs w:val="32"/>
    </w:rPr>
  </w:style>
  <w:style w:type="paragraph" w:styleId="Overskrift2">
    <w:name w:val="heading 2"/>
    <w:basedOn w:val="Normal"/>
    <w:next w:val="Normal"/>
    <w:link w:val="Overskrift2Tegn"/>
    <w:uiPriority w:val="9"/>
    <w:unhideWhenUsed/>
    <w:qFormat/>
    <w:rsid w:val="00C27032"/>
    <w:pPr>
      <w:spacing w:before="320" w:after="0" w:line="360" w:lineRule="auto"/>
      <w:outlineLvl w:val="1"/>
    </w:pPr>
    <w:rPr>
      <w:rFonts w:asciiTheme="majorHAnsi" w:eastAsiaTheme="majorEastAsia" w:hAnsiTheme="majorHAnsi" w:cstheme="majorBidi"/>
      <w:b/>
      <w:bCs/>
      <w:iCs/>
      <w:sz w:val="28"/>
      <w:szCs w:val="28"/>
    </w:rPr>
  </w:style>
  <w:style w:type="paragraph" w:styleId="Overskrift3">
    <w:name w:val="heading 3"/>
    <w:basedOn w:val="Normal"/>
    <w:next w:val="Normal"/>
    <w:link w:val="Overskrift3Tegn"/>
    <w:uiPriority w:val="9"/>
    <w:unhideWhenUsed/>
    <w:qFormat/>
    <w:rsid w:val="007F5FBA"/>
    <w:pPr>
      <w:spacing w:before="320" w:after="0" w:line="360" w:lineRule="auto"/>
      <w:outlineLvl w:val="2"/>
    </w:pPr>
    <w:rPr>
      <w:rFonts w:eastAsiaTheme="majorEastAsia" w:cstheme="majorBidi"/>
      <w:b/>
      <w:bCs/>
      <w:i/>
      <w:iCs/>
      <w:szCs w:val="26"/>
    </w:rPr>
  </w:style>
  <w:style w:type="paragraph" w:styleId="Overskrift4">
    <w:name w:val="heading 4"/>
    <w:basedOn w:val="Normal"/>
    <w:next w:val="Normal"/>
    <w:link w:val="Overskrift4Tegn"/>
    <w:uiPriority w:val="9"/>
    <w:unhideWhenUsed/>
    <w:qFormat/>
    <w:rsid w:val="007F5FBA"/>
    <w:pPr>
      <w:spacing w:before="280" w:after="0" w:line="360" w:lineRule="auto"/>
      <w:outlineLvl w:val="3"/>
    </w:pPr>
    <w:rPr>
      <w:rFonts w:eastAsiaTheme="majorEastAsia" w:cstheme="majorBidi"/>
      <w:bCs/>
      <w:i/>
      <w:iCs/>
      <w:szCs w:val="24"/>
    </w:rPr>
  </w:style>
  <w:style w:type="paragraph" w:styleId="Overskrift5">
    <w:name w:val="heading 5"/>
    <w:basedOn w:val="Normal"/>
    <w:next w:val="Normal"/>
    <w:link w:val="Overskrift5Tegn"/>
    <w:uiPriority w:val="9"/>
    <w:unhideWhenUsed/>
    <w:qFormat/>
    <w:rsid w:val="00C27032"/>
    <w:pPr>
      <w:spacing w:before="280" w:after="0" w:line="360" w:lineRule="auto"/>
      <w:outlineLvl w:val="4"/>
    </w:pPr>
    <w:rPr>
      <w:rFonts w:asciiTheme="majorHAnsi" w:eastAsiaTheme="majorEastAsia" w:hAnsiTheme="majorHAnsi" w:cstheme="majorBidi"/>
      <w:b/>
      <w:bCs/>
      <w:i/>
      <w:iCs/>
    </w:rPr>
  </w:style>
  <w:style w:type="paragraph" w:styleId="Overskrift6">
    <w:name w:val="heading 6"/>
    <w:basedOn w:val="Normal"/>
    <w:next w:val="Normal"/>
    <w:link w:val="Overskrift6Tegn"/>
    <w:uiPriority w:val="9"/>
    <w:unhideWhenUsed/>
    <w:qFormat/>
    <w:rsid w:val="00C27032"/>
    <w:pPr>
      <w:spacing w:before="280" w:after="80" w:line="360" w:lineRule="auto"/>
      <w:outlineLvl w:val="5"/>
    </w:pPr>
    <w:rPr>
      <w:rFonts w:asciiTheme="majorHAnsi" w:eastAsiaTheme="majorEastAsia" w:hAnsiTheme="majorHAnsi" w:cstheme="majorBidi"/>
      <w:b/>
      <w:bCs/>
      <w:i/>
      <w:iCs/>
    </w:rPr>
  </w:style>
  <w:style w:type="paragraph" w:styleId="Overskrift7">
    <w:name w:val="heading 7"/>
    <w:basedOn w:val="Normal"/>
    <w:next w:val="Normal"/>
    <w:link w:val="Overskrift7Tegn"/>
    <w:uiPriority w:val="9"/>
    <w:unhideWhenUsed/>
    <w:qFormat/>
    <w:rsid w:val="00C27032"/>
    <w:pPr>
      <w:spacing w:before="280" w:after="0" w:line="360" w:lineRule="auto"/>
      <w:outlineLvl w:val="6"/>
    </w:pPr>
    <w:rPr>
      <w:rFonts w:asciiTheme="majorHAnsi" w:eastAsiaTheme="majorEastAsia" w:hAnsiTheme="majorHAnsi" w:cstheme="majorBidi"/>
      <w:b/>
      <w:bCs/>
      <w:i/>
      <w:iCs/>
      <w:sz w:val="20"/>
      <w:szCs w:val="20"/>
    </w:rPr>
  </w:style>
  <w:style w:type="paragraph" w:styleId="Overskrift8">
    <w:name w:val="heading 8"/>
    <w:basedOn w:val="Normal"/>
    <w:next w:val="Normal"/>
    <w:link w:val="Overskrift8Tegn"/>
    <w:uiPriority w:val="9"/>
    <w:unhideWhenUsed/>
    <w:qFormat/>
    <w:rsid w:val="00C27032"/>
    <w:pPr>
      <w:spacing w:before="280" w:after="0" w:line="360" w:lineRule="auto"/>
      <w:outlineLvl w:val="7"/>
    </w:pPr>
    <w:rPr>
      <w:rFonts w:asciiTheme="majorHAnsi" w:eastAsiaTheme="majorEastAsia" w:hAnsiTheme="majorHAnsi" w:cstheme="majorBidi"/>
      <w:b/>
      <w:bCs/>
      <w:i/>
      <w:iCs/>
      <w:sz w:val="18"/>
      <w:szCs w:val="18"/>
    </w:rPr>
  </w:style>
  <w:style w:type="paragraph" w:styleId="Overskrift9">
    <w:name w:val="heading 9"/>
    <w:basedOn w:val="Normal"/>
    <w:next w:val="Normal"/>
    <w:link w:val="Overskrift9Tegn"/>
    <w:uiPriority w:val="9"/>
    <w:unhideWhenUsed/>
    <w:qFormat/>
    <w:rsid w:val="00C27032"/>
    <w:pPr>
      <w:spacing w:before="280" w:after="0" w:line="360" w:lineRule="auto"/>
      <w:outlineLvl w:val="8"/>
    </w:pPr>
    <w:rPr>
      <w:rFonts w:asciiTheme="majorHAnsi" w:eastAsiaTheme="majorEastAsia" w:hAnsiTheme="majorHAnsi" w:cstheme="majorBidi"/>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61B41"/>
    <w:rPr>
      <w:rFonts w:ascii="Times New Roman" w:eastAsiaTheme="majorEastAsia" w:hAnsi="Times New Roman" w:cstheme="majorBidi"/>
      <w:b/>
      <w:bCs/>
      <w:iCs/>
      <w:sz w:val="24"/>
      <w:szCs w:val="32"/>
      <w:lang w:eastAsia="zh-CN" w:bidi="hi-IN"/>
    </w:rPr>
  </w:style>
  <w:style w:type="character" w:customStyle="1" w:styleId="Overskrift2Tegn">
    <w:name w:val="Overskrift 2 Tegn"/>
    <w:basedOn w:val="Standardskrifttypeiafsnit"/>
    <w:link w:val="Overskrift2"/>
    <w:uiPriority w:val="9"/>
    <w:rsid w:val="00C27032"/>
    <w:rPr>
      <w:rFonts w:asciiTheme="majorHAnsi" w:eastAsiaTheme="majorEastAsia" w:hAnsiTheme="majorHAnsi" w:cstheme="majorBidi"/>
      <w:b/>
      <w:bCs/>
      <w:iCs/>
      <w:sz w:val="28"/>
      <w:szCs w:val="28"/>
      <w:lang w:eastAsia="zh-CN" w:bidi="hi-IN"/>
    </w:rPr>
  </w:style>
  <w:style w:type="character" w:customStyle="1" w:styleId="Overskrift3Tegn">
    <w:name w:val="Overskrift 3 Tegn"/>
    <w:basedOn w:val="Standardskrifttypeiafsnit"/>
    <w:link w:val="Overskrift3"/>
    <w:uiPriority w:val="9"/>
    <w:rsid w:val="007F5FBA"/>
    <w:rPr>
      <w:rFonts w:ascii="Times New Roman" w:eastAsiaTheme="majorEastAsia" w:hAnsi="Times New Roman" w:cstheme="majorBidi"/>
      <w:b/>
      <w:bCs/>
      <w:i/>
      <w:iCs/>
      <w:sz w:val="24"/>
      <w:szCs w:val="26"/>
      <w:lang w:eastAsia="zh-CN" w:bidi="hi-IN"/>
    </w:rPr>
  </w:style>
  <w:style w:type="character" w:customStyle="1" w:styleId="Overskrift4Tegn">
    <w:name w:val="Overskrift 4 Tegn"/>
    <w:basedOn w:val="Standardskrifttypeiafsnit"/>
    <w:link w:val="Overskrift4"/>
    <w:uiPriority w:val="9"/>
    <w:rsid w:val="007F5FBA"/>
    <w:rPr>
      <w:rFonts w:ascii="Times New Roman" w:eastAsiaTheme="majorEastAsia" w:hAnsi="Times New Roman" w:cstheme="majorBidi"/>
      <w:bCs/>
      <w:i/>
      <w:iCs/>
      <w:sz w:val="24"/>
      <w:szCs w:val="24"/>
      <w:lang w:eastAsia="zh-CN" w:bidi="hi-IN"/>
    </w:rPr>
  </w:style>
  <w:style w:type="character" w:customStyle="1" w:styleId="Overskrift5Tegn">
    <w:name w:val="Overskrift 5 Tegn"/>
    <w:basedOn w:val="Standardskrifttypeiafsnit"/>
    <w:link w:val="Overskrift5"/>
    <w:uiPriority w:val="9"/>
    <w:rsid w:val="00C27032"/>
    <w:rPr>
      <w:rFonts w:asciiTheme="majorHAnsi" w:eastAsiaTheme="majorEastAsia" w:hAnsiTheme="majorHAnsi" w:cstheme="majorBidi"/>
      <w:b/>
      <w:bCs/>
      <w:i/>
      <w:iCs/>
      <w:lang w:eastAsia="zh-CN" w:bidi="hi-IN"/>
    </w:rPr>
  </w:style>
  <w:style w:type="character" w:customStyle="1" w:styleId="Overskrift6Tegn">
    <w:name w:val="Overskrift 6 Tegn"/>
    <w:basedOn w:val="Standardskrifttypeiafsnit"/>
    <w:link w:val="Overskrift6"/>
    <w:uiPriority w:val="9"/>
    <w:rsid w:val="00C27032"/>
    <w:rPr>
      <w:rFonts w:asciiTheme="majorHAnsi" w:eastAsiaTheme="majorEastAsia" w:hAnsiTheme="majorHAnsi" w:cstheme="majorBidi"/>
      <w:b/>
      <w:bCs/>
      <w:i/>
      <w:iCs/>
      <w:lang w:eastAsia="zh-CN" w:bidi="hi-IN"/>
    </w:rPr>
  </w:style>
  <w:style w:type="character" w:customStyle="1" w:styleId="Overskrift7Tegn">
    <w:name w:val="Overskrift 7 Tegn"/>
    <w:basedOn w:val="Standardskrifttypeiafsnit"/>
    <w:link w:val="Overskrift7"/>
    <w:uiPriority w:val="9"/>
    <w:rsid w:val="00C27032"/>
    <w:rPr>
      <w:rFonts w:asciiTheme="majorHAnsi" w:eastAsiaTheme="majorEastAsia" w:hAnsiTheme="majorHAnsi" w:cstheme="majorBidi"/>
      <w:b/>
      <w:bCs/>
      <w:i/>
      <w:iCs/>
      <w:sz w:val="20"/>
      <w:szCs w:val="20"/>
      <w:lang w:eastAsia="zh-CN" w:bidi="hi-IN"/>
    </w:rPr>
  </w:style>
  <w:style w:type="character" w:customStyle="1" w:styleId="Overskrift8Tegn">
    <w:name w:val="Overskrift 8 Tegn"/>
    <w:basedOn w:val="Standardskrifttypeiafsnit"/>
    <w:link w:val="Overskrift8"/>
    <w:uiPriority w:val="9"/>
    <w:rsid w:val="00C27032"/>
    <w:rPr>
      <w:rFonts w:asciiTheme="majorHAnsi" w:eastAsiaTheme="majorEastAsia" w:hAnsiTheme="majorHAnsi" w:cstheme="majorBidi"/>
      <w:b/>
      <w:bCs/>
      <w:i/>
      <w:iCs/>
      <w:sz w:val="18"/>
      <w:szCs w:val="18"/>
      <w:lang w:eastAsia="zh-CN" w:bidi="hi-IN"/>
    </w:rPr>
  </w:style>
  <w:style w:type="character" w:customStyle="1" w:styleId="Overskrift9Tegn">
    <w:name w:val="Overskrift 9 Tegn"/>
    <w:basedOn w:val="Standardskrifttypeiafsnit"/>
    <w:link w:val="Overskrift9"/>
    <w:uiPriority w:val="9"/>
    <w:rsid w:val="00C27032"/>
    <w:rPr>
      <w:rFonts w:asciiTheme="majorHAnsi" w:eastAsiaTheme="majorEastAsia" w:hAnsiTheme="majorHAnsi" w:cstheme="majorBidi"/>
      <w:i/>
      <w:iCs/>
      <w:sz w:val="18"/>
      <w:szCs w:val="18"/>
      <w:lang w:eastAsia="zh-CN" w:bidi="hi-IN"/>
    </w:rPr>
  </w:style>
  <w:style w:type="paragraph" w:customStyle="1" w:styleId="Standard">
    <w:name w:val="Standard"/>
    <w:rsid w:val="00C27032"/>
    <w:pPr>
      <w:suppressAutoHyphens/>
      <w:spacing w:after="240" w:line="480" w:lineRule="auto"/>
      <w:ind w:firstLine="360"/>
    </w:pPr>
    <w:rPr>
      <w:rFonts w:ascii="Liberation Sans" w:eastAsiaTheme="minorEastAsia" w:hAnsi="Liberation Sans"/>
      <w:sz w:val="21"/>
      <w:lang w:eastAsia="zh-CN" w:bidi="hi-IN"/>
    </w:rPr>
  </w:style>
  <w:style w:type="paragraph" w:customStyle="1" w:styleId="Heading">
    <w:name w:val="Heading"/>
    <w:basedOn w:val="Standard"/>
    <w:next w:val="Textbody"/>
    <w:rsid w:val="00C27032"/>
    <w:pPr>
      <w:keepNext/>
      <w:spacing w:before="240" w:after="120"/>
    </w:pPr>
    <w:rPr>
      <w:sz w:val="28"/>
      <w:szCs w:val="28"/>
    </w:rPr>
  </w:style>
  <w:style w:type="paragraph" w:customStyle="1" w:styleId="Textbody">
    <w:name w:val="Text body"/>
    <w:basedOn w:val="Standard"/>
    <w:rsid w:val="00C27032"/>
    <w:pPr>
      <w:spacing w:after="140" w:line="360" w:lineRule="auto"/>
      <w:jc w:val="both"/>
    </w:pPr>
    <w:rPr>
      <w:sz w:val="22"/>
    </w:rPr>
  </w:style>
  <w:style w:type="paragraph" w:styleId="Opstilling">
    <w:name w:val="List"/>
    <w:basedOn w:val="Textbody"/>
    <w:rsid w:val="00C27032"/>
    <w:rPr>
      <w:sz w:val="24"/>
    </w:rPr>
  </w:style>
  <w:style w:type="paragraph" w:styleId="Billedtekst">
    <w:name w:val="caption"/>
    <w:basedOn w:val="Normal"/>
    <w:next w:val="Normal"/>
    <w:uiPriority w:val="35"/>
    <w:unhideWhenUsed/>
    <w:qFormat/>
    <w:rsid w:val="00C27032"/>
    <w:pPr>
      <w:spacing w:line="240" w:lineRule="auto"/>
    </w:pPr>
    <w:rPr>
      <w:rFonts w:asciiTheme="minorHAnsi" w:hAnsiTheme="minorHAnsi"/>
      <w:b/>
      <w:bCs/>
      <w:szCs w:val="18"/>
    </w:rPr>
  </w:style>
  <w:style w:type="paragraph" w:customStyle="1" w:styleId="Index">
    <w:name w:val="Index"/>
    <w:basedOn w:val="Standard"/>
    <w:rsid w:val="00C27032"/>
    <w:pPr>
      <w:suppressLineNumbers/>
    </w:pPr>
    <w:rPr>
      <w:sz w:val="24"/>
    </w:rPr>
  </w:style>
  <w:style w:type="paragraph" w:styleId="Titel">
    <w:name w:val="Title"/>
    <w:basedOn w:val="Normal"/>
    <w:next w:val="Normal"/>
    <w:link w:val="TitelTegn"/>
    <w:uiPriority w:val="10"/>
    <w:qFormat/>
    <w:rsid w:val="00C27032"/>
    <w:pPr>
      <w:spacing w:line="240" w:lineRule="auto"/>
    </w:pPr>
    <w:rPr>
      <w:rFonts w:asciiTheme="majorHAnsi" w:eastAsiaTheme="majorEastAsia" w:hAnsiTheme="majorHAnsi" w:cstheme="majorBidi"/>
      <w:b/>
      <w:bCs/>
      <w:i/>
      <w:iCs/>
      <w:spacing w:val="10"/>
      <w:sz w:val="60"/>
      <w:szCs w:val="60"/>
    </w:rPr>
  </w:style>
  <w:style w:type="character" w:customStyle="1" w:styleId="TitelTegn">
    <w:name w:val="Titel Tegn"/>
    <w:basedOn w:val="Standardskrifttypeiafsnit"/>
    <w:link w:val="Titel"/>
    <w:uiPriority w:val="10"/>
    <w:rsid w:val="00C27032"/>
    <w:rPr>
      <w:rFonts w:asciiTheme="majorHAnsi" w:eastAsiaTheme="majorEastAsia" w:hAnsiTheme="majorHAnsi" w:cstheme="majorBidi"/>
      <w:b/>
      <w:bCs/>
      <w:i/>
      <w:iCs/>
      <w:spacing w:val="10"/>
      <w:sz w:val="60"/>
      <w:szCs w:val="60"/>
      <w:lang w:eastAsia="zh-CN" w:bidi="hi-IN"/>
    </w:rPr>
  </w:style>
  <w:style w:type="paragraph" w:customStyle="1" w:styleId="Framecontents">
    <w:name w:val="Frame contents"/>
    <w:basedOn w:val="Standard"/>
    <w:rsid w:val="00C27032"/>
  </w:style>
  <w:style w:type="paragraph" w:customStyle="1" w:styleId="TableContents">
    <w:name w:val="Table Contents"/>
    <w:basedOn w:val="Standard"/>
    <w:rsid w:val="00C27032"/>
  </w:style>
  <w:style w:type="paragraph" w:customStyle="1" w:styleId="Figure">
    <w:name w:val="Figure"/>
    <w:basedOn w:val="Billedtekst"/>
    <w:rsid w:val="00C27032"/>
    <w:pPr>
      <w:suppressAutoHyphens/>
    </w:pPr>
  </w:style>
  <w:style w:type="paragraph" w:customStyle="1" w:styleId="Tableuser">
    <w:name w:val="Table (user)"/>
    <w:basedOn w:val="Billedtekst"/>
    <w:rsid w:val="00C27032"/>
    <w:pPr>
      <w:suppressAutoHyphens/>
    </w:pPr>
  </w:style>
  <w:style w:type="paragraph" w:customStyle="1" w:styleId="ContentsHeading">
    <w:name w:val="Contents Heading"/>
    <w:basedOn w:val="Heading"/>
    <w:rsid w:val="00C27032"/>
  </w:style>
  <w:style w:type="paragraph" w:customStyle="1" w:styleId="Contents2">
    <w:name w:val="Contents 2"/>
    <w:basedOn w:val="Index"/>
    <w:rsid w:val="00C27032"/>
  </w:style>
  <w:style w:type="paragraph" w:customStyle="1" w:styleId="Contents1">
    <w:name w:val="Contents 1"/>
    <w:basedOn w:val="Index"/>
    <w:rsid w:val="00C27032"/>
  </w:style>
  <w:style w:type="paragraph" w:customStyle="1" w:styleId="Contents3">
    <w:name w:val="Contents 3"/>
    <w:basedOn w:val="Index"/>
    <w:rsid w:val="00C27032"/>
  </w:style>
  <w:style w:type="paragraph" w:styleId="Listeafsnit">
    <w:name w:val="List Paragraph"/>
    <w:basedOn w:val="Normal"/>
    <w:uiPriority w:val="34"/>
    <w:qFormat/>
    <w:rsid w:val="00C27032"/>
    <w:pPr>
      <w:ind w:left="720"/>
      <w:contextualSpacing/>
    </w:pPr>
  </w:style>
  <w:style w:type="character" w:customStyle="1" w:styleId="BulletSymbols">
    <w:name w:val="Bullet Symbols"/>
    <w:rsid w:val="00C27032"/>
    <w:rPr>
      <w:rFonts w:ascii="OpenSymbol" w:eastAsia="OpenSymbol" w:hAnsi="OpenSymbol" w:cs="OpenSymbol"/>
    </w:rPr>
  </w:style>
  <w:style w:type="character" w:customStyle="1" w:styleId="Internetlink">
    <w:name w:val="Internet link"/>
    <w:rsid w:val="00C27032"/>
    <w:rPr>
      <w:color w:val="000080"/>
      <w:u w:val="single"/>
    </w:rPr>
  </w:style>
  <w:style w:type="character" w:customStyle="1" w:styleId="IndexLink">
    <w:name w:val="Index Link"/>
    <w:rsid w:val="00C27032"/>
  </w:style>
  <w:style w:type="paragraph" w:styleId="Overskrift">
    <w:name w:val="TOC Heading"/>
    <w:basedOn w:val="Overskrift1"/>
    <w:next w:val="Normal"/>
    <w:uiPriority w:val="39"/>
    <w:unhideWhenUsed/>
    <w:qFormat/>
    <w:rsid w:val="00C27032"/>
    <w:pPr>
      <w:outlineLvl w:val="9"/>
    </w:pPr>
    <w:rPr>
      <w:lang w:bidi="en-US"/>
    </w:rPr>
  </w:style>
  <w:style w:type="paragraph" w:styleId="Indholdsfortegnelse2">
    <w:name w:val="toc 2"/>
    <w:basedOn w:val="Normal"/>
    <w:next w:val="Normal"/>
    <w:autoRedefine/>
    <w:uiPriority w:val="39"/>
    <w:qFormat/>
    <w:rsid w:val="00C27032"/>
    <w:pPr>
      <w:spacing w:after="100"/>
      <w:ind w:left="240"/>
    </w:pPr>
    <w:rPr>
      <w:rFonts w:cs="Mangal"/>
      <w:szCs w:val="21"/>
    </w:rPr>
  </w:style>
  <w:style w:type="paragraph" w:styleId="Indholdsfortegnelse1">
    <w:name w:val="toc 1"/>
    <w:basedOn w:val="Normal"/>
    <w:next w:val="Normal"/>
    <w:autoRedefine/>
    <w:uiPriority w:val="39"/>
    <w:qFormat/>
    <w:rsid w:val="00490B2E"/>
    <w:pPr>
      <w:tabs>
        <w:tab w:val="right" w:leader="dot" w:pos="9628"/>
      </w:tabs>
      <w:spacing w:after="100" w:line="240" w:lineRule="auto"/>
    </w:pPr>
    <w:rPr>
      <w:rFonts w:cs="Mangal"/>
      <w:szCs w:val="21"/>
    </w:rPr>
  </w:style>
  <w:style w:type="paragraph" w:styleId="Indholdsfortegnelse3">
    <w:name w:val="toc 3"/>
    <w:basedOn w:val="Normal"/>
    <w:next w:val="Normal"/>
    <w:autoRedefine/>
    <w:uiPriority w:val="39"/>
    <w:qFormat/>
    <w:rsid w:val="00C27032"/>
    <w:pPr>
      <w:spacing w:after="100"/>
      <w:ind w:left="480"/>
    </w:pPr>
    <w:rPr>
      <w:rFonts w:cs="Mangal"/>
      <w:szCs w:val="21"/>
    </w:rPr>
  </w:style>
  <w:style w:type="character" w:styleId="Hyperlink">
    <w:name w:val="Hyperlink"/>
    <w:basedOn w:val="Standardskrifttypeiafsnit"/>
    <w:uiPriority w:val="99"/>
    <w:rsid w:val="00C27032"/>
    <w:rPr>
      <w:color w:val="0000FF"/>
      <w:u w:val="single"/>
    </w:rPr>
  </w:style>
  <w:style w:type="paragraph" w:styleId="Markeringsbobletekst">
    <w:name w:val="Balloon Text"/>
    <w:basedOn w:val="Normal"/>
    <w:link w:val="MarkeringsbobletekstTegn"/>
    <w:uiPriority w:val="99"/>
    <w:rsid w:val="00C27032"/>
    <w:rPr>
      <w:rFonts w:ascii="Tahoma" w:hAnsi="Tahoma" w:cs="Mangal"/>
      <w:sz w:val="16"/>
      <w:szCs w:val="14"/>
    </w:rPr>
  </w:style>
  <w:style w:type="character" w:customStyle="1" w:styleId="MarkeringsbobletekstTegn">
    <w:name w:val="Markeringsbobletekst Tegn"/>
    <w:basedOn w:val="Standardskrifttypeiafsnit"/>
    <w:link w:val="Markeringsbobletekst"/>
    <w:uiPriority w:val="99"/>
    <w:rsid w:val="00C27032"/>
    <w:rPr>
      <w:rFonts w:ascii="Tahoma" w:eastAsiaTheme="minorEastAsia" w:hAnsi="Tahoma" w:cs="Mangal"/>
      <w:sz w:val="16"/>
      <w:szCs w:val="14"/>
      <w:lang w:eastAsia="zh-CN" w:bidi="hi-IN"/>
    </w:rPr>
  </w:style>
  <w:style w:type="paragraph" w:styleId="Undertitel">
    <w:name w:val="Subtitle"/>
    <w:basedOn w:val="Normal"/>
    <w:next w:val="Normal"/>
    <w:link w:val="UndertitelTegn"/>
    <w:uiPriority w:val="11"/>
    <w:qFormat/>
    <w:rsid w:val="00C27032"/>
    <w:pPr>
      <w:spacing w:after="320"/>
      <w:jc w:val="right"/>
    </w:pPr>
    <w:rPr>
      <w:i/>
      <w:iCs/>
      <w:color w:val="808080" w:themeColor="text1" w:themeTint="7F"/>
      <w:spacing w:val="10"/>
      <w:szCs w:val="24"/>
    </w:rPr>
  </w:style>
  <w:style w:type="character" w:customStyle="1" w:styleId="UndertitelTegn">
    <w:name w:val="Undertitel Tegn"/>
    <w:basedOn w:val="Standardskrifttypeiafsnit"/>
    <w:link w:val="Undertitel"/>
    <w:uiPriority w:val="11"/>
    <w:rsid w:val="00C27032"/>
    <w:rPr>
      <w:rFonts w:ascii="Times New Roman" w:eastAsiaTheme="minorEastAsia" w:hAnsi="Times New Roman"/>
      <w:i/>
      <w:iCs/>
      <w:color w:val="808080" w:themeColor="text1" w:themeTint="7F"/>
      <w:spacing w:val="10"/>
      <w:sz w:val="24"/>
      <w:szCs w:val="24"/>
      <w:lang w:eastAsia="zh-CN" w:bidi="hi-IN"/>
    </w:rPr>
  </w:style>
  <w:style w:type="character" w:styleId="Strk">
    <w:name w:val="Strong"/>
    <w:basedOn w:val="Standardskrifttypeiafsnit"/>
    <w:uiPriority w:val="22"/>
    <w:qFormat/>
    <w:rsid w:val="00C27032"/>
    <w:rPr>
      <w:b/>
      <w:bCs/>
      <w:spacing w:val="0"/>
    </w:rPr>
  </w:style>
  <w:style w:type="character" w:styleId="Fremhv">
    <w:name w:val="Emphasis"/>
    <w:uiPriority w:val="20"/>
    <w:qFormat/>
    <w:rsid w:val="00C27032"/>
    <w:rPr>
      <w:b/>
      <w:bCs/>
      <w:i/>
      <w:iCs/>
      <w:color w:val="auto"/>
    </w:rPr>
  </w:style>
  <w:style w:type="paragraph" w:styleId="Ingenafstand">
    <w:name w:val="No Spacing"/>
    <w:basedOn w:val="Normal"/>
    <w:uiPriority w:val="1"/>
    <w:qFormat/>
    <w:rsid w:val="00C27032"/>
    <w:pPr>
      <w:spacing w:after="0" w:line="240" w:lineRule="auto"/>
    </w:pPr>
  </w:style>
  <w:style w:type="paragraph" w:styleId="Citat">
    <w:name w:val="Quote"/>
    <w:basedOn w:val="Normal"/>
    <w:next w:val="Normal"/>
    <w:link w:val="CitatTegn"/>
    <w:uiPriority w:val="29"/>
    <w:qFormat/>
    <w:rsid w:val="00C27032"/>
    <w:rPr>
      <w:color w:val="5A5A5A" w:themeColor="text1" w:themeTint="A5"/>
    </w:rPr>
  </w:style>
  <w:style w:type="character" w:customStyle="1" w:styleId="CitatTegn">
    <w:name w:val="Citat Tegn"/>
    <w:basedOn w:val="Standardskrifttypeiafsnit"/>
    <w:link w:val="Citat"/>
    <w:uiPriority w:val="29"/>
    <w:rsid w:val="00C27032"/>
    <w:rPr>
      <w:rFonts w:ascii="Times New Roman" w:eastAsiaTheme="minorEastAsia" w:hAnsi="Times New Roman"/>
      <w:color w:val="5A5A5A" w:themeColor="text1" w:themeTint="A5"/>
      <w:lang w:eastAsia="zh-CN" w:bidi="hi-IN"/>
    </w:rPr>
  </w:style>
  <w:style w:type="paragraph" w:styleId="Strktcitat">
    <w:name w:val="Intense Quote"/>
    <w:basedOn w:val="Normal"/>
    <w:next w:val="Normal"/>
    <w:link w:val="StrktcitatTegn"/>
    <w:uiPriority w:val="30"/>
    <w:qFormat/>
    <w:rsid w:val="00C27032"/>
    <w:pPr>
      <w:spacing w:before="320" w:after="480" w:line="240" w:lineRule="auto"/>
      <w:ind w:left="720" w:right="720"/>
      <w:jc w:val="center"/>
    </w:pPr>
    <w:rPr>
      <w:rFonts w:asciiTheme="majorHAnsi" w:eastAsiaTheme="majorEastAsia" w:hAnsiTheme="majorHAnsi" w:cstheme="majorBidi"/>
      <w:i/>
      <w:iCs/>
      <w:sz w:val="20"/>
      <w:szCs w:val="20"/>
    </w:rPr>
  </w:style>
  <w:style w:type="character" w:customStyle="1" w:styleId="StrktcitatTegn">
    <w:name w:val="Stærkt citat Tegn"/>
    <w:basedOn w:val="Standardskrifttypeiafsnit"/>
    <w:link w:val="Strktcitat"/>
    <w:uiPriority w:val="30"/>
    <w:rsid w:val="00C27032"/>
    <w:rPr>
      <w:rFonts w:asciiTheme="majorHAnsi" w:eastAsiaTheme="majorEastAsia" w:hAnsiTheme="majorHAnsi" w:cstheme="majorBidi"/>
      <w:i/>
      <w:iCs/>
      <w:sz w:val="20"/>
      <w:szCs w:val="20"/>
      <w:lang w:eastAsia="zh-CN" w:bidi="hi-IN"/>
    </w:rPr>
  </w:style>
  <w:style w:type="character" w:styleId="Svagfremhvning">
    <w:name w:val="Subtle Emphasis"/>
    <w:uiPriority w:val="19"/>
    <w:qFormat/>
    <w:rsid w:val="00C27032"/>
    <w:rPr>
      <w:i/>
      <w:iCs/>
      <w:color w:val="5A5A5A" w:themeColor="text1" w:themeTint="A5"/>
    </w:rPr>
  </w:style>
  <w:style w:type="character" w:styleId="Kraftigfremhvning">
    <w:name w:val="Intense Emphasis"/>
    <w:uiPriority w:val="21"/>
    <w:qFormat/>
    <w:rsid w:val="00C27032"/>
    <w:rPr>
      <w:b/>
      <w:bCs/>
      <w:i/>
      <w:iCs/>
      <w:color w:val="auto"/>
      <w:u w:val="single"/>
    </w:rPr>
  </w:style>
  <w:style w:type="character" w:styleId="Svaghenvisning">
    <w:name w:val="Subtle Reference"/>
    <w:uiPriority w:val="31"/>
    <w:qFormat/>
    <w:rsid w:val="00C27032"/>
    <w:rPr>
      <w:smallCaps/>
    </w:rPr>
  </w:style>
  <w:style w:type="character" w:styleId="Kraftighenvisning">
    <w:name w:val="Intense Reference"/>
    <w:uiPriority w:val="32"/>
    <w:qFormat/>
    <w:rsid w:val="00C27032"/>
    <w:rPr>
      <w:b/>
      <w:bCs/>
      <w:smallCaps/>
      <w:color w:val="auto"/>
    </w:rPr>
  </w:style>
  <w:style w:type="character" w:styleId="Bogenstitel">
    <w:name w:val="Book Title"/>
    <w:uiPriority w:val="33"/>
    <w:qFormat/>
    <w:rsid w:val="00C27032"/>
    <w:rPr>
      <w:rFonts w:asciiTheme="majorHAnsi" w:eastAsiaTheme="majorEastAsia" w:hAnsiTheme="majorHAnsi" w:cstheme="majorBidi"/>
      <w:b/>
      <w:bCs/>
      <w:smallCaps/>
      <w:color w:val="auto"/>
      <w:u w:val="single"/>
    </w:rPr>
  </w:style>
  <w:style w:type="paragraph" w:styleId="Sidehoved">
    <w:name w:val="header"/>
    <w:basedOn w:val="Normal"/>
    <w:link w:val="SidehovedTegn"/>
    <w:rsid w:val="00C27032"/>
    <w:pPr>
      <w:tabs>
        <w:tab w:val="center" w:pos="4819"/>
        <w:tab w:val="right" w:pos="9638"/>
      </w:tabs>
      <w:spacing w:after="0" w:line="240" w:lineRule="auto"/>
    </w:pPr>
    <w:rPr>
      <w:rFonts w:cs="Mangal"/>
      <w:szCs w:val="20"/>
    </w:rPr>
  </w:style>
  <w:style w:type="character" w:customStyle="1" w:styleId="SidehovedTegn">
    <w:name w:val="Sidehoved Tegn"/>
    <w:basedOn w:val="Standardskrifttypeiafsnit"/>
    <w:link w:val="Sidehoved"/>
    <w:rsid w:val="00C27032"/>
    <w:rPr>
      <w:rFonts w:ascii="Times New Roman" w:eastAsiaTheme="minorEastAsia" w:hAnsi="Times New Roman" w:cs="Mangal"/>
      <w:szCs w:val="20"/>
      <w:lang w:eastAsia="zh-CN" w:bidi="hi-IN"/>
    </w:rPr>
  </w:style>
  <w:style w:type="paragraph" w:styleId="Sidefod">
    <w:name w:val="footer"/>
    <w:basedOn w:val="Normal"/>
    <w:link w:val="SidefodTegn"/>
    <w:uiPriority w:val="99"/>
    <w:rsid w:val="00C27032"/>
    <w:pPr>
      <w:tabs>
        <w:tab w:val="center" w:pos="4819"/>
        <w:tab w:val="right" w:pos="9638"/>
      </w:tabs>
      <w:spacing w:after="0" w:line="240" w:lineRule="auto"/>
    </w:pPr>
    <w:rPr>
      <w:rFonts w:cs="Mangal"/>
      <w:szCs w:val="20"/>
    </w:rPr>
  </w:style>
  <w:style w:type="character" w:customStyle="1" w:styleId="SidefodTegn">
    <w:name w:val="Sidefod Tegn"/>
    <w:basedOn w:val="Standardskrifttypeiafsnit"/>
    <w:link w:val="Sidefod"/>
    <w:uiPriority w:val="99"/>
    <w:rsid w:val="00C27032"/>
    <w:rPr>
      <w:rFonts w:ascii="Times New Roman" w:eastAsiaTheme="minorEastAsia" w:hAnsi="Times New Roman" w:cs="Mangal"/>
      <w:szCs w:val="20"/>
      <w:lang w:eastAsia="zh-CN" w:bidi="hi-IN"/>
    </w:rPr>
  </w:style>
  <w:style w:type="character" w:customStyle="1" w:styleId="apple-converted-space">
    <w:name w:val="apple-converted-space"/>
    <w:basedOn w:val="Standardskrifttypeiafsnit"/>
    <w:rsid w:val="00C27032"/>
  </w:style>
  <w:style w:type="table" w:styleId="Tabel-Gitter">
    <w:name w:val="Table Grid"/>
    <w:basedOn w:val="Tabel-Normal"/>
    <w:uiPriority w:val="59"/>
    <w:rsid w:val="00C27032"/>
    <w:pPr>
      <w:spacing w:after="0" w:line="240" w:lineRule="auto"/>
      <w:ind w:firstLine="360"/>
    </w:pPr>
    <w:rPr>
      <w:rFonts w:eastAsiaTheme="minorEastAsia"/>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
    <w:name w:val="Light Shading"/>
    <w:basedOn w:val="Tabel-Normal"/>
    <w:uiPriority w:val="60"/>
    <w:rsid w:val="00C27032"/>
    <w:pPr>
      <w:spacing w:after="0" w:line="240" w:lineRule="auto"/>
      <w:ind w:firstLine="360"/>
    </w:pPr>
    <w:rPr>
      <w:rFonts w:eastAsiaTheme="minorEastAsia"/>
      <w:color w:val="000000" w:themeColor="text1" w:themeShade="BF"/>
      <w:lang w:eastAsia="zh-CN" w:bidi="hi-I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Kommentarhenvisning">
    <w:name w:val="annotation reference"/>
    <w:basedOn w:val="Standardskrifttypeiafsnit"/>
    <w:uiPriority w:val="99"/>
    <w:semiHidden/>
    <w:unhideWhenUsed/>
    <w:rsid w:val="00C27032"/>
    <w:rPr>
      <w:sz w:val="16"/>
      <w:szCs w:val="16"/>
    </w:rPr>
  </w:style>
  <w:style w:type="paragraph" w:styleId="Kommentartekst">
    <w:name w:val="annotation text"/>
    <w:basedOn w:val="Normal"/>
    <w:link w:val="KommentartekstTegn"/>
    <w:uiPriority w:val="99"/>
    <w:unhideWhenUsed/>
    <w:rsid w:val="00C27032"/>
    <w:pPr>
      <w:spacing w:line="240" w:lineRule="auto"/>
    </w:pPr>
    <w:rPr>
      <w:rFonts w:cs="Mangal"/>
      <w:sz w:val="20"/>
      <w:szCs w:val="18"/>
    </w:rPr>
  </w:style>
  <w:style w:type="character" w:customStyle="1" w:styleId="KommentartekstTegn">
    <w:name w:val="Kommentartekst Tegn"/>
    <w:basedOn w:val="Standardskrifttypeiafsnit"/>
    <w:link w:val="Kommentartekst"/>
    <w:uiPriority w:val="99"/>
    <w:rsid w:val="00C27032"/>
    <w:rPr>
      <w:rFonts w:ascii="Times New Roman" w:eastAsiaTheme="minorEastAsia" w:hAnsi="Times New Roman" w:cs="Mangal"/>
      <w:sz w:val="20"/>
      <w:szCs w:val="18"/>
      <w:lang w:eastAsia="zh-CN" w:bidi="hi-IN"/>
    </w:rPr>
  </w:style>
  <w:style w:type="paragraph" w:styleId="Kommentaremne">
    <w:name w:val="annotation subject"/>
    <w:basedOn w:val="Kommentartekst"/>
    <w:next w:val="Kommentartekst"/>
    <w:link w:val="KommentaremneTegn"/>
    <w:uiPriority w:val="99"/>
    <w:semiHidden/>
    <w:unhideWhenUsed/>
    <w:rsid w:val="00C27032"/>
    <w:rPr>
      <w:b/>
      <w:bCs/>
    </w:rPr>
  </w:style>
  <w:style w:type="character" w:customStyle="1" w:styleId="KommentaremneTegn">
    <w:name w:val="Kommentaremne Tegn"/>
    <w:basedOn w:val="KommentartekstTegn"/>
    <w:link w:val="Kommentaremne"/>
    <w:uiPriority w:val="99"/>
    <w:semiHidden/>
    <w:rsid w:val="00C27032"/>
    <w:rPr>
      <w:rFonts w:ascii="Times New Roman" w:eastAsiaTheme="minorEastAsia" w:hAnsi="Times New Roman" w:cs="Mangal"/>
      <w:b/>
      <w:bCs/>
      <w:sz w:val="20"/>
      <w:szCs w:val="18"/>
      <w:lang w:eastAsia="zh-CN" w:bidi="hi-IN"/>
    </w:rPr>
  </w:style>
  <w:style w:type="paragraph" w:styleId="FormateretHTML">
    <w:name w:val="HTML Preformatted"/>
    <w:basedOn w:val="Normal"/>
    <w:link w:val="FormateretHTMLTegn"/>
    <w:uiPriority w:val="99"/>
    <w:unhideWhenUsed/>
    <w:rsid w:val="00C27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bidi="ar-SA"/>
    </w:rPr>
  </w:style>
  <w:style w:type="character" w:customStyle="1" w:styleId="FormateretHTMLTegn">
    <w:name w:val="Formateret HTML Tegn"/>
    <w:basedOn w:val="Standardskrifttypeiafsnit"/>
    <w:link w:val="FormateretHTML"/>
    <w:uiPriority w:val="99"/>
    <w:rsid w:val="00C27032"/>
    <w:rPr>
      <w:rFonts w:ascii="Courier New" w:eastAsia="Times New Roman" w:hAnsi="Courier New" w:cs="Courier New"/>
      <w:sz w:val="20"/>
      <w:szCs w:val="20"/>
      <w:lang w:eastAsia="en-GB"/>
    </w:rPr>
  </w:style>
  <w:style w:type="character" w:customStyle="1" w:styleId="gcwxi2kcpkb">
    <w:name w:val="gcwxi2kcpkb"/>
    <w:basedOn w:val="Standardskrifttypeiafsnit"/>
    <w:rsid w:val="00C27032"/>
  </w:style>
  <w:style w:type="character" w:customStyle="1" w:styleId="gcwxi2kcpjb">
    <w:name w:val="gcwxi2kcpjb"/>
    <w:basedOn w:val="Standardskrifttypeiafsnit"/>
    <w:rsid w:val="00C27032"/>
  </w:style>
  <w:style w:type="paragraph" w:customStyle="1" w:styleId="Default">
    <w:name w:val="Default"/>
    <w:rsid w:val="00C27032"/>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character" w:styleId="Linjenummer">
    <w:name w:val="line number"/>
    <w:basedOn w:val="Standardskrifttypeiafsnit"/>
    <w:uiPriority w:val="99"/>
    <w:semiHidden/>
    <w:unhideWhenUsed/>
    <w:rsid w:val="00C27032"/>
  </w:style>
  <w:style w:type="paragraph" w:styleId="Almindeligtekst">
    <w:name w:val="Plain Text"/>
    <w:basedOn w:val="Normal"/>
    <w:link w:val="AlmindeligtekstTegn"/>
    <w:uiPriority w:val="99"/>
    <w:unhideWhenUsed/>
    <w:rsid w:val="00C27032"/>
    <w:pPr>
      <w:spacing w:after="0" w:line="240" w:lineRule="auto"/>
      <w:jc w:val="left"/>
    </w:pPr>
    <w:rPr>
      <w:rFonts w:ascii="Calibri" w:eastAsiaTheme="minorHAnsi" w:hAnsi="Calibri"/>
      <w:szCs w:val="21"/>
      <w:lang w:eastAsia="en-US" w:bidi="ar-SA"/>
    </w:rPr>
  </w:style>
  <w:style w:type="character" w:customStyle="1" w:styleId="AlmindeligtekstTegn">
    <w:name w:val="Almindelig tekst Tegn"/>
    <w:basedOn w:val="Standardskrifttypeiafsnit"/>
    <w:link w:val="Almindeligtekst"/>
    <w:uiPriority w:val="99"/>
    <w:rsid w:val="00C27032"/>
    <w:rPr>
      <w:rFonts w:ascii="Calibri" w:hAnsi="Calibri"/>
      <w:szCs w:val="21"/>
    </w:rPr>
  </w:style>
  <w:style w:type="character" w:styleId="BesgtHyperlink">
    <w:name w:val="FollowedHyperlink"/>
    <w:basedOn w:val="Standardskrifttypeiafsnit"/>
    <w:uiPriority w:val="99"/>
    <w:semiHidden/>
    <w:unhideWhenUsed/>
    <w:rsid w:val="00C27032"/>
    <w:rPr>
      <w:color w:val="800080" w:themeColor="followedHyperlink"/>
      <w:u w:val="single"/>
    </w:rPr>
  </w:style>
  <w:style w:type="character" w:styleId="Pladsholdertekst">
    <w:name w:val="Placeholder Text"/>
    <w:basedOn w:val="Standardskrifttypeiafsnit"/>
    <w:uiPriority w:val="99"/>
    <w:semiHidden/>
    <w:rsid w:val="00C27032"/>
    <w:rPr>
      <w:color w:val="808080"/>
    </w:rPr>
  </w:style>
  <w:style w:type="paragraph" w:styleId="Korrektur">
    <w:name w:val="Revision"/>
    <w:hidden/>
    <w:uiPriority w:val="99"/>
    <w:semiHidden/>
    <w:rsid w:val="00505067"/>
    <w:pPr>
      <w:spacing w:after="0" w:line="240" w:lineRule="auto"/>
    </w:pPr>
    <w:rPr>
      <w:rFonts w:ascii="Times New Roman" w:eastAsiaTheme="minorEastAsia" w:hAnsi="Times New Roman" w:cs="Mangal"/>
      <w:sz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5DC"/>
    <w:pPr>
      <w:spacing w:after="240" w:line="480" w:lineRule="auto"/>
      <w:jc w:val="both"/>
    </w:pPr>
    <w:rPr>
      <w:rFonts w:ascii="Times New Roman" w:eastAsiaTheme="minorEastAsia" w:hAnsi="Times New Roman"/>
      <w:sz w:val="24"/>
      <w:lang w:eastAsia="zh-CN" w:bidi="hi-IN"/>
    </w:rPr>
  </w:style>
  <w:style w:type="paragraph" w:styleId="Overskrift1">
    <w:name w:val="heading 1"/>
    <w:basedOn w:val="Normal"/>
    <w:next w:val="Normal"/>
    <w:link w:val="Overskrift1Tegn"/>
    <w:uiPriority w:val="9"/>
    <w:qFormat/>
    <w:rsid w:val="00161B41"/>
    <w:pPr>
      <w:spacing w:before="600" w:after="0" w:line="360" w:lineRule="auto"/>
      <w:outlineLvl w:val="0"/>
    </w:pPr>
    <w:rPr>
      <w:rFonts w:eastAsiaTheme="majorEastAsia" w:cstheme="majorBidi"/>
      <w:b/>
      <w:bCs/>
      <w:iCs/>
      <w:szCs w:val="32"/>
    </w:rPr>
  </w:style>
  <w:style w:type="paragraph" w:styleId="Overskrift2">
    <w:name w:val="heading 2"/>
    <w:basedOn w:val="Normal"/>
    <w:next w:val="Normal"/>
    <w:link w:val="Overskrift2Tegn"/>
    <w:uiPriority w:val="9"/>
    <w:unhideWhenUsed/>
    <w:qFormat/>
    <w:rsid w:val="00C27032"/>
    <w:pPr>
      <w:spacing w:before="320" w:after="0" w:line="360" w:lineRule="auto"/>
      <w:outlineLvl w:val="1"/>
    </w:pPr>
    <w:rPr>
      <w:rFonts w:asciiTheme="majorHAnsi" w:eastAsiaTheme="majorEastAsia" w:hAnsiTheme="majorHAnsi" w:cstheme="majorBidi"/>
      <w:b/>
      <w:bCs/>
      <w:iCs/>
      <w:sz w:val="28"/>
      <w:szCs w:val="28"/>
    </w:rPr>
  </w:style>
  <w:style w:type="paragraph" w:styleId="Overskrift3">
    <w:name w:val="heading 3"/>
    <w:basedOn w:val="Normal"/>
    <w:next w:val="Normal"/>
    <w:link w:val="Overskrift3Tegn"/>
    <w:uiPriority w:val="9"/>
    <w:unhideWhenUsed/>
    <w:qFormat/>
    <w:rsid w:val="007F5FBA"/>
    <w:pPr>
      <w:spacing w:before="320" w:after="0" w:line="360" w:lineRule="auto"/>
      <w:outlineLvl w:val="2"/>
    </w:pPr>
    <w:rPr>
      <w:rFonts w:eastAsiaTheme="majorEastAsia" w:cstheme="majorBidi"/>
      <w:b/>
      <w:bCs/>
      <w:i/>
      <w:iCs/>
      <w:szCs w:val="26"/>
    </w:rPr>
  </w:style>
  <w:style w:type="paragraph" w:styleId="Overskrift4">
    <w:name w:val="heading 4"/>
    <w:basedOn w:val="Normal"/>
    <w:next w:val="Normal"/>
    <w:link w:val="Overskrift4Tegn"/>
    <w:uiPriority w:val="9"/>
    <w:unhideWhenUsed/>
    <w:qFormat/>
    <w:rsid w:val="007F5FBA"/>
    <w:pPr>
      <w:spacing w:before="280" w:after="0" w:line="360" w:lineRule="auto"/>
      <w:outlineLvl w:val="3"/>
    </w:pPr>
    <w:rPr>
      <w:rFonts w:eastAsiaTheme="majorEastAsia" w:cstheme="majorBidi"/>
      <w:bCs/>
      <w:i/>
      <w:iCs/>
      <w:szCs w:val="24"/>
    </w:rPr>
  </w:style>
  <w:style w:type="paragraph" w:styleId="Overskrift5">
    <w:name w:val="heading 5"/>
    <w:basedOn w:val="Normal"/>
    <w:next w:val="Normal"/>
    <w:link w:val="Overskrift5Tegn"/>
    <w:uiPriority w:val="9"/>
    <w:unhideWhenUsed/>
    <w:qFormat/>
    <w:rsid w:val="00C27032"/>
    <w:pPr>
      <w:spacing w:before="280" w:after="0" w:line="360" w:lineRule="auto"/>
      <w:outlineLvl w:val="4"/>
    </w:pPr>
    <w:rPr>
      <w:rFonts w:asciiTheme="majorHAnsi" w:eastAsiaTheme="majorEastAsia" w:hAnsiTheme="majorHAnsi" w:cstheme="majorBidi"/>
      <w:b/>
      <w:bCs/>
      <w:i/>
      <w:iCs/>
    </w:rPr>
  </w:style>
  <w:style w:type="paragraph" w:styleId="Overskrift6">
    <w:name w:val="heading 6"/>
    <w:basedOn w:val="Normal"/>
    <w:next w:val="Normal"/>
    <w:link w:val="Overskrift6Tegn"/>
    <w:uiPriority w:val="9"/>
    <w:unhideWhenUsed/>
    <w:qFormat/>
    <w:rsid w:val="00C27032"/>
    <w:pPr>
      <w:spacing w:before="280" w:after="80" w:line="360" w:lineRule="auto"/>
      <w:outlineLvl w:val="5"/>
    </w:pPr>
    <w:rPr>
      <w:rFonts w:asciiTheme="majorHAnsi" w:eastAsiaTheme="majorEastAsia" w:hAnsiTheme="majorHAnsi" w:cstheme="majorBidi"/>
      <w:b/>
      <w:bCs/>
      <w:i/>
      <w:iCs/>
    </w:rPr>
  </w:style>
  <w:style w:type="paragraph" w:styleId="Overskrift7">
    <w:name w:val="heading 7"/>
    <w:basedOn w:val="Normal"/>
    <w:next w:val="Normal"/>
    <w:link w:val="Overskrift7Tegn"/>
    <w:uiPriority w:val="9"/>
    <w:unhideWhenUsed/>
    <w:qFormat/>
    <w:rsid w:val="00C27032"/>
    <w:pPr>
      <w:spacing w:before="280" w:after="0" w:line="360" w:lineRule="auto"/>
      <w:outlineLvl w:val="6"/>
    </w:pPr>
    <w:rPr>
      <w:rFonts w:asciiTheme="majorHAnsi" w:eastAsiaTheme="majorEastAsia" w:hAnsiTheme="majorHAnsi" w:cstheme="majorBidi"/>
      <w:b/>
      <w:bCs/>
      <w:i/>
      <w:iCs/>
      <w:sz w:val="20"/>
      <w:szCs w:val="20"/>
    </w:rPr>
  </w:style>
  <w:style w:type="paragraph" w:styleId="Overskrift8">
    <w:name w:val="heading 8"/>
    <w:basedOn w:val="Normal"/>
    <w:next w:val="Normal"/>
    <w:link w:val="Overskrift8Tegn"/>
    <w:uiPriority w:val="9"/>
    <w:unhideWhenUsed/>
    <w:qFormat/>
    <w:rsid w:val="00C27032"/>
    <w:pPr>
      <w:spacing w:before="280" w:after="0" w:line="360" w:lineRule="auto"/>
      <w:outlineLvl w:val="7"/>
    </w:pPr>
    <w:rPr>
      <w:rFonts w:asciiTheme="majorHAnsi" w:eastAsiaTheme="majorEastAsia" w:hAnsiTheme="majorHAnsi" w:cstheme="majorBidi"/>
      <w:b/>
      <w:bCs/>
      <w:i/>
      <w:iCs/>
      <w:sz w:val="18"/>
      <w:szCs w:val="18"/>
    </w:rPr>
  </w:style>
  <w:style w:type="paragraph" w:styleId="Overskrift9">
    <w:name w:val="heading 9"/>
    <w:basedOn w:val="Normal"/>
    <w:next w:val="Normal"/>
    <w:link w:val="Overskrift9Tegn"/>
    <w:uiPriority w:val="9"/>
    <w:unhideWhenUsed/>
    <w:qFormat/>
    <w:rsid w:val="00C27032"/>
    <w:pPr>
      <w:spacing w:before="280" w:after="0" w:line="360" w:lineRule="auto"/>
      <w:outlineLvl w:val="8"/>
    </w:pPr>
    <w:rPr>
      <w:rFonts w:asciiTheme="majorHAnsi" w:eastAsiaTheme="majorEastAsia" w:hAnsiTheme="majorHAnsi" w:cstheme="majorBidi"/>
      <w:i/>
      <w:iCs/>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61B41"/>
    <w:rPr>
      <w:rFonts w:ascii="Times New Roman" w:eastAsiaTheme="majorEastAsia" w:hAnsi="Times New Roman" w:cstheme="majorBidi"/>
      <w:b/>
      <w:bCs/>
      <w:iCs/>
      <w:sz w:val="24"/>
      <w:szCs w:val="32"/>
      <w:lang w:eastAsia="zh-CN" w:bidi="hi-IN"/>
    </w:rPr>
  </w:style>
  <w:style w:type="character" w:customStyle="1" w:styleId="Overskrift2Tegn">
    <w:name w:val="Overskrift 2 Tegn"/>
    <w:basedOn w:val="Standardskrifttypeiafsnit"/>
    <w:link w:val="Overskrift2"/>
    <w:uiPriority w:val="9"/>
    <w:rsid w:val="00C27032"/>
    <w:rPr>
      <w:rFonts w:asciiTheme="majorHAnsi" w:eastAsiaTheme="majorEastAsia" w:hAnsiTheme="majorHAnsi" w:cstheme="majorBidi"/>
      <w:b/>
      <w:bCs/>
      <w:iCs/>
      <w:sz w:val="28"/>
      <w:szCs w:val="28"/>
      <w:lang w:eastAsia="zh-CN" w:bidi="hi-IN"/>
    </w:rPr>
  </w:style>
  <w:style w:type="character" w:customStyle="1" w:styleId="Overskrift3Tegn">
    <w:name w:val="Overskrift 3 Tegn"/>
    <w:basedOn w:val="Standardskrifttypeiafsnit"/>
    <w:link w:val="Overskrift3"/>
    <w:uiPriority w:val="9"/>
    <w:rsid w:val="007F5FBA"/>
    <w:rPr>
      <w:rFonts w:ascii="Times New Roman" w:eastAsiaTheme="majorEastAsia" w:hAnsi="Times New Roman" w:cstheme="majorBidi"/>
      <w:b/>
      <w:bCs/>
      <w:i/>
      <w:iCs/>
      <w:sz w:val="24"/>
      <w:szCs w:val="26"/>
      <w:lang w:eastAsia="zh-CN" w:bidi="hi-IN"/>
    </w:rPr>
  </w:style>
  <w:style w:type="character" w:customStyle="1" w:styleId="Overskrift4Tegn">
    <w:name w:val="Overskrift 4 Tegn"/>
    <w:basedOn w:val="Standardskrifttypeiafsnit"/>
    <w:link w:val="Overskrift4"/>
    <w:uiPriority w:val="9"/>
    <w:rsid w:val="007F5FBA"/>
    <w:rPr>
      <w:rFonts w:ascii="Times New Roman" w:eastAsiaTheme="majorEastAsia" w:hAnsi="Times New Roman" w:cstheme="majorBidi"/>
      <w:bCs/>
      <w:i/>
      <w:iCs/>
      <w:sz w:val="24"/>
      <w:szCs w:val="24"/>
      <w:lang w:eastAsia="zh-CN" w:bidi="hi-IN"/>
    </w:rPr>
  </w:style>
  <w:style w:type="character" w:customStyle="1" w:styleId="Overskrift5Tegn">
    <w:name w:val="Overskrift 5 Tegn"/>
    <w:basedOn w:val="Standardskrifttypeiafsnit"/>
    <w:link w:val="Overskrift5"/>
    <w:uiPriority w:val="9"/>
    <w:rsid w:val="00C27032"/>
    <w:rPr>
      <w:rFonts w:asciiTheme="majorHAnsi" w:eastAsiaTheme="majorEastAsia" w:hAnsiTheme="majorHAnsi" w:cstheme="majorBidi"/>
      <w:b/>
      <w:bCs/>
      <w:i/>
      <w:iCs/>
      <w:lang w:eastAsia="zh-CN" w:bidi="hi-IN"/>
    </w:rPr>
  </w:style>
  <w:style w:type="character" w:customStyle="1" w:styleId="Overskrift6Tegn">
    <w:name w:val="Overskrift 6 Tegn"/>
    <w:basedOn w:val="Standardskrifttypeiafsnit"/>
    <w:link w:val="Overskrift6"/>
    <w:uiPriority w:val="9"/>
    <w:rsid w:val="00C27032"/>
    <w:rPr>
      <w:rFonts w:asciiTheme="majorHAnsi" w:eastAsiaTheme="majorEastAsia" w:hAnsiTheme="majorHAnsi" w:cstheme="majorBidi"/>
      <w:b/>
      <w:bCs/>
      <w:i/>
      <w:iCs/>
      <w:lang w:eastAsia="zh-CN" w:bidi="hi-IN"/>
    </w:rPr>
  </w:style>
  <w:style w:type="character" w:customStyle="1" w:styleId="Overskrift7Tegn">
    <w:name w:val="Overskrift 7 Tegn"/>
    <w:basedOn w:val="Standardskrifttypeiafsnit"/>
    <w:link w:val="Overskrift7"/>
    <w:uiPriority w:val="9"/>
    <w:rsid w:val="00C27032"/>
    <w:rPr>
      <w:rFonts w:asciiTheme="majorHAnsi" w:eastAsiaTheme="majorEastAsia" w:hAnsiTheme="majorHAnsi" w:cstheme="majorBidi"/>
      <w:b/>
      <w:bCs/>
      <w:i/>
      <w:iCs/>
      <w:sz w:val="20"/>
      <w:szCs w:val="20"/>
      <w:lang w:eastAsia="zh-CN" w:bidi="hi-IN"/>
    </w:rPr>
  </w:style>
  <w:style w:type="character" w:customStyle="1" w:styleId="Overskrift8Tegn">
    <w:name w:val="Overskrift 8 Tegn"/>
    <w:basedOn w:val="Standardskrifttypeiafsnit"/>
    <w:link w:val="Overskrift8"/>
    <w:uiPriority w:val="9"/>
    <w:rsid w:val="00C27032"/>
    <w:rPr>
      <w:rFonts w:asciiTheme="majorHAnsi" w:eastAsiaTheme="majorEastAsia" w:hAnsiTheme="majorHAnsi" w:cstheme="majorBidi"/>
      <w:b/>
      <w:bCs/>
      <w:i/>
      <w:iCs/>
      <w:sz w:val="18"/>
      <w:szCs w:val="18"/>
      <w:lang w:eastAsia="zh-CN" w:bidi="hi-IN"/>
    </w:rPr>
  </w:style>
  <w:style w:type="character" w:customStyle="1" w:styleId="Overskrift9Tegn">
    <w:name w:val="Overskrift 9 Tegn"/>
    <w:basedOn w:val="Standardskrifttypeiafsnit"/>
    <w:link w:val="Overskrift9"/>
    <w:uiPriority w:val="9"/>
    <w:rsid w:val="00C27032"/>
    <w:rPr>
      <w:rFonts w:asciiTheme="majorHAnsi" w:eastAsiaTheme="majorEastAsia" w:hAnsiTheme="majorHAnsi" w:cstheme="majorBidi"/>
      <w:i/>
      <w:iCs/>
      <w:sz w:val="18"/>
      <w:szCs w:val="18"/>
      <w:lang w:eastAsia="zh-CN" w:bidi="hi-IN"/>
    </w:rPr>
  </w:style>
  <w:style w:type="paragraph" w:customStyle="1" w:styleId="Standard">
    <w:name w:val="Standard"/>
    <w:rsid w:val="00C27032"/>
    <w:pPr>
      <w:suppressAutoHyphens/>
      <w:spacing w:after="240" w:line="480" w:lineRule="auto"/>
      <w:ind w:firstLine="360"/>
    </w:pPr>
    <w:rPr>
      <w:rFonts w:ascii="Liberation Sans" w:eastAsiaTheme="minorEastAsia" w:hAnsi="Liberation Sans"/>
      <w:sz w:val="21"/>
      <w:lang w:eastAsia="zh-CN" w:bidi="hi-IN"/>
    </w:rPr>
  </w:style>
  <w:style w:type="paragraph" w:customStyle="1" w:styleId="Heading">
    <w:name w:val="Heading"/>
    <w:basedOn w:val="Standard"/>
    <w:next w:val="Textbody"/>
    <w:rsid w:val="00C27032"/>
    <w:pPr>
      <w:keepNext/>
      <w:spacing w:before="240" w:after="120"/>
    </w:pPr>
    <w:rPr>
      <w:sz w:val="28"/>
      <w:szCs w:val="28"/>
    </w:rPr>
  </w:style>
  <w:style w:type="paragraph" w:customStyle="1" w:styleId="Textbody">
    <w:name w:val="Text body"/>
    <w:basedOn w:val="Standard"/>
    <w:rsid w:val="00C27032"/>
    <w:pPr>
      <w:spacing w:after="140" w:line="360" w:lineRule="auto"/>
      <w:jc w:val="both"/>
    </w:pPr>
    <w:rPr>
      <w:sz w:val="22"/>
    </w:rPr>
  </w:style>
  <w:style w:type="paragraph" w:styleId="Opstilling">
    <w:name w:val="List"/>
    <w:basedOn w:val="Textbody"/>
    <w:rsid w:val="00C27032"/>
    <w:rPr>
      <w:sz w:val="24"/>
    </w:rPr>
  </w:style>
  <w:style w:type="paragraph" w:styleId="Billedtekst">
    <w:name w:val="caption"/>
    <w:basedOn w:val="Normal"/>
    <w:next w:val="Normal"/>
    <w:uiPriority w:val="35"/>
    <w:unhideWhenUsed/>
    <w:qFormat/>
    <w:rsid w:val="00C27032"/>
    <w:pPr>
      <w:spacing w:line="240" w:lineRule="auto"/>
    </w:pPr>
    <w:rPr>
      <w:rFonts w:asciiTheme="minorHAnsi" w:hAnsiTheme="minorHAnsi"/>
      <w:b/>
      <w:bCs/>
      <w:szCs w:val="18"/>
    </w:rPr>
  </w:style>
  <w:style w:type="paragraph" w:customStyle="1" w:styleId="Index">
    <w:name w:val="Index"/>
    <w:basedOn w:val="Standard"/>
    <w:rsid w:val="00C27032"/>
    <w:pPr>
      <w:suppressLineNumbers/>
    </w:pPr>
    <w:rPr>
      <w:sz w:val="24"/>
    </w:rPr>
  </w:style>
  <w:style w:type="paragraph" w:styleId="Titel">
    <w:name w:val="Title"/>
    <w:basedOn w:val="Normal"/>
    <w:next w:val="Normal"/>
    <w:link w:val="TitelTegn"/>
    <w:uiPriority w:val="10"/>
    <w:qFormat/>
    <w:rsid w:val="00C27032"/>
    <w:pPr>
      <w:spacing w:line="240" w:lineRule="auto"/>
    </w:pPr>
    <w:rPr>
      <w:rFonts w:asciiTheme="majorHAnsi" w:eastAsiaTheme="majorEastAsia" w:hAnsiTheme="majorHAnsi" w:cstheme="majorBidi"/>
      <w:b/>
      <w:bCs/>
      <w:i/>
      <w:iCs/>
      <w:spacing w:val="10"/>
      <w:sz w:val="60"/>
      <w:szCs w:val="60"/>
    </w:rPr>
  </w:style>
  <w:style w:type="character" w:customStyle="1" w:styleId="TitelTegn">
    <w:name w:val="Titel Tegn"/>
    <w:basedOn w:val="Standardskrifttypeiafsnit"/>
    <w:link w:val="Titel"/>
    <w:uiPriority w:val="10"/>
    <w:rsid w:val="00C27032"/>
    <w:rPr>
      <w:rFonts w:asciiTheme="majorHAnsi" w:eastAsiaTheme="majorEastAsia" w:hAnsiTheme="majorHAnsi" w:cstheme="majorBidi"/>
      <w:b/>
      <w:bCs/>
      <w:i/>
      <w:iCs/>
      <w:spacing w:val="10"/>
      <w:sz w:val="60"/>
      <w:szCs w:val="60"/>
      <w:lang w:eastAsia="zh-CN" w:bidi="hi-IN"/>
    </w:rPr>
  </w:style>
  <w:style w:type="paragraph" w:customStyle="1" w:styleId="Framecontents">
    <w:name w:val="Frame contents"/>
    <w:basedOn w:val="Standard"/>
    <w:rsid w:val="00C27032"/>
  </w:style>
  <w:style w:type="paragraph" w:customStyle="1" w:styleId="TableContents">
    <w:name w:val="Table Contents"/>
    <w:basedOn w:val="Standard"/>
    <w:rsid w:val="00C27032"/>
  </w:style>
  <w:style w:type="paragraph" w:customStyle="1" w:styleId="Figure">
    <w:name w:val="Figure"/>
    <w:basedOn w:val="Billedtekst"/>
    <w:rsid w:val="00C27032"/>
    <w:pPr>
      <w:suppressAutoHyphens/>
    </w:pPr>
  </w:style>
  <w:style w:type="paragraph" w:customStyle="1" w:styleId="Tableuser">
    <w:name w:val="Table (user)"/>
    <w:basedOn w:val="Billedtekst"/>
    <w:rsid w:val="00C27032"/>
    <w:pPr>
      <w:suppressAutoHyphens/>
    </w:pPr>
  </w:style>
  <w:style w:type="paragraph" w:customStyle="1" w:styleId="ContentsHeading">
    <w:name w:val="Contents Heading"/>
    <w:basedOn w:val="Heading"/>
    <w:rsid w:val="00C27032"/>
  </w:style>
  <w:style w:type="paragraph" w:customStyle="1" w:styleId="Contents2">
    <w:name w:val="Contents 2"/>
    <w:basedOn w:val="Index"/>
    <w:rsid w:val="00C27032"/>
  </w:style>
  <w:style w:type="paragraph" w:customStyle="1" w:styleId="Contents1">
    <w:name w:val="Contents 1"/>
    <w:basedOn w:val="Index"/>
    <w:rsid w:val="00C27032"/>
  </w:style>
  <w:style w:type="paragraph" w:customStyle="1" w:styleId="Contents3">
    <w:name w:val="Contents 3"/>
    <w:basedOn w:val="Index"/>
    <w:rsid w:val="00C27032"/>
  </w:style>
  <w:style w:type="paragraph" w:styleId="Listeafsnit">
    <w:name w:val="List Paragraph"/>
    <w:basedOn w:val="Normal"/>
    <w:uiPriority w:val="34"/>
    <w:qFormat/>
    <w:rsid w:val="00C27032"/>
    <w:pPr>
      <w:ind w:left="720"/>
      <w:contextualSpacing/>
    </w:pPr>
  </w:style>
  <w:style w:type="character" w:customStyle="1" w:styleId="BulletSymbols">
    <w:name w:val="Bullet Symbols"/>
    <w:rsid w:val="00C27032"/>
    <w:rPr>
      <w:rFonts w:ascii="OpenSymbol" w:eastAsia="OpenSymbol" w:hAnsi="OpenSymbol" w:cs="OpenSymbol"/>
    </w:rPr>
  </w:style>
  <w:style w:type="character" w:customStyle="1" w:styleId="Internetlink">
    <w:name w:val="Internet link"/>
    <w:rsid w:val="00C27032"/>
    <w:rPr>
      <w:color w:val="000080"/>
      <w:u w:val="single"/>
    </w:rPr>
  </w:style>
  <w:style w:type="character" w:customStyle="1" w:styleId="IndexLink">
    <w:name w:val="Index Link"/>
    <w:rsid w:val="00C27032"/>
  </w:style>
  <w:style w:type="paragraph" w:styleId="Overskrift">
    <w:name w:val="TOC Heading"/>
    <w:basedOn w:val="Overskrift1"/>
    <w:next w:val="Normal"/>
    <w:uiPriority w:val="39"/>
    <w:unhideWhenUsed/>
    <w:qFormat/>
    <w:rsid w:val="00C27032"/>
    <w:pPr>
      <w:outlineLvl w:val="9"/>
    </w:pPr>
    <w:rPr>
      <w:lang w:bidi="en-US"/>
    </w:rPr>
  </w:style>
  <w:style w:type="paragraph" w:styleId="Indholdsfortegnelse2">
    <w:name w:val="toc 2"/>
    <w:basedOn w:val="Normal"/>
    <w:next w:val="Normal"/>
    <w:autoRedefine/>
    <w:uiPriority w:val="39"/>
    <w:qFormat/>
    <w:rsid w:val="00C27032"/>
    <w:pPr>
      <w:spacing w:after="100"/>
      <w:ind w:left="240"/>
    </w:pPr>
    <w:rPr>
      <w:rFonts w:cs="Mangal"/>
      <w:szCs w:val="21"/>
    </w:rPr>
  </w:style>
  <w:style w:type="paragraph" w:styleId="Indholdsfortegnelse1">
    <w:name w:val="toc 1"/>
    <w:basedOn w:val="Normal"/>
    <w:next w:val="Normal"/>
    <w:autoRedefine/>
    <w:uiPriority w:val="39"/>
    <w:qFormat/>
    <w:rsid w:val="00490B2E"/>
    <w:pPr>
      <w:tabs>
        <w:tab w:val="right" w:leader="dot" w:pos="9628"/>
      </w:tabs>
      <w:spacing w:after="100" w:line="240" w:lineRule="auto"/>
    </w:pPr>
    <w:rPr>
      <w:rFonts w:cs="Mangal"/>
      <w:szCs w:val="21"/>
    </w:rPr>
  </w:style>
  <w:style w:type="paragraph" w:styleId="Indholdsfortegnelse3">
    <w:name w:val="toc 3"/>
    <w:basedOn w:val="Normal"/>
    <w:next w:val="Normal"/>
    <w:autoRedefine/>
    <w:uiPriority w:val="39"/>
    <w:qFormat/>
    <w:rsid w:val="00C27032"/>
    <w:pPr>
      <w:spacing w:after="100"/>
      <w:ind w:left="480"/>
    </w:pPr>
    <w:rPr>
      <w:rFonts w:cs="Mangal"/>
      <w:szCs w:val="21"/>
    </w:rPr>
  </w:style>
  <w:style w:type="character" w:styleId="Hyperlink">
    <w:name w:val="Hyperlink"/>
    <w:basedOn w:val="Standardskrifttypeiafsnit"/>
    <w:uiPriority w:val="99"/>
    <w:rsid w:val="00C27032"/>
    <w:rPr>
      <w:color w:val="0000FF"/>
      <w:u w:val="single"/>
    </w:rPr>
  </w:style>
  <w:style w:type="paragraph" w:styleId="Markeringsbobletekst">
    <w:name w:val="Balloon Text"/>
    <w:basedOn w:val="Normal"/>
    <w:link w:val="MarkeringsbobletekstTegn"/>
    <w:uiPriority w:val="99"/>
    <w:rsid w:val="00C27032"/>
    <w:rPr>
      <w:rFonts w:ascii="Tahoma" w:hAnsi="Tahoma" w:cs="Mangal"/>
      <w:sz w:val="16"/>
      <w:szCs w:val="14"/>
    </w:rPr>
  </w:style>
  <w:style w:type="character" w:customStyle="1" w:styleId="MarkeringsbobletekstTegn">
    <w:name w:val="Markeringsbobletekst Tegn"/>
    <w:basedOn w:val="Standardskrifttypeiafsnit"/>
    <w:link w:val="Markeringsbobletekst"/>
    <w:uiPriority w:val="99"/>
    <w:rsid w:val="00C27032"/>
    <w:rPr>
      <w:rFonts w:ascii="Tahoma" w:eastAsiaTheme="minorEastAsia" w:hAnsi="Tahoma" w:cs="Mangal"/>
      <w:sz w:val="16"/>
      <w:szCs w:val="14"/>
      <w:lang w:eastAsia="zh-CN" w:bidi="hi-IN"/>
    </w:rPr>
  </w:style>
  <w:style w:type="paragraph" w:styleId="Undertitel">
    <w:name w:val="Subtitle"/>
    <w:basedOn w:val="Normal"/>
    <w:next w:val="Normal"/>
    <w:link w:val="UndertitelTegn"/>
    <w:uiPriority w:val="11"/>
    <w:qFormat/>
    <w:rsid w:val="00C27032"/>
    <w:pPr>
      <w:spacing w:after="320"/>
      <w:jc w:val="right"/>
    </w:pPr>
    <w:rPr>
      <w:i/>
      <w:iCs/>
      <w:color w:val="808080" w:themeColor="text1" w:themeTint="7F"/>
      <w:spacing w:val="10"/>
      <w:szCs w:val="24"/>
    </w:rPr>
  </w:style>
  <w:style w:type="character" w:customStyle="1" w:styleId="UndertitelTegn">
    <w:name w:val="Undertitel Tegn"/>
    <w:basedOn w:val="Standardskrifttypeiafsnit"/>
    <w:link w:val="Undertitel"/>
    <w:uiPriority w:val="11"/>
    <w:rsid w:val="00C27032"/>
    <w:rPr>
      <w:rFonts w:ascii="Times New Roman" w:eastAsiaTheme="minorEastAsia" w:hAnsi="Times New Roman"/>
      <w:i/>
      <w:iCs/>
      <w:color w:val="808080" w:themeColor="text1" w:themeTint="7F"/>
      <w:spacing w:val="10"/>
      <w:sz w:val="24"/>
      <w:szCs w:val="24"/>
      <w:lang w:eastAsia="zh-CN" w:bidi="hi-IN"/>
    </w:rPr>
  </w:style>
  <w:style w:type="character" w:styleId="Strk">
    <w:name w:val="Strong"/>
    <w:basedOn w:val="Standardskrifttypeiafsnit"/>
    <w:uiPriority w:val="22"/>
    <w:qFormat/>
    <w:rsid w:val="00C27032"/>
    <w:rPr>
      <w:b/>
      <w:bCs/>
      <w:spacing w:val="0"/>
    </w:rPr>
  </w:style>
  <w:style w:type="character" w:styleId="Fremhv">
    <w:name w:val="Emphasis"/>
    <w:uiPriority w:val="20"/>
    <w:qFormat/>
    <w:rsid w:val="00C27032"/>
    <w:rPr>
      <w:b/>
      <w:bCs/>
      <w:i/>
      <w:iCs/>
      <w:color w:val="auto"/>
    </w:rPr>
  </w:style>
  <w:style w:type="paragraph" w:styleId="Ingenafstand">
    <w:name w:val="No Spacing"/>
    <w:basedOn w:val="Normal"/>
    <w:uiPriority w:val="1"/>
    <w:qFormat/>
    <w:rsid w:val="00C27032"/>
    <w:pPr>
      <w:spacing w:after="0" w:line="240" w:lineRule="auto"/>
    </w:pPr>
  </w:style>
  <w:style w:type="paragraph" w:styleId="Citat">
    <w:name w:val="Quote"/>
    <w:basedOn w:val="Normal"/>
    <w:next w:val="Normal"/>
    <w:link w:val="CitatTegn"/>
    <w:uiPriority w:val="29"/>
    <w:qFormat/>
    <w:rsid w:val="00C27032"/>
    <w:rPr>
      <w:color w:val="5A5A5A" w:themeColor="text1" w:themeTint="A5"/>
    </w:rPr>
  </w:style>
  <w:style w:type="character" w:customStyle="1" w:styleId="CitatTegn">
    <w:name w:val="Citat Tegn"/>
    <w:basedOn w:val="Standardskrifttypeiafsnit"/>
    <w:link w:val="Citat"/>
    <w:uiPriority w:val="29"/>
    <w:rsid w:val="00C27032"/>
    <w:rPr>
      <w:rFonts w:ascii="Times New Roman" w:eastAsiaTheme="minorEastAsia" w:hAnsi="Times New Roman"/>
      <w:color w:val="5A5A5A" w:themeColor="text1" w:themeTint="A5"/>
      <w:lang w:eastAsia="zh-CN" w:bidi="hi-IN"/>
    </w:rPr>
  </w:style>
  <w:style w:type="paragraph" w:styleId="Strktcitat">
    <w:name w:val="Intense Quote"/>
    <w:basedOn w:val="Normal"/>
    <w:next w:val="Normal"/>
    <w:link w:val="StrktcitatTegn"/>
    <w:uiPriority w:val="30"/>
    <w:qFormat/>
    <w:rsid w:val="00C27032"/>
    <w:pPr>
      <w:spacing w:before="320" w:after="480" w:line="240" w:lineRule="auto"/>
      <w:ind w:left="720" w:right="720"/>
      <w:jc w:val="center"/>
    </w:pPr>
    <w:rPr>
      <w:rFonts w:asciiTheme="majorHAnsi" w:eastAsiaTheme="majorEastAsia" w:hAnsiTheme="majorHAnsi" w:cstheme="majorBidi"/>
      <w:i/>
      <w:iCs/>
      <w:sz w:val="20"/>
      <w:szCs w:val="20"/>
    </w:rPr>
  </w:style>
  <w:style w:type="character" w:customStyle="1" w:styleId="StrktcitatTegn">
    <w:name w:val="Stærkt citat Tegn"/>
    <w:basedOn w:val="Standardskrifttypeiafsnit"/>
    <w:link w:val="Strktcitat"/>
    <w:uiPriority w:val="30"/>
    <w:rsid w:val="00C27032"/>
    <w:rPr>
      <w:rFonts w:asciiTheme="majorHAnsi" w:eastAsiaTheme="majorEastAsia" w:hAnsiTheme="majorHAnsi" w:cstheme="majorBidi"/>
      <w:i/>
      <w:iCs/>
      <w:sz w:val="20"/>
      <w:szCs w:val="20"/>
      <w:lang w:eastAsia="zh-CN" w:bidi="hi-IN"/>
    </w:rPr>
  </w:style>
  <w:style w:type="character" w:styleId="Svagfremhvning">
    <w:name w:val="Subtle Emphasis"/>
    <w:uiPriority w:val="19"/>
    <w:qFormat/>
    <w:rsid w:val="00C27032"/>
    <w:rPr>
      <w:i/>
      <w:iCs/>
      <w:color w:val="5A5A5A" w:themeColor="text1" w:themeTint="A5"/>
    </w:rPr>
  </w:style>
  <w:style w:type="character" w:styleId="Kraftigfremhvning">
    <w:name w:val="Intense Emphasis"/>
    <w:uiPriority w:val="21"/>
    <w:qFormat/>
    <w:rsid w:val="00C27032"/>
    <w:rPr>
      <w:b/>
      <w:bCs/>
      <w:i/>
      <w:iCs/>
      <w:color w:val="auto"/>
      <w:u w:val="single"/>
    </w:rPr>
  </w:style>
  <w:style w:type="character" w:styleId="Svaghenvisning">
    <w:name w:val="Subtle Reference"/>
    <w:uiPriority w:val="31"/>
    <w:qFormat/>
    <w:rsid w:val="00C27032"/>
    <w:rPr>
      <w:smallCaps/>
    </w:rPr>
  </w:style>
  <w:style w:type="character" w:styleId="Kraftighenvisning">
    <w:name w:val="Intense Reference"/>
    <w:uiPriority w:val="32"/>
    <w:qFormat/>
    <w:rsid w:val="00C27032"/>
    <w:rPr>
      <w:b/>
      <w:bCs/>
      <w:smallCaps/>
      <w:color w:val="auto"/>
    </w:rPr>
  </w:style>
  <w:style w:type="character" w:styleId="Bogenstitel">
    <w:name w:val="Book Title"/>
    <w:uiPriority w:val="33"/>
    <w:qFormat/>
    <w:rsid w:val="00C27032"/>
    <w:rPr>
      <w:rFonts w:asciiTheme="majorHAnsi" w:eastAsiaTheme="majorEastAsia" w:hAnsiTheme="majorHAnsi" w:cstheme="majorBidi"/>
      <w:b/>
      <w:bCs/>
      <w:smallCaps/>
      <w:color w:val="auto"/>
      <w:u w:val="single"/>
    </w:rPr>
  </w:style>
  <w:style w:type="paragraph" w:styleId="Sidehoved">
    <w:name w:val="header"/>
    <w:basedOn w:val="Normal"/>
    <w:link w:val="SidehovedTegn"/>
    <w:rsid w:val="00C27032"/>
    <w:pPr>
      <w:tabs>
        <w:tab w:val="center" w:pos="4819"/>
        <w:tab w:val="right" w:pos="9638"/>
      </w:tabs>
      <w:spacing w:after="0" w:line="240" w:lineRule="auto"/>
    </w:pPr>
    <w:rPr>
      <w:rFonts w:cs="Mangal"/>
      <w:szCs w:val="20"/>
    </w:rPr>
  </w:style>
  <w:style w:type="character" w:customStyle="1" w:styleId="SidehovedTegn">
    <w:name w:val="Sidehoved Tegn"/>
    <w:basedOn w:val="Standardskrifttypeiafsnit"/>
    <w:link w:val="Sidehoved"/>
    <w:rsid w:val="00C27032"/>
    <w:rPr>
      <w:rFonts w:ascii="Times New Roman" w:eastAsiaTheme="minorEastAsia" w:hAnsi="Times New Roman" w:cs="Mangal"/>
      <w:szCs w:val="20"/>
      <w:lang w:eastAsia="zh-CN" w:bidi="hi-IN"/>
    </w:rPr>
  </w:style>
  <w:style w:type="paragraph" w:styleId="Sidefod">
    <w:name w:val="footer"/>
    <w:basedOn w:val="Normal"/>
    <w:link w:val="SidefodTegn"/>
    <w:uiPriority w:val="99"/>
    <w:rsid w:val="00C27032"/>
    <w:pPr>
      <w:tabs>
        <w:tab w:val="center" w:pos="4819"/>
        <w:tab w:val="right" w:pos="9638"/>
      </w:tabs>
      <w:spacing w:after="0" w:line="240" w:lineRule="auto"/>
    </w:pPr>
    <w:rPr>
      <w:rFonts w:cs="Mangal"/>
      <w:szCs w:val="20"/>
    </w:rPr>
  </w:style>
  <w:style w:type="character" w:customStyle="1" w:styleId="SidefodTegn">
    <w:name w:val="Sidefod Tegn"/>
    <w:basedOn w:val="Standardskrifttypeiafsnit"/>
    <w:link w:val="Sidefod"/>
    <w:uiPriority w:val="99"/>
    <w:rsid w:val="00C27032"/>
    <w:rPr>
      <w:rFonts w:ascii="Times New Roman" w:eastAsiaTheme="minorEastAsia" w:hAnsi="Times New Roman" w:cs="Mangal"/>
      <w:szCs w:val="20"/>
      <w:lang w:eastAsia="zh-CN" w:bidi="hi-IN"/>
    </w:rPr>
  </w:style>
  <w:style w:type="character" w:customStyle="1" w:styleId="apple-converted-space">
    <w:name w:val="apple-converted-space"/>
    <w:basedOn w:val="Standardskrifttypeiafsnit"/>
    <w:rsid w:val="00C27032"/>
  </w:style>
  <w:style w:type="table" w:styleId="Tabel-Gitter">
    <w:name w:val="Table Grid"/>
    <w:basedOn w:val="Tabel-Normal"/>
    <w:uiPriority w:val="59"/>
    <w:rsid w:val="00C27032"/>
    <w:pPr>
      <w:spacing w:after="0" w:line="240" w:lineRule="auto"/>
      <w:ind w:firstLine="360"/>
    </w:pPr>
    <w:rPr>
      <w:rFonts w:eastAsiaTheme="minorEastAsia"/>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
    <w:name w:val="Light Shading"/>
    <w:basedOn w:val="Tabel-Normal"/>
    <w:uiPriority w:val="60"/>
    <w:rsid w:val="00C27032"/>
    <w:pPr>
      <w:spacing w:after="0" w:line="240" w:lineRule="auto"/>
      <w:ind w:firstLine="360"/>
    </w:pPr>
    <w:rPr>
      <w:rFonts w:eastAsiaTheme="minorEastAsia"/>
      <w:color w:val="000000" w:themeColor="text1" w:themeShade="BF"/>
      <w:lang w:eastAsia="zh-CN" w:bidi="hi-I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Kommentarhenvisning">
    <w:name w:val="annotation reference"/>
    <w:basedOn w:val="Standardskrifttypeiafsnit"/>
    <w:uiPriority w:val="99"/>
    <w:semiHidden/>
    <w:unhideWhenUsed/>
    <w:rsid w:val="00C27032"/>
    <w:rPr>
      <w:sz w:val="16"/>
      <w:szCs w:val="16"/>
    </w:rPr>
  </w:style>
  <w:style w:type="paragraph" w:styleId="Kommentartekst">
    <w:name w:val="annotation text"/>
    <w:basedOn w:val="Normal"/>
    <w:link w:val="KommentartekstTegn"/>
    <w:uiPriority w:val="99"/>
    <w:unhideWhenUsed/>
    <w:rsid w:val="00C27032"/>
    <w:pPr>
      <w:spacing w:line="240" w:lineRule="auto"/>
    </w:pPr>
    <w:rPr>
      <w:rFonts w:cs="Mangal"/>
      <w:sz w:val="20"/>
      <w:szCs w:val="18"/>
    </w:rPr>
  </w:style>
  <w:style w:type="character" w:customStyle="1" w:styleId="KommentartekstTegn">
    <w:name w:val="Kommentartekst Tegn"/>
    <w:basedOn w:val="Standardskrifttypeiafsnit"/>
    <w:link w:val="Kommentartekst"/>
    <w:uiPriority w:val="99"/>
    <w:rsid w:val="00C27032"/>
    <w:rPr>
      <w:rFonts w:ascii="Times New Roman" w:eastAsiaTheme="minorEastAsia" w:hAnsi="Times New Roman" w:cs="Mangal"/>
      <w:sz w:val="20"/>
      <w:szCs w:val="18"/>
      <w:lang w:eastAsia="zh-CN" w:bidi="hi-IN"/>
    </w:rPr>
  </w:style>
  <w:style w:type="paragraph" w:styleId="Kommentaremne">
    <w:name w:val="annotation subject"/>
    <w:basedOn w:val="Kommentartekst"/>
    <w:next w:val="Kommentartekst"/>
    <w:link w:val="KommentaremneTegn"/>
    <w:uiPriority w:val="99"/>
    <w:semiHidden/>
    <w:unhideWhenUsed/>
    <w:rsid w:val="00C27032"/>
    <w:rPr>
      <w:b/>
      <w:bCs/>
    </w:rPr>
  </w:style>
  <w:style w:type="character" w:customStyle="1" w:styleId="KommentaremneTegn">
    <w:name w:val="Kommentaremne Tegn"/>
    <w:basedOn w:val="KommentartekstTegn"/>
    <w:link w:val="Kommentaremne"/>
    <w:uiPriority w:val="99"/>
    <w:semiHidden/>
    <w:rsid w:val="00C27032"/>
    <w:rPr>
      <w:rFonts w:ascii="Times New Roman" w:eastAsiaTheme="minorEastAsia" w:hAnsi="Times New Roman" w:cs="Mangal"/>
      <w:b/>
      <w:bCs/>
      <w:sz w:val="20"/>
      <w:szCs w:val="18"/>
      <w:lang w:eastAsia="zh-CN" w:bidi="hi-IN"/>
    </w:rPr>
  </w:style>
  <w:style w:type="paragraph" w:styleId="FormateretHTML">
    <w:name w:val="HTML Preformatted"/>
    <w:basedOn w:val="Normal"/>
    <w:link w:val="FormateretHTMLTegn"/>
    <w:uiPriority w:val="99"/>
    <w:unhideWhenUsed/>
    <w:rsid w:val="00C27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bidi="ar-SA"/>
    </w:rPr>
  </w:style>
  <w:style w:type="character" w:customStyle="1" w:styleId="FormateretHTMLTegn">
    <w:name w:val="Formateret HTML Tegn"/>
    <w:basedOn w:val="Standardskrifttypeiafsnit"/>
    <w:link w:val="FormateretHTML"/>
    <w:uiPriority w:val="99"/>
    <w:rsid w:val="00C27032"/>
    <w:rPr>
      <w:rFonts w:ascii="Courier New" w:eastAsia="Times New Roman" w:hAnsi="Courier New" w:cs="Courier New"/>
      <w:sz w:val="20"/>
      <w:szCs w:val="20"/>
      <w:lang w:eastAsia="en-GB"/>
    </w:rPr>
  </w:style>
  <w:style w:type="character" w:customStyle="1" w:styleId="gcwxi2kcpkb">
    <w:name w:val="gcwxi2kcpkb"/>
    <w:basedOn w:val="Standardskrifttypeiafsnit"/>
    <w:rsid w:val="00C27032"/>
  </w:style>
  <w:style w:type="character" w:customStyle="1" w:styleId="gcwxi2kcpjb">
    <w:name w:val="gcwxi2kcpjb"/>
    <w:basedOn w:val="Standardskrifttypeiafsnit"/>
    <w:rsid w:val="00C27032"/>
  </w:style>
  <w:style w:type="paragraph" w:customStyle="1" w:styleId="Default">
    <w:name w:val="Default"/>
    <w:rsid w:val="00C27032"/>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character" w:styleId="Linjenummer">
    <w:name w:val="line number"/>
    <w:basedOn w:val="Standardskrifttypeiafsnit"/>
    <w:uiPriority w:val="99"/>
    <w:semiHidden/>
    <w:unhideWhenUsed/>
    <w:rsid w:val="00C27032"/>
  </w:style>
  <w:style w:type="paragraph" w:styleId="Almindeligtekst">
    <w:name w:val="Plain Text"/>
    <w:basedOn w:val="Normal"/>
    <w:link w:val="AlmindeligtekstTegn"/>
    <w:uiPriority w:val="99"/>
    <w:unhideWhenUsed/>
    <w:rsid w:val="00C27032"/>
    <w:pPr>
      <w:spacing w:after="0" w:line="240" w:lineRule="auto"/>
      <w:jc w:val="left"/>
    </w:pPr>
    <w:rPr>
      <w:rFonts w:ascii="Calibri" w:eastAsiaTheme="minorHAnsi" w:hAnsi="Calibri"/>
      <w:szCs w:val="21"/>
      <w:lang w:eastAsia="en-US" w:bidi="ar-SA"/>
    </w:rPr>
  </w:style>
  <w:style w:type="character" w:customStyle="1" w:styleId="AlmindeligtekstTegn">
    <w:name w:val="Almindelig tekst Tegn"/>
    <w:basedOn w:val="Standardskrifttypeiafsnit"/>
    <w:link w:val="Almindeligtekst"/>
    <w:uiPriority w:val="99"/>
    <w:rsid w:val="00C27032"/>
    <w:rPr>
      <w:rFonts w:ascii="Calibri" w:hAnsi="Calibri"/>
      <w:szCs w:val="21"/>
    </w:rPr>
  </w:style>
  <w:style w:type="character" w:styleId="BesgtHyperlink">
    <w:name w:val="FollowedHyperlink"/>
    <w:basedOn w:val="Standardskrifttypeiafsnit"/>
    <w:uiPriority w:val="99"/>
    <w:semiHidden/>
    <w:unhideWhenUsed/>
    <w:rsid w:val="00C27032"/>
    <w:rPr>
      <w:color w:val="800080" w:themeColor="followedHyperlink"/>
      <w:u w:val="single"/>
    </w:rPr>
  </w:style>
  <w:style w:type="character" w:styleId="Pladsholdertekst">
    <w:name w:val="Placeholder Text"/>
    <w:basedOn w:val="Standardskrifttypeiafsnit"/>
    <w:uiPriority w:val="99"/>
    <w:semiHidden/>
    <w:rsid w:val="00C27032"/>
    <w:rPr>
      <w:color w:val="808080"/>
    </w:rPr>
  </w:style>
  <w:style w:type="paragraph" w:styleId="Korrektur">
    <w:name w:val="Revision"/>
    <w:hidden/>
    <w:uiPriority w:val="99"/>
    <w:semiHidden/>
    <w:rsid w:val="00505067"/>
    <w:pPr>
      <w:spacing w:after="0" w:line="240" w:lineRule="auto"/>
    </w:pPr>
    <w:rPr>
      <w:rFonts w:ascii="Times New Roman" w:eastAsiaTheme="minorEastAsia" w:hAnsi="Times New Roman" w:cs="Mangal"/>
      <w:sz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006">
      <w:bodyDiv w:val="1"/>
      <w:marLeft w:val="0"/>
      <w:marRight w:val="0"/>
      <w:marTop w:val="0"/>
      <w:marBottom w:val="0"/>
      <w:divBdr>
        <w:top w:val="none" w:sz="0" w:space="0" w:color="auto"/>
        <w:left w:val="none" w:sz="0" w:space="0" w:color="auto"/>
        <w:bottom w:val="none" w:sz="0" w:space="0" w:color="auto"/>
        <w:right w:val="none" w:sz="0" w:space="0" w:color="auto"/>
      </w:divBdr>
    </w:div>
    <w:div w:id="65498147">
      <w:bodyDiv w:val="1"/>
      <w:marLeft w:val="0"/>
      <w:marRight w:val="0"/>
      <w:marTop w:val="0"/>
      <w:marBottom w:val="0"/>
      <w:divBdr>
        <w:top w:val="none" w:sz="0" w:space="0" w:color="auto"/>
        <w:left w:val="none" w:sz="0" w:space="0" w:color="auto"/>
        <w:bottom w:val="none" w:sz="0" w:space="0" w:color="auto"/>
        <w:right w:val="none" w:sz="0" w:space="0" w:color="auto"/>
      </w:divBdr>
    </w:div>
    <w:div w:id="120466368">
      <w:bodyDiv w:val="1"/>
      <w:marLeft w:val="0"/>
      <w:marRight w:val="0"/>
      <w:marTop w:val="0"/>
      <w:marBottom w:val="0"/>
      <w:divBdr>
        <w:top w:val="none" w:sz="0" w:space="0" w:color="auto"/>
        <w:left w:val="none" w:sz="0" w:space="0" w:color="auto"/>
        <w:bottom w:val="none" w:sz="0" w:space="0" w:color="auto"/>
        <w:right w:val="none" w:sz="0" w:space="0" w:color="auto"/>
      </w:divBdr>
    </w:div>
    <w:div w:id="130095324">
      <w:bodyDiv w:val="1"/>
      <w:marLeft w:val="0"/>
      <w:marRight w:val="0"/>
      <w:marTop w:val="0"/>
      <w:marBottom w:val="0"/>
      <w:divBdr>
        <w:top w:val="none" w:sz="0" w:space="0" w:color="auto"/>
        <w:left w:val="none" w:sz="0" w:space="0" w:color="auto"/>
        <w:bottom w:val="none" w:sz="0" w:space="0" w:color="auto"/>
        <w:right w:val="none" w:sz="0" w:space="0" w:color="auto"/>
      </w:divBdr>
    </w:div>
    <w:div w:id="191961619">
      <w:bodyDiv w:val="1"/>
      <w:marLeft w:val="0"/>
      <w:marRight w:val="0"/>
      <w:marTop w:val="0"/>
      <w:marBottom w:val="0"/>
      <w:divBdr>
        <w:top w:val="none" w:sz="0" w:space="0" w:color="auto"/>
        <w:left w:val="none" w:sz="0" w:space="0" w:color="auto"/>
        <w:bottom w:val="none" w:sz="0" w:space="0" w:color="auto"/>
        <w:right w:val="none" w:sz="0" w:space="0" w:color="auto"/>
      </w:divBdr>
    </w:div>
    <w:div w:id="219946311">
      <w:bodyDiv w:val="1"/>
      <w:marLeft w:val="0"/>
      <w:marRight w:val="0"/>
      <w:marTop w:val="0"/>
      <w:marBottom w:val="0"/>
      <w:divBdr>
        <w:top w:val="none" w:sz="0" w:space="0" w:color="auto"/>
        <w:left w:val="none" w:sz="0" w:space="0" w:color="auto"/>
        <w:bottom w:val="none" w:sz="0" w:space="0" w:color="auto"/>
        <w:right w:val="none" w:sz="0" w:space="0" w:color="auto"/>
      </w:divBdr>
    </w:div>
    <w:div w:id="272712732">
      <w:bodyDiv w:val="1"/>
      <w:marLeft w:val="0"/>
      <w:marRight w:val="0"/>
      <w:marTop w:val="0"/>
      <w:marBottom w:val="0"/>
      <w:divBdr>
        <w:top w:val="none" w:sz="0" w:space="0" w:color="auto"/>
        <w:left w:val="none" w:sz="0" w:space="0" w:color="auto"/>
        <w:bottom w:val="none" w:sz="0" w:space="0" w:color="auto"/>
        <w:right w:val="none" w:sz="0" w:space="0" w:color="auto"/>
      </w:divBdr>
    </w:div>
    <w:div w:id="336076636">
      <w:bodyDiv w:val="1"/>
      <w:marLeft w:val="0"/>
      <w:marRight w:val="0"/>
      <w:marTop w:val="0"/>
      <w:marBottom w:val="0"/>
      <w:divBdr>
        <w:top w:val="none" w:sz="0" w:space="0" w:color="auto"/>
        <w:left w:val="none" w:sz="0" w:space="0" w:color="auto"/>
        <w:bottom w:val="none" w:sz="0" w:space="0" w:color="auto"/>
        <w:right w:val="none" w:sz="0" w:space="0" w:color="auto"/>
      </w:divBdr>
    </w:div>
    <w:div w:id="382869631">
      <w:bodyDiv w:val="1"/>
      <w:marLeft w:val="0"/>
      <w:marRight w:val="0"/>
      <w:marTop w:val="0"/>
      <w:marBottom w:val="0"/>
      <w:divBdr>
        <w:top w:val="none" w:sz="0" w:space="0" w:color="auto"/>
        <w:left w:val="none" w:sz="0" w:space="0" w:color="auto"/>
        <w:bottom w:val="none" w:sz="0" w:space="0" w:color="auto"/>
        <w:right w:val="none" w:sz="0" w:space="0" w:color="auto"/>
      </w:divBdr>
    </w:div>
    <w:div w:id="398329309">
      <w:bodyDiv w:val="1"/>
      <w:marLeft w:val="0"/>
      <w:marRight w:val="0"/>
      <w:marTop w:val="0"/>
      <w:marBottom w:val="0"/>
      <w:divBdr>
        <w:top w:val="none" w:sz="0" w:space="0" w:color="auto"/>
        <w:left w:val="none" w:sz="0" w:space="0" w:color="auto"/>
        <w:bottom w:val="none" w:sz="0" w:space="0" w:color="auto"/>
        <w:right w:val="none" w:sz="0" w:space="0" w:color="auto"/>
      </w:divBdr>
    </w:div>
    <w:div w:id="439379110">
      <w:bodyDiv w:val="1"/>
      <w:marLeft w:val="0"/>
      <w:marRight w:val="0"/>
      <w:marTop w:val="0"/>
      <w:marBottom w:val="0"/>
      <w:divBdr>
        <w:top w:val="none" w:sz="0" w:space="0" w:color="auto"/>
        <w:left w:val="none" w:sz="0" w:space="0" w:color="auto"/>
        <w:bottom w:val="none" w:sz="0" w:space="0" w:color="auto"/>
        <w:right w:val="none" w:sz="0" w:space="0" w:color="auto"/>
      </w:divBdr>
    </w:div>
    <w:div w:id="451285993">
      <w:bodyDiv w:val="1"/>
      <w:marLeft w:val="0"/>
      <w:marRight w:val="0"/>
      <w:marTop w:val="0"/>
      <w:marBottom w:val="0"/>
      <w:divBdr>
        <w:top w:val="none" w:sz="0" w:space="0" w:color="auto"/>
        <w:left w:val="none" w:sz="0" w:space="0" w:color="auto"/>
        <w:bottom w:val="none" w:sz="0" w:space="0" w:color="auto"/>
        <w:right w:val="none" w:sz="0" w:space="0" w:color="auto"/>
      </w:divBdr>
    </w:div>
    <w:div w:id="549465494">
      <w:bodyDiv w:val="1"/>
      <w:marLeft w:val="0"/>
      <w:marRight w:val="0"/>
      <w:marTop w:val="0"/>
      <w:marBottom w:val="0"/>
      <w:divBdr>
        <w:top w:val="none" w:sz="0" w:space="0" w:color="auto"/>
        <w:left w:val="none" w:sz="0" w:space="0" w:color="auto"/>
        <w:bottom w:val="none" w:sz="0" w:space="0" w:color="auto"/>
        <w:right w:val="none" w:sz="0" w:space="0" w:color="auto"/>
      </w:divBdr>
    </w:div>
    <w:div w:id="678242172">
      <w:bodyDiv w:val="1"/>
      <w:marLeft w:val="0"/>
      <w:marRight w:val="0"/>
      <w:marTop w:val="0"/>
      <w:marBottom w:val="0"/>
      <w:divBdr>
        <w:top w:val="none" w:sz="0" w:space="0" w:color="auto"/>
        <w:left w:val="none" w:sz="0" w:space="0" w:color="auto"/>
        <w:bottom w:val="none" w:sz="0" w:space="0" w:color="auto"/>
        <w:right w:val="none" w:sz="0" w:space="0" w:color="auto"/>
      </w:divBdr>
    </w:div>
    <w:div w:id="684288301">
      <w:bodyDiv w:val="1"/>
      <w:marLeft w:val="0"/>
      <w:marRight w:val="0"/>
      <w:marTop w:val="0"/>
      <w:marBottom w:val="0"/>
      <w:divBdr>
        <w:top w:val="none" w:sz="0" w:space="0" w:color="auto"/>
        <w:left w:val="none" w:sz="0" w:space="0" w:color="auto"/>
        <w:bottom w:val="none" w:sz="0" w:space="0" w:color="auto"/>
        <w:right w:val="none" w:sz="0" w:space="0" w:color="auto"/>
      </w:divBdr>
    </w:div>
    <w:div w:id="687564312">
      <w:bodyDiv w:val="1"/>
      <w:marLeft w:val="0"/>
      <w:marRight w:val="0"/>
      <w:marTop w:val="0"/>
      <w:marBottom w:val="0"/>
      <w:divBdr>
        <w:top w:val="none" w:sz="0" w:space="0" w:color="auto"/>
        <w:left w:val="none" w:sz="0" w:space="0" w:color="auto"/>
        <w:bottom w:val="none" w:sz="0" w:space="0" w:color="auto"/>
        <w:right w:val="none" w:sz="0" w:space="0" w:color="auto"/>
      </w:divBdr>
    </w:div>
    <w:div w:id="689182098">
      <w:bodyDiv w:val="1"/>
      <w:marLeft w:val="0"/>
      <w:marRight w:val="0"/>
      <w:marTop w:val="0"/>
      <w:marBottom w:val="0"/>
      <w:divBdr>
        <w:top w:val="none" w:sz="0" w:space="0" w:color="auto"/>
        <w:left w:val="none" w:sz="0" w:space="0" w:color="auto"/>
        <w:bottom w:val="none" w:sz="0" w:space="0" w:color="auto"/>
        <w:right w:val="none" w:sz="0" w:space="0" w:color="auto"/>
      </w:divBdr>
    </w:div>
    <w:div w:id="744761761">
      <w:bodyDiv w:val="1"/>
      <w:marLeft w:val="0"/>
      <w:marRight w:val="0"/>
      <w:marTop w:val="0"/>
      <w:marBottom w:val="0"/>
      <w:divBdr>
        <w:top w:val="none" w:sz="0" w:space="0" w:color="auto"/>
        <w:left w:val="none" w:sz="0" w:space="0" w:color="auto"/>
        <w:bottom w:val="none" w:sz="0" w:space="0" w:color="auto"/>
        <w:right w:val="none" w:sz="0" w:space="0" w:color="auto"/>
      </w:divBdr>
    </w:div>
    <w:div w:id="871696882">
      <w:bodyDiv w:val="1"/>
      <w:marLeft w:val="0"/>
      <w:marRight w:val="0"/>
      <w:marTop w:val="0"/>
      <w:marBottom w:val="0"/>
      <w:divBdr>
        <w:top w:val="none" w:sz="0" w:space="0" w:color="auto"/>
        <w:left w:val="none" w:sz="0" w:space="0" w:color="auto"/>
        <w:bottom w:val="none" w:sz="0" w:space="0" w:color="auto"/>
        <w:right w:val="none" w:sz="0" w:space="0" w:color="auto"/>
      </w:divBdr>
    </w:div>
    <w:div w:id="899099332">
      <w:bodyDiv w:val="1"/>
      <w:marLeft w:val="0"/>
      <w:marRight w:val="0"/>
      <w:marTop w:val="0"/>
      <w:marBottom w:val="0"/>
      <w:divBdr>
        <w:top w:val="none" w:sz="0" w:space="0" w:color="auto"/>
        <w:left w:val="none" w:sz="0" w:space="0" w:color="auto"/>
        <w:bottom w:val="none" w:sz="0" w:space="0" w:color="auto"/>
        <w:right w:val="none" w:sz="0" w:space="0" w:color="auto"/>
      </w:divBdr>
    </w:div>
    <w:div w:id="906643892">
      <w:bodyDiv w:val="1"/>
      <w:marLeft w:val="0"/>
      <w:marRight w:val="0"/>
      <w:marTop w:val="0"/>
      <w:marBottom w:val="0"/>
      <w:divBdr>
        <w:top w:val="none" w:sz="0" w:space="0" w:color="auto"/>
        <w:left w:val="none" w:sz="0" w:space="0" w:color="auto"/>
        <w:bottom w:val="none" w:sz="0" w:space="0" w:color="auto"/>
        <w:right w:val="none" w:sz="0" w:space="0" w:color="auto"/>
      </w:divBdr>
    </w:div>
    <w:div w:id="929243258">
      <w:bodyDiv w:val="1"/>
      <w:marLeft w:val="0"/>
      <w:marRight w:val="0"/>
      <w:marTop w:val="0"/>
      <w:marBottom w:val="0"/>
      <w:divBdr>
        <w:top w:val="none" w:sz="0" w:space="0" w:color="auto"/>
        <w:left w:val="none" w:sz="0" w:space="0" w:color="auto"/>
        <w:bottom w:val="none" w:sz="0" w:space="0" w:color="auto"/>
        <w:right w:val="none" w:sz="0" w:space="0" w:color="auto"/>
      </w:divBdr>
    </w:div>
    <w:div w:id="987712044">
      <w:bodyDiv w:val="1"/>
      <w:marLeft w:val="0"/>
      <w:marRight w:val="0"/>
      <w:marTop w:val="0"/>
      <w:marBottom w:val="0"/>
      <w:divBdr>
        <w:top w:val="none" w:sz="0" w:space="0" w:color="auto"/>
        <w:left w:val="none" w:sz="0" w:space="0" w:color="auto"/>
        <w:bottom w:val="none" w:sz="0" w:space="0" w:color="auto"/>
        <w:right w:val="none" w:sz="0" w:space="0" w:color="auto"/>
      </w:divBdr>
    </w:div>
    <w:div w:id="1074668377">
      <w:bodyDiv w:val="1"/>
      <w:marLeft w:val="0"/>
      <w:marRight w:val="0"/>
      <w:marTop w:val="0"/>
      <w:marBottom w:val="0"/>
      <w:divBdr>
        <w:top w:val="none" w:sz="0" w:space="0" w:color="auto"/>
        <w:left w:val="none" w:sz="0" w:space="0" w:color="auto"/>
        <w:bottom w:val="none" w:sz="0" w:space="0" w:color="auto"/>
        <w:right w:val="none" w:sz="0" w:space="0" w:color="auto"/>
      </w:divBdr>
    </w:div>
    <w:div w:id="1118522075">
      <w:bodyDiv w:val="1"/>
      <w:marLeft w:val="0"/>
      <w:marRight w:val="0"/>
      <w:marTop w:val="0"/>
      <w:marBottom w:val="0"/>
      <w:divBdr>
        <w:top w:val="none" w:sz="0" w:space="0" w:color="auto"/>
        <w:left w:val="none" w:sz="0" w:space="0" w:color="auto"/>
        <w:bottom w:val="none" w:sz="0" w:space="0" w:color="auto"/>
        <w:right w:val="none" w:sz="0" w:space="0" w:color="auto"/>
      </w:divBdr>
    </w:div>
    <w:div w:id="1149519433">
      <w:bodyDiv w:val="1"/>
      <w:marLeft w:val="0"/>
      <w:marRight w:val="0"/>
      <w:marTop w:val="0"/>
      <w:marBottom w:val="0"/>
      <w:divBdr>
        <w:top w:val="none" w:sz="0" w:space="0" w:color="auto"/>
        <w:left w:val="none" w:sz="0" w:space="0" w:color="auto"/>
        <w:bottom w:val="none" w:sz="0" w:space="0" w:color="auto"/>
        <w:right w:val="none" w:sz="0" w:space="0" w:color="auto"/>
      </w:divBdr>
    </w:div>
    <w:div w:id="1160077033">
      <w:bodyDiv w:val="1"/>
      <w:marLeft w:val="0"/>
      <w:marRight w:val="0"/>
      <w:marTop w:val="0"/>
      <w:marBottom w:val="0"/>
      <w:divBdr>
        <w:top w:val="none" w:sz="0" w:space="0" w:color="auto"/>
        <w:left w:val="none" w:sz="0" w:space="0" w:color="auto"/>
        <w:bottom w:val="none" w:sz="0" w:space="0" w:color="auto"/>
        <w:right w:val="none" w:sz="0" w:space="0" w:color="auto"/>
      </w:divBdr>
    </w:div>
    <w:div w:id="1267082705">
      <w:bodyDiv w:val="1"/>
      <w:marLeft w:val="0"/>
      <w:marRight w:val="0"/>
      <w:marTop w:val="0"/>
      <w:marBottom w:val="0"/>
      <w:divBdr>
        <w:top w:val="none" w:sz="0" w:space="0" w:color="auto"/>
        <w:left w:val="none" w:sz="0" w:space="0" w:color="auto"/>
        <w:bottom w:val="none" w:sz="0" w:space="0" w:color="auto"/>
        <w:right w:val="none" w:sz="0" w:space="0" w:color="auto"/>
      </w:divBdr>
    </w:div>
    <w:div w:id="1286737335">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
    <w:div w:id="1326862169">
      <w:bodyDiv w:val="1"/>
      <w:marLeft w:val="0"/>
      <w:marRight w:val="0"/>
      <w:marTop w:val="0"/>
      <w:marBottom w:val="0"/>
      <w:divBdr>
        <w:top w:val="none" w:sz="0" w:space="0" w:color="auto"/>
        <w:left w:val="none" w:sz="0" w:space="0" w:color="auto"/>
        <w:bottom w:val="none" w:sz="0" w:space="0" w:color="auto"/>
        <w:right w:val="none" w:sz="0" w:space="0" w:color="auto"/>
      </w:divBdr>
    </w:div>
    <w:div w:id="1375500506">
      <w:bodyDiv w:val="1"/>
      <w:marLeft w:val="0"/>
      <w:marRight w:val="0"/>
      <w:marTop w:val="0"/>
      <w:marBottom w:val="0"/>
      <w:divBdr>
        <w:top w:val="none" w:sz="0" w:space="0" w:color="auto"/>
        <w:left w:val="none" w:sz="0" w:space="0" w:color="auto"/>
        <w:bottom w:val="none" w:sz="0" w:space="0" w:color="auto"/>
        <w:right w:val="none" w:sz="0" w:space="0" w:color="auto"/>
      </w:divBdr>
    </w:div>
    <w:div w:id="1401638171">
      <w:bodyDiv w:val="1"/>
      <w:marLeft w:val="0"/>
      <w:marRight w:val="0"/>
      <w:marTop w:val="0"/>
      <w:marBottom w:val="0"/>
      <w:divBdr>
        <w:top w:val="none" w:sz="0" w:space="0" w:color="auto"/>
        <w:left w:val="none" w:sz="0" w:space="0" w:color="auto"/>
        <w:bottom w:val="none" w:sz="0" w:space="0" w:color="auto"/>
        <w:right w:val="none" w:sz="0" w:space="0" w:color="auto"/>
      </w:divBdr>
    </w:div>
    <w:div w:id="1414468673">
      <w:bodyDiv w:val="1"/>
      <w:marLeft w:val="0"/>
      <w:marRight w:val="0"/>
      <w:marTop w:val="0"/>
      <w:marBottom w:val="0"/>
      <w:divBdr>
        <w:top w:val="none" w:sz="0" w:space="0" w:color="auto"/>
        <w:left w:val="none" w:sz="0" w:space="0" w:color="auto"/>
        <w:bottom w:val="none" w:sz="0" w:space="0" w:color="auto"/>
        <w:right w:val="none" w:sz="0" w:space="0" w:color="auto"/>
      </w:divBdr>
    </w:div>
    <w:div w:id="1504709145">
      <w:bodyDiv w:val="1"/>
      <w:marLeft w:val="0"/>
      <w:marRight w:val="0"/>
      <w:marTop w:val="0"/>
      <w:marBottom w:val="0"/>
      <w:divBdr>
        <w:top w:val="none" w:sz="0" w:space="0" w:color="auto"/>
        <w:left w:val="none" w:sz="0" w:space="0" w:color="auto"/>
        <w:bottom w:val="none" w:sz="0" w:space="0" w:color="auto"/>
        <w:right w:val="none" w:sz="0" w:space="0" w:color="auto"/>
      </w:divBdr>
    </w:div>
    <w:div w:id="1600143608">
      <w:bodyDiv w:val="1"/>
      <w:marLeft w:val="0"/>
      <w:marRight w:val="0"/>
      <w:marTop w:val="0"/>
      <w:marBottom w:val="0"/>
      <w:divBdr>
        <w:top w:val="none" w:sz="0" w:space="0" w:color="auto"/>
        <w:left w:val="none" w:sz="0" w:space="0" w:color="auto"/>
        <w:bottom w:val="none" w:sz="0" w:space="0" w:color="auto"/>
        <w:right w:val="none" w:sz="0" w:space="0" w:color="auto"/>
      </w:divBdr>
    </w:div>
    <w:div w:id="1631129913">
      <w:bodyDiv w:val="1"/>
      <w:marLeft w:val="0"/>
      <w:marRight w:val="0"/>
      <w:marTop w:val="0"/>
      <w:marBottom w:val="0"/>
      <w:divBdr>
        <w:top w:val="none" w:sz="0" w:space="0" w:color="auto"/>
        <w:left w:val="none" w:sz="0" w:space="0" w:color="auto"/>
        <w:bottom w:val="none" w:sz="0" w:space="0" w:color="auto"/>
        <w:right w:val="none" w:sz="0" w:space="0" w:color="auto"/>
      </w:divBdr>
    </w:div>
    <w:div w:id="1644852263">
      <w:bodyDiv w:val="1"/>
      <w:marLeft w:val="0"/>
      <w:marRight w:val="0"/>
      <w:marTop w:val="0"/>
      <w:marBottom w:val="0"/>
      <w:divBdr>
        <w:top w:val="none" w:sz="0" w:space="0" w:color="auto"/>
        <w:left w:val="none" w:sz="0" w:space="0" w:color="auto"/>
        <w:bottom w:val="none" w:sz="0" w:space="0" w:color="auto"/>
        <w:right w:val="none" w:sz="0" w:space="0" w:color="auto"/>
      </w:divBdr>
    </w:div>
    <w:div w:id="1949655650">
      <w:bodyDiv w:val="1"/>
      <w:marLeft w:val="0"/>
      <w:marRight w:val="0"/>
      <w:marTop w:val="0"/>
      <w:marBottom w:val="0"/>
      <w:divBdr>
        <w:top w:val="none" w:sz="0" w:space="0" w:color="auto"/>
        <w:left w:val="none" w:sz="0" w:space="0" w:color="auto"/>
        <w:bottom w:val="none" w:sz="0" w:space="0" w:color="auto"/>
        <w:right w:val="none" w:sz="0" w:space="0" w:color="auto"/>
      </w:divBdr>
    </w:div>
    <w:div w:id="1969045616">
      <w:bodyDiv w:val="1"/>
      <w:marLeft w:val="0"/>
      <w:marRight w:val="0"/>
      <w:marTop w:val="0"/>
      <w:marBottom w:val="0"/>
      <w:divBdr>
        <w:top w:val="none" w:sz="0" w:space="0" w:color="auto"/>
        <w:left w:val="none" w:sz="0" w:space="0" w:color="auto"/>
        <w:bottom w:val="none" w:sz="0" w:space="0" w:color="auto"/>
        <w:right w:val="none" w:sz="0" w:space="0" w:color="auto"/>
      </w:divBdr>
    </w:div>
    <w:div w:id="207488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F08BC-2135-4B64-9C44-3CC8C8213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45805</Words>
  <Characters>279411</Characters>
  <Application>Microsoft Office Word</Application>
  <DocSecurity>0</DocSecurity>
  <Lines>2328</Lines>
  <Paragraphs>649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DTU AQUA</Company>
  <LinksUpToDate>false</LinksUpToDate>
  <CharactersWithSpaces>324567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 Miesner</dc:creator>
  <cp:lastModifiedBy>Carina Anderberg</cp:lastModifiedBy>
  <cp:revision>2</cp:revision>
  <dcterms:created xsi:type="dcterms:W3CDTF">2018-10-15T09:18:00Z</dcterms:created>
  <dcterms:modified xsi:type="dcterms:W3CDTF">2018-10-15T09:18:00Z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ca947e39-4a2f-3341-ad11-5da9a7c2657c</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http://www.zotero.org/styles/canadian-journal-of-fisheries-and-aquatic-sciences</vt:lpwstr>
  </property>
  <property fmtid="{D5CDD505-2E9C-101B-9397-08002B2CF9AE}" pid="11" name="Mendeley Recent Style Name 3_1">
    <vt:lpwstr>Canadian Journal of Fisheries and Aquatic Sciences</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http://csl.mendeley.com/styles/27002351/FisheriesOceanographyDOInew</vt:lpwstr>
  </property>
  <property fmtid="{D5CDD505-2E9C-101B-9397-08002B2CF9AE}" pid="15" name="Mendeley Recent Style Name 5_1">
    <vt:lpwstr>Fisheries Oceanography DOI AKM - Anna Miesner</vt:lpwstr>
  </property>
  <property fmtid="{D5CDD505-2E9C-101B-9397-08002B2CF9AE}" pid="16" name="Mendeley Recent Style Id 6_1">
    <vt:lpwstr>http://www.zotero.org/styles/ices-journal-of-marine-science</vt:lpwstr>
  </property>
  <property fmtid="{D5CDD505-2E9C-101B-9397-08002B2CF9AE}" pid="17" name="Mendeley Recent Style Name 6_1">
    <vt:lpwstr>ICES Journal of Marine Science</vt:lpwstr>
  </property>
  <property fmtid="{D5CDD505-2E9C-101B-9397-08002B2CF9AE}" pid="18" name="Mendeley Recent Style Id 7_1">
    <vt:lpwstr>http://csl.mendeley.com/styles/28873181/FisheriesOceanographyAnna</vt:lpwstr>
  </property>
  <property fmtid="{D5CDD505-2E9C-101B-9397-08002B2CF9AE}" pid="19" name="Mendeley Recent Style Name 7_1">
    <vt:lpwstr>JPR AKM - Anna Miesner</vt:lpwstr>
  </property>
  <property fmtid="{D5CDD505-2E9C-101B-9397-08002B2CF9AE}" pid="20" name="Mendeley Recent Style Id 8_1">
    <vt:lpwstr>http://www.zotero.org/styles/methods-in-ecology-and-evolution</vt:lpwstr>
  </property>
  <property fmtid="{D5CDD505-2E9C-101B-9397-08002B2CF9AE}" pid="21" name="Mendeley Recent Style Name 8_1">
    <vt:lpwstr>Methods in Ecology and Evolution</vt:lpwstr>
  </property>
  <property fmtid="{D5CDD505-2E9C-101B-9397-08002B2CF9AE}" pid="22" name="Mendeley Recent Style Id 9_1">
    <vt:lpwstr>http://www.zotero.org/styles/modern-humanities-research-association</vt:lpwstr>
  </property>
  <property fmtid="{D5CDD505-2E9C-101B-9397-08002B2CF9AE}" pid="23" name="Mendeley Recent Style Name 9_1">
    <vt:lpwstr>Modern Humanities Research Association 3rd edition (note with bibliography)</vt:lpwstr>
  </property>
  <property fmtid="{D5CDD505-2E9C-101B-9397-08002B2CF9AE}" pid="24" name="Mendeley Citation Style_1">
    <vt:lpwstr>http://csl.mendeley.com/styles/27002351/FisheriesOceanographyDOInew</vt:lpwstr>
  </property>
</Properties>
</file>